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D28" w:rsidRPr="00786EEB" w:rsidRDefault="00C86D28"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4002/18</w:t>
      </w:r>
    </w:p>
    <w:p w:rsidR="00C86D28" w:rsidRDefault="00C86D28" w:rsidP="00786EEB">
      <w:pPr>
        <w:tabs>
          <w:tab w:val="center" w:pos="4253"/>
        </w:tabs>
        <w:suppressAutoHyphens/>
        <w:jc w:val="right"/>
        <w:rPr>
          <w:rFonts w:cs="Arial"/>
          <w:b/>
          <w:lang w:val="es-ES_tradnl"/>
        </w:rPr>
      </w:pPr>
    </w:p>
    <w:p w:rsidR="00C86D28" w:rsidRPr="00762B34" w:rsidRDefault="00C86D28">
      <w:pPr>
        <w:tabs>
          <w:tab w:val="center" w:pos="4253"/>
        </w:tabs>
        <w:suppressAutoHyphens/>
        <w:jc w:val="center"/>
        <w:rPr>
          <w:rFonts w:cs="Arial"/>
          <w:b/>
          <w:lang w:val="es-ES_tradnl"/>
        </w:rPr>
      </w:pPr>
      <w:r w:rsidRPr="00762B34">
        <w:rPr>
          <w:rFonts w:cs="Arial"/>
          <w:b/>
          <w:lang w:val="es-ES_tradnl"/>
        </w:rPr>
        <w:t>RESOLUCION ADOPTADA POR EL</w:t>
      </w:r>
    </w:p>
    <w:p w:rsidR="00C86D28" w:rsidRPr="00762B34" w:rsidRDefault="00C86D28">
      <w:pPr>
        <w:tabs>
          <w:tab w:val="left" w:pos="-720"/>
        </w:tabs>
        <w:suppressAutoHyphens/>
        <w:jc w:val="center"/>
        <w:rPr>
          <w:rFonts w:cs="Arial"/>
          <w:b/>
          <w:lang w:val="es-ES_tradnl"/>
        </w:rPr>
      </w:pPr>
    </w:p>
    <w:p w:rsidR="00C86D28" w:rsidRPr="00762B34" w:rsidRDefault="00C86D28">
      <w:pPr>
        <w:tabs>
          <w:tab w:val="center" w:pos="4253"/>
        </w:tabs>
        <w:suppressAutoHyphens/>
        <w:jc w:val="center"/>
        <w:rPr>
          <w:rFonts w:cs="Arial"/>
          <w:b/>
          <w:lang w:val="es-ES_tradnl"/>
        </w:rPr>
      </w:pPr>
      <w:r w:rsidRPr="00762B34">
        <w:rPr>
          <w:rFonts w:cs="Arial"/>
          <w:b/>
          <w:lang w:val="es-ES_tradnl"/>
        </w:rPr>
        <w:t>TRIBUNAL DE CUENTAS</w:t>
      </w:r>
    </w:p>
    <w:p w:rsidR="00C86D28" w:rsidRPr="00762B34" w:rsidRDefault="00C86D28">
      <w:pPr>
        <w:tabs>
          <w:tab w:val="left" w:pos="-720"/>
        </w:tabs>
        <w:suppressAutoHyphens/>
        <w:jc w:val="center"/>
        <w:rPr>
          <w:rFonts w:cs="Arial"/>
          <w:b/>
          <w:lang w:val="es-ES_tradnl"/>
        </w:rPr>
      </w:pPr>
    </w:p>
    <w:p w:rsidR="00C86D28" w:rsidRPr="00762B34" w:rsidRDefault="00C86D28">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26 DE DICIEMBRE </w:t>
      </w:r>
      <w:r>
        <w:rPr>
          <w:rFonts w:ascii="Helvetica" w:hAnsi="Helvetica"/>
          <w:b/>
          <w:lang w:val="es-ES_tradnl"/>
        </w:rPr>
        <w:t>DE 2018</w:t>
      </w:r>
    </w:p>
    <w:p w:rsidR="00C86D28" w:rsidRPr="00762B34" w:rsidRDefault="00C86D28">
      <w:pPr>
        <w:tabs>
          <w:tab w:val="center" w:pos="4253"/>
        </w:tabs>
        <w:suppressAutoHyphens/>
        <w:jc w:val="center"/>
        <w:rPr>
          <w:rFonts w:cs="Arial"/>
          <w:b/>
          <w:lang w:val="es-ES_tradnl"/>
        </w:rPr>
      </w:pPr>
    </w:p>
    <w:p w:rsidR="00C86D28" w:rsidRPr="00C41B62" w:rsidRDefault="00C86D28">
      <w:pPr>
        <w:tabs>
          <w:tab w:val="center" w:pos="4253"/>
        </w:tabs>
        <w:suppressAutoHyphens/>
        <w:jc w:val="center"/>
        <w:rPr>
          <w:rFonts w:cs="Arial"/>
          <w:b/>
          <w:lang w:val="es-UY"/>
        </w:rPr>
      </w:pPr>
      <w:r w:rsidRPr="00C41B62">
        <w:rPr>
          <w:rFonts w:cs="Arial"/>
          <w:b/>
          <w:lang w:val="es-UY"/>
        </w:rPr>
        <w:t xml:space="preserve">(E. E. Nº 2018-17-1-0005460, </w:t>
      </w:r>
      <w:proofErr w:type="spellStart"/>
      <w:r w:rsidRPr="00C41B62">
        <w:rPr>
          <w:rFonts w:cs="Arial"/>
          <w:b/>
          <w:lang w:val="es-UY"/>
        </w:rPr>
        <w:t>Ent</w:t>
      </w:r>
      <w:proofErr w:type="spellEnd"/>
      <w:r w:rsidRPr="00C41B62">
        <w:rPr>
          <w:rFonts w:cs="Arial"/>
          <w:b/>
          <w:lang w:val="es-UY"/>
        </w:rPr>
        <w:t>. N° 4219/18)</w:t>
      </w:r>
    </w:p>
    <w:p w:rsidR="00C86D28" w:rsidRPr="00C41B62" w:rsidRDefault="00C86D28">
      <w:pPr>
        <w:tabs>
          <w:tab w:val="center" w:pos="4253"/>
        </w:tabs>
        <w:suppressAutoHyphens/>
        <w:jc w:val="center"/>
        <w:rPr>
          <w:rFonts w:ascii="Helvetica" w:hAnsi="Helvetica"/>
          <w:b/>
          <w:lang w:val="es-UY"/>
        </w:rPr>
      </w:pPr>
    </w:p>
    <w:p w:rsidR="00C86D28" w:rsidRDefault="00864BCA" w:rsidP="00C86D28">
      <w:pPr>
        <w:spacing w:line="360" w:lineRule="auto"/>
        <w:ind w:firstLine="851"/>
        <w:jc w:val="both"/>
      </w:pPr>
      <w:r>
        <w:rPr>
          <w:b/>
        </w:rPr>
        <w:t>VISTO:</w:t>
      </w:r>
      <w:r>
        <w:t xml:space="preserve"> la Rendición de Cuentas y Balance de Ejecución Presupuestal de la Intendencia de </w:t>
      </w:r>
      <w:r w:rsidR="00157202">
        <w:t>Lavalleja</w:t>
      </w:r>
      <w:r>
        <w:t xml:space="preserve"> correspondiente al Ejercicio 2017;</w:t>
      </w:r>
    </w:p>
    <w:p w:rsidR="00864BCA" w:rsidRDefault="00864BCA" w:rsidP="00C86D28">
      <w:pPr>
        <w:spacing w:line="360" w:lineRule="auto"/>
        <w:ind w:firstLine="851"/>
        <w:jc w:val="both"/>
      </w:pPr>
      <w:r>
        <w:rPr>
          <w:b/>
        </w:rPr>
        <w:t xml:space="preserve">RESULTANDO: </w:t>
      </w:r>
      <w:r>
        <w:t>que el examen se efectuó de acuerdo con los Principios Fundamentales de Auditoría (ISSAI 100 y 200) y las Directrices de Auditoría Financiera de la Organización Internacional de Entidades Fiscalizadoras Superiores (INTOSAI), habiéndose llevado a cabo los procedi</w:t>
      </w:r>
      <w:r w:rsidR="00C86D28">
        <w:softHyphen/>
      </w:r>
      <w:r>
        <w:t>mientos considerados necesarios en las circunstancias;</w:t>
      </w:r>
    </w:p>
    <w:p w:rsidR="00C86D28" w:rsidRDefault="00864BCA" w:rsidP="00C86D28">
      <w:pPr>
        <w:spacing w:line="360" w:lineRule="auto"/>
        <w:ind w:firstLine="851"/>
        <w:jc w:val="both"/>
      </w:pPr>
      <w:r>
        <w:rPr>
          <w:b/>
        </w:rPr>
        <w:t xml:space="preserve">CONSIDERANDO: </w:t>
      </w:r>
      <w:r>
        <w:t>que las conclusiones y evidencias obtenidas son las que se expresan en el Informe de Auditoría, que incluye Dictamen e Informe a la Administración;</w:t>
      </w:r>
    </w:p>
    <w:p w:rsidR="00864BCA" w:rsidRDefault="00864BCA" w:rsidP="00C86D28">
      <w:pPr>
        <w:spacing w:line="360" w:lineRule="auto"/>
        <w:ind w:firstLine="851"/>
        <w:jc w:val="both"/>
      </w:pPr>
      <w:r>
        <w:rPr>
          <w:b/>
        </w:rPr>
        <w:t xml:space="preserve">ATENTO: </w:t>
      </w:r>
      <w:r>
        <w:t>a lo dispuesto por el Artículo 211 Literal C) de la Constitución de la República;</w:t>
      </w:r>
    </w:p>
    <w:p w:rsidR="00864BCA" w:rsidRDefault="00864BCA" w:rsidP="00C86D28">
      <w:pPr>
        <w:spacing w:line="360" w:lineRule="auto"/>
        <w:jc w:val="center"/>
        <w:rPr>
          <w:b/>
        </w:rPr>
      </w:pPr>
      <w:bookmarkStart w:id="1" w:name="_Toc75256577"/>
      <w:r>
        <w:rPr>
          <w:b/>
        </w:rPr>
        <w:t>EL TRIBUNAL ACUERDA</w:t>
      </w:r>
      <w:bookmarkEnd w:id="1"/>
    </w:p>
    <w:p w:rsidR="00C86D28" w:rsidRDefault="00864BCA" w:rsidP="00C86D28">
      <w:pPr>
        <w:numPr>
          <w:ilvl w:val="0"/>
          <w:numId w:val="15"/>
        </w:numPr>
        <w:spacing w:line="360" w:lineRule="auto"/>
        <w:ind w:left="0" w:firstLine="0"/>
        <w:jc w:val="both"/>
      </w:pPr>
      <w:r>
        <w:t>Expedirse en los términos del Informe de</w:t>
      </w:r>
      <w:r w:rsidR="00C86D28">
        <w:t xml:space="preserve"> Auditoría que se adjunta;</w:t>
      </w:r>
    </w:p>
    <w:p w:rsidR="00864BCA" w:rsidRDefault="00C86D28" w:rsidP="00C86D28">
      <w:pPr>
        <w:numPr>
          <w:ilvl w:val="0"/>
          <w:numId w:val="15"/>
        </w:numPr>
        <w:spacing w:line="360" w:lineRule="auto"/>
        <w:ind w:left="0" w:firstLine="0"/>
        <w:jc w:val="both"/>
      </w:pPr>
      <w:r>
        <w:t xml:space="preserve"> </w:t>
      </w:r>
      <w:r w:rsidR="00864BCA">
        <w:t xml:space="preserve">Comunicar la presente Resolución a la Intendencia de </w:t>
      </w:r>
      <w:r w:rsidR="00157202">
        <w:t>Lavalleja</w:t>
      </w:r>
      <w:r>
        <w:t>;</w:t>
      </w:r>
    </w:p>
    <w:p w:rsidR="00864BCA" w:rsidRDefault="00864BCA" w:rsidP="00C86D28">
      <w:pPr>
        <w:numPr>
          <w:ilvl w:val="0"/>
          <w:numId w:val="15"/>
        </w:numPr>
        <w:spacing w:line="360" w:lineRule="auto"/>
        <w:ind w:left="0" w:firstLine="0"/>
        <w:jc w:val="both"/>
      </w:pPr>
      <w:r>
        <w:t>D</w:t>
      </w:r>
      <w:r w:rsidR="00C86D28">
        <w:t>ar cuenta a la Asamblea General;</w:t>
      </w:r>
    </w:p>
    <w:p w:rsidR="00EB180E" w:rsidRPr="00C86D28" w:rsidRDefault="009D52CD" w:rsidP="00C86D28">
      <w:pPr>
        <w:numPr>
          <w:ilvl w:val="0"/>
          <w:numId w:val="15"/>
        </w:numPr>
        <w:spacing w:line="360" w:lineRule="auto"/>
        <w:ind w:left="0" w:firstLine="0"/>
        <w:jc w:val="both"/>
        <w:rPr>
          <w:sz w:val="16"/>
        </w:rPr>
      </w:pPr>
      <w:r>
        <w:t>Devolver los antecedentes.</w:t>
      </w:r>
    </w:p>
    <w:p w:rsidR="00C86D28" w:rsidRDefault="00C86D28" w:rsidP="00C86D28">
      <w:pPr>
        <w:spacing w:line="360" w:lineRule="auto"/>
        <w:jc w:val="both"/>
      </w:pPr>
    </w:p>
    <w:p w:rsidR="00C86D28" w:rsidRDefault="00C86D28" w:rsidP="00C86D28">
      <w:pPr>
        <w:spacing w:line="360" w:lineRule="auto"/>
        <w:jc w:val="both"/>
      </w:pPr>
    </w:p>
    <w:p w:rsidR="00C86D28" w:rsidRDefault="00C86D28" w:rsidP="00C86D28">
      <w:pPr>
        <w:spacing w:line="360" w:lineRule="auto"/>
        <w:jc w:val="both"/>
      </w:pPr>
    </w:p>
    <w:p w:rsidR="00C86D28" w:rsidRDefault="00C86D28" w:rsidP="00C86D28">
      <w:pPr>
        <w:spacing w:line="360" w:lineRule="auto"/>
        <w:jc w:val="both"/>
      </w:pPr>
    </w:p>
    <w:p w:rsidR="00C86D28" w:rsidRDefault="00C86D28" w:rsidP="00C86D28">
      <w:pPr>
        <w:spacing w:line="360" w:lineRule="auto"/>
        <w:ind w:hanging="426"/>
        <w:jc w:val="both"/>
      </w:pPr>
      <w:proofErr w:type="gramStart"/>
      <w:r>
        <w:t>dc</w:t>
      </w:r>
      <w:proofErr w:type="gramEnd"/>
    </w:p>
    <w:p w:rsidR="00C41B62" w:rsidRPr="0023661F" w:rsidRDefault="00C41B62" w:rsidP="00847137">
      <w:pPr>
        <w:pStyle w:val="Ttulo1"/>
        <w:jc w:val="center"/>
        <w:rPr>
          <w:rFonts w:cs="Arial"/>
          <w:szCs w:val="24"/>
        </w:rPr>
      </w:pPr>
      <w:bookmarkStart w:id="2" w:name="_Toc271807410"/>
      <w:bookmarkStart w:id="3" w:name="_Toc343587252"/>
      <w:bookmarkStart w:id="4" w:name="_Toc407008307"/>
      <w:bookmarkStart w:id="5" w:name="_Toc114298584"/>
      <w:r w:rsidRPr="0023661F">
        <w:rPr>
          <w:rFonts w:cs="Arial"/>
          <w:szCs w:val="24"/>
        </w:rPr>
        <w:lastRenderedPageBreak/>
        <w:t>DICTAMEN</w:t>
      </w:r>
      <w:bookmarkEnd w:id="2"/>
      <w:bookmarkEnd w:id="3"/>
      <w:bookmarkEnd w:id="4"/>
    </w:p>
    <w:p w:rsidR="00C41B62" w:rsidRPr="00AB61B1" w:rsidRDefault="00C41B62" w:rsidP="005873D9">
      <w:pPr>
        <w:pStyle w:val="Subttulo"/>
        <w:spacing w:after="240"/>
        <w:rPr>
          <w:rFonts w:ascii="Arial" w:hAnsi="Arial" w:cs="Arial"/>
          <w:szCs w:val="24"/>
        </w:rPr>
      </w:pPr>
      <w:r w:rsidRPr="00AB61B1">
        <w:rPr>
          <w:rFonts w:ascii="Arial" w:hAnsi="Arial" w:cs="Arial"/>
          <w:szCs w:val="24"/>
        </w:rPr>
        <w:t>Opini</w:t>
      </w:r>
      <w:r>
        <w:rPr>
          <w:rFonts w:ascii="Arial" w:hAnsi="Arial" w:cs="Arial"/>
          <w:szCs w:val="24"/>
        </w:rPr>
        <w:t>ó</w:t>
      </w:r>
      <w:r w:rsidRPr="00AB61B1">
        <w:rPr>
          <w:rFonts w:ascii="Arial" w:hAnsi="Arial" w:cs="Arial"/>
          <w:szCs w:val="24"/>
        </w:rPr>
        <w:t>n</w:t>
      </w:r>
      <w:r>
        <w:rPr>
          <w:rFonts w:ascii="Arial" w:hAnsi="Arial" w:cs="Arial"/>
          <w:szCs w:val="24"/>
        </w:rPr>
        <w:t xml:space="preserve"> sin salvedades</w:t>
      </w:r>
    </w:p>
    <w:p w:rsidR="00C41B62" w:rsidRDefault="00C41B62" w:rsidP="006A58DA">
      <w:pPr>
        <w:shd w:val="clear" w:color="auto" w:fill="FFFFFF"/>
        <w:spacing w:line="360" w:lineRule="auto"/>
        <w:jc w:val="both"/>
        <w:rPr>
          <w:rFonts w:eastAsia="Times New Roman" w:cs="Arial"/>
          <w:lang w:val="es-MX"/>
        </w:rPr>
      </w:pPr>
      <w:r w:rsidRPr="00A40797">
        <w:rPr>
          <w:rFonts w:cs="Arial"/>
          <w:lang w:val="es-MX" w:eastAsia="en-US"/>
        </w:rPr>
        <w:t xml:space="preserve">El Tribunal de Cuentas ha auditado la Rendición de Cuentas  y el Balance de Ejecución Presupuestal de la </w:t>
      </w:r>
      <w:r w:rsidRPr="00A40797">
        <w:rPr>
          <w:rFonts w:cs="Arial"/>
        </w:rPr>
        <w:t xml:space="preserve">Intendencia de </w:t>
      </w:r>
      <w:r>
        <w:rPr>
          <w:rFonts w:cs="Arial"/>
        </w:rPr>
        <w:t>Lavalleja</w:t>
      </w:r>
      <w:r w:rsidRPr="00A40797">
        <w:rPr>
          <w:rFonts w:cs="Arial"/>
          <w:lang w:val="es-MX" w:eastAsia="en-US"/>
        </w:rPr>
        <w:t>, que comprende los estados de ejecución presupuestal con relación a los créditos</w:t>
      </w:r>
      <w:r>
        <w:rPr>
          <w:rFonts w:cs="Arial"/>
          <w:lang w:val="es-MX" w:eastAsia="en-US"/>
        </w:rPr>
        <w:t xml:space="preserve"> </w:t>
      </w:r>
      <w:r w:rsidRPr="00A40797">
        <w:rPr>
          <w:rFonts w:eastAsia="Times New Roman" w:cs="Arial"/>
          <w:lang w:val="es-MX"/>
        </w:rPr>
        <w:t xml:space="preserve">y a </w:t>
      </w:r>
      <w:r>
        <w:rPr>
          <w:rFonts w:eastAsia="Times New Roman" w:cs="Arial"/>
          <w:lang w:val="es-MX"/>
        </w:rPr>
        <w:t>los recursos, de resultado del E</w:t>
      </w:r>
      <w:r w:rsidRPr="00A40797">
        <w:rPr>
          <w:rFonts w:eastAsia="Times New Roman" w:cs="Arial"/>
          <w:lang w:val="es-MX"/>
        </w:rPr>
        <w:t>jercicio, de resultado acumulado y otros estados comple</w:t>
      </w:r>
      <w:r>
        <w:rPr>
          <w:rFonts w:eastAsia="Times New Roman" w:cs="Arial"/>
          <w:lang w:val="es-MX"/>
        </w:rPr>
        <w:softHyphen/>
        <w:t>mentarios, correspondientes al E</w:t>
      </w:r>
      <w:r w:rsidRPr="00A40797">
        <w:rPr>
          <w:rFonts w:eastAsia="Times New Roman" w:cs="Arial"/>
          <w:lang w:val="es-MX"/>
        </w:rPr>
        <w:t>jercicio finalizado el 31/12/2017</w:t>
      </w:r>
      <w:r>
        <w:rPr>
          <w:rFonts w:eastAsia="Times New Roman" w:cs="Arial"/>
          <w:lang w:val="es-MX"/>
        </w:rPr>
        <w:t>.</w:t>
      </w:r>
    </w:p>
    <w:p w:rsidR="00C41B62" w:rsidRPr="0023661F" w:rsidRDefault="00C41B62" w:rsidP="006A58DA">
      <w:pPr>
        <w:spacing w:line="360" w:lineRule="auto"/>
        <w:jc w:val="both"/>
        <w:rPr>
          <w:rFonts w:cs="Arial"/>
        </w:rPr>
      </w:pPr>
      <w:r w:rsidRPr="0023661F">
        <w:rPr>
          <w:rFonts w:cs="Arial"/>
        </w:rPr>
        <w:t xml:space="preserve">En opinión del Tribunal de Cuentas, </w:t>
      </w:r>
      <w:r>
        <w:rPr>
          <w:rFonts w:cs="Arial"/>
        </w:rPr>
        <w:t>el</w:t>
      </w:r>
      <w:r w:rsidRPr="0023661F">
        <w:rPr>
          <w:rFonts w:cs="Arial"/>
        </w:rPr>
        <w:t xml:space="preserve"> Estado de Ejecución Presupuestal con relación a los recursos</w:t>
      </w:r>
      <w:r>
        <w:rPr>
          <w:rFonts w:cs="Arial"/>
        </w:rPr>
        <w:t xml:space="preserve"> y</w:t>
      </w:r>
      <w:r w:rsidRPr="00691488">
        <w:rPr>
          <w:rFonts w:cs="Arial"/>
        </w:rPr>
        <w:t xml:space="preserve"> a los créditos, </w:t>
      </w:r>
      <w:r>
        <w:rPr>
          <w:rFonts w:cs="Arial"/>
        </w:rPr>
        <w:t>d</w:t>
      </w:r>
      <w:r w:rsidRPr="00691488">
        <w:rPr>
          <w:rFonts w:cs="Arial"/>
        </w:rPr>
        <w:t>e</w:t>
      </w:r>
      <w:r>
        <w:rPr>
          <w:rFonts w:cs="Arial"/>
        </w:rPr>
        <w:t>l</w:t>
      </w:r>
      <w:r w:rsidRPr="00691488">
        <w:rPr>
          <w:rFonts w:cs="Arial"/>
        </w:rPr>
        <w:t xml:space="preserve"> Resultado del Ejercicio 201</w:t>
      </w:r>
      <w:r>
        <w:rPr>
          <w:rFonts w:cs="Arial"/>
        </w:rPr>
        <w:t>7</w:t>
      </w:r>
      <w:r w:rsidRPr="00691488">
        <w:rPr>
          <w:rFonts w:cs="Arial"/>
        </w:rPr>
        <w:t xml:space="preserve"> y de</w:t>
      </w:r>
      <w:r>
        <w:rPr>
          <w:rFonts w:cs="Arial"/>
        </w:rPr>
        <w:t>l</w:t>
      </w:r>
      <w:r w:rsidRPr="00691488">
        <w:rPr>
          <w:rFonts w:cs="Arial"/>
        </w:rPr>
        <w:t xml:space="preserve"> Resultado Acumulado al 31 de diciembre de 201</w:t>
      </w:r>
      <w:r>
        <w:rPr>
          <w:rFonts w:cs="Arial"/>
        </w:rPr>
        <w:t xml:space="preserve">7, </w:t>
      </w:r>
      <w:r w:rsidRPr="0023661F">
        <w:rPr>
          <w:rFonts w:cs="Arial"/>
        </w:rPr>
        <w:t xml:space="preserve"> presenta razonablemente la ejecución de</w:t>
      </w:r>
      <w:r>
        <w:rPr>
          <w:rFonts w:cs="Arial"/>
        </w:rPr>
        <w:t xml:space="preserve"> los mismos durante el Ejercicio 2017</w:t>
      </w:r>
      <w:r w:rsidRPr="0023661F">
        <w:rPr>
          <w:rFonts w:cs="Arial"/>
        </w:rPr>
        <w:t>, en todos sus aspectos importantes, de acuerdo con las normas establecidas en el TOCAF y la Resolución de este Tribunal de fecha 28 de enero de 2004.</w:t>
      </w:r>
    </w:p>
    <w:p w:rsidR="00C41B62" w:rsidRDefault="00C41B62" w:rsidP="006A58DA">
      <w:pPr>
        <w:spacing w:line="360" w:lineRule="auto"/>
        <w:jc w:val="both"/>
        <w:rPr>
          <w:rFonts w:cs="Arial"/>
          <w:b/>
          <w:lang w:val="es-UY" w:eastAsia="en-US"/>
        </w:rPr>
      </w:pPr>
    </w:p>
    <w:p w:rsidR="00C41B62" w:rsidRPr="00A40797" w:rsidRDefault="00C41B62" w:rsidP="006A58DA">
      <w:pPr>
        <w:spacing w:line="360" w:lineRule="auto"/>
        <w:jc w:val="both"/>
        <w:rPr>
          <w:rFonts w:cs="Arial"/>
          <w:b/>
          <w:lang w:val="es-UY" w:eastAsia="en-US"/>
        </w:rPr>
      </w:pPr>
      <w:r w:rsidRPr="00A40797">
        <w:rPr>
          <w:rFonts w:cs="Arial"/>
          <w:b/>
          <w:lang w:val="es-UY" w:eastAsia="en-US"/>
        </w:rPr>
        <w:t>Opinión respecto al cumplimiento de la normativa legal aplicable</w:t>
      </w:r>
    </w:p>
    <w:p w:rsidR="00C41B62" w:rsidRPr="00C10176" w:rsidRDefault="00C41B62" w:rsidP="006A58DA">
      <w:pPr>
        <w:widowControl w:val="0"/>
        <w:autoSpaceDE w:val="0"/>
        <w:autoSpaceDN w:val="0"/>
        <w:adjustRightInd w:val="0"/>
        <w:spacing w:line="360" w:lineRule="auto"/>
        <w:jc w:val="both"/>
        <w:rPr>
          <w:rFonts w:eastAsia="Times New Roman"/>
          <w:snapToGrid w:val="0"/>
        </w:rPr>
      </w:pPr>
      <w:r w:rsidRPr="00A40797">
        <w:rPr>
          <w:rFonts w:cs="Arial"/>
          <w:lang w:val="es-MX" w:eastAsia="en-US"/>
        </w:rPr>
        <w:t xml:space="preserve">En el curso de la auditoría se han constatado los siguientes incumplimientos: </w:t>
      </w:r>
      <w:r w:rsidRPr="00947884">
        <w:rPr>
          <w:rFonts w:cs="Arial"/>
          <w:lang w:val="es-MX" w:eastAsia="en-US"/>
        </w:rPr>
        <w:t>Artículo</w:t>
      </w:r>
      <w:r>
        <w:rPr>
          <w:rFonts w:cs="Arial"/>
          <w:lang w:val="es-MX" w:eastAsia="en-US"/>
        </w:rPr>
        <w:t>s</w:t>
      </w:r>
      <w:r w:rsidRPr="00947884">
        <w:rPr>
          <w:rFonts w:cs="Arial"/>
          <w:lang w:val="es-MX" w:eastAsia="en-US"/>
        </w:rPr>
        <w:t xml:space="preserve"> 86 y 297 numeral 1) de la Constitución de la República, Artículos 4,</w:t>
      </w:r>
      <w:r>
        <w:rPr>
          <w:rFonts w:cs="Arial"/>
          <w:lang w:val="es-MX" w:eastAsia="en-US"/>
        </w:rPr>
        <w:t xml:space="preserve"> </w:t>
      </w:r>
      <w:r w:rsidRPr="00947884">
        <w:rPr>
          <w:rFonts w:cs="Arial"/>
          <w:lang w:val="es-MX" w:eastAsia="en-US"/>
        </w:rPr>
        <w:t>5, 11, 13,</w:t>
      </w:r>
      <w:r>
        <w:rPr>
          <w:rFonts w:cs="Arial"/>
          <w:lang w:val="es-MX" w:eastAsia="en-US"/>
        </w:rPr>
        <w:t xml:space="preserve"> </w:t>
      </w:r>
      <w:r w:rsidRPr="00947884">
        <w:rPr>
          <w:rFonts w:cs="Arial"/>
          <w:lang w:val="es-MX" w:eastAsia="en-US"/>
        </w:rPr>
        <w:t>40</w:t>
      </w:r>
      <w:r>
        <w:rPr>
          <w:rFonts w:cs="Arial"/>
          <w:lang w:val="es-MX" w:eastAsia="en-US"/>
        </w:rPr>
        <w:t xml:space="preserve">, </w:t>
      </w:r>
      <w:r w:rsidRPr="00947884">
        <w:rPr>
          <w:rFonts w:cs="Arial"/>
          <w:lang w:val="es-MX" w:eastAsia="en-US"/>
        </w:rPr>
        <w:t>84 y 97, 94</w:t>
      </w:r>
      <w:r>
        <w:rPr>
          <w:rFonts w:cs="Arial"/>
          <w:lang w:val="es-MX" w:eastAsia="en-US"/>
        </w:rPr>
        <w:t xml:space="preserve"> y 128</w:t>
      </w:r>
      <w:r w:rsidRPr="00947884">
        <w:rPr>
          <w:rFonts w:cs="Arial"/>
          <w:lang w:val="es-MX" w:eastAsia="en-US"/>
        </w:rPr>
        <w:t xml:space="preserve"> del TOCAF</w:t>
      </w:r>
      <w:r w:rsidRPr="00C10176">
        <w:rPr>
          <w:rFonts w:cs="Arial"/>
          <w:lang w:val="es-MX" w:eastAsia="en-US"/>
        </w:rPr>
        <w:t xml:space="preserve">, </w:t>
      </w:r>
      <w:r>
        <w:rPr>
          <w:rFonts w:eastAsia="Times New Roman" w:cs="Arial"/>
          <w:lang w:val="es-MX"/>
        </w:rPr>
        <w:t xml:space="preserve">Artículo 238 de la Ley Nº 13.637 y Artículo 279 de la Ley Nº 12.804, </w:t>
      </w:r>
      <w:r w:rsidRPr="00C10176">
        <w:rPr>
          <w:rFonts w:eastAsia="Times New Roman" w:cs="Arial"/>
          <w:snapToGrid w:val="0"/>
        </w:rPr>
        <w:t xml:space="preserve">Artículo 7 de la Ley Nº 13.142, Decreto-Ley Nº 14.632 y Decreto Nº 342/92, Artículos 67 y 68 del Decreto N° 2953/11 de la Junta Departamental, </w:t>
      </w:r>
      <w:r w:rsidRPr="00C10176">
        <w:rPr>
          <w:rFonts w:eastAsia="Times New Roman" w:cs="Arial"/>
        </w:rPr>
        <w:t>Artículo 1 del Decreto de la Junta Departame</w:t>
      </w:r>
      <w:r>
        <w:rPr>
          <w:rFonts w:eastAsia="Times New Roman" w:cs="Arial"/>
        </w:rPr>
        <w:t>ntal N°</w:t>
      </w:r>
      <w:r w:rsidRPr="00C10176">
        <w:rPr>
          <w:rFonts w:eastAsia="Times New Roman" w:cs="Arial"/>
        </w:rPr>
        <w:t xml:space="preserve">3091/2012, </w:t>
      </w:r>
      <w:r w:rsidRPr="00C10176">
        <w:rPr>
          <w:rFonts w:eastAsia="Times New Roman" w:cs="Arial"/>
          <w:snapToGrid w:val="0"/>
        </w:rPr>
        <w:t>Artículo 6 del Decreto de la Junta Departamental de Lavalleja N</w:t>
      </w:r>
      <w:r>
        <w:rPr>
          <w:rFonts w:eastAsia="Times New Roman" w:cs="Arial"/>
          <w:snapToGrid w:val="0"/>
        </w:rPr>
        <w:t>º</w:t>
      </w:r>
      <w:r w:rsidRPr="00C10176">
        <w:rPr>
          <w:rFonts w:eastAsia="Times New Roman" w:cs="Arial"/>
          <w:snapToGrid w:val="0"/>
        </w:rPr>
        <w:t>3308/2015, Resoluci</w:t>
      </w:r>
      <w:r>
        <w:rPr>
          <w:rFonts w:eastAsia="Times New Roman" w:cs="Arial"/>
          <w:snapToGrid w:val="0"/>
        </w:rPr>
        <w:t xml:space="preserve">ones </w:t>
      </w:r>
      <w:r w:rsidRPr="00C10176">
        <w:rPr>
          <w:rFonts w:eastAsia="Times New Roman" w:cs="Arial"/>
          <w:snapToGrid w:val="0"/>
        </w:rPr>
        <w:t xml:space="preserve">del 11/05/2005 </w:t>
      </w:r>
      <w:r>
        <w:rPr>
          <w:rFonts w:eastAsia="Times New Roman" w:cs="Arial"/>
          <w:snapToGrid w:val="0"/>
        </w:rPr>
        <w:t xml:space="preserve">y 28/01/2004 </w:t>
      </w:r>
      <w:r w:rsidRPr="00C10176">
        <w:rPr>
          <w:rFonts w:eastAsia="Times New Roman" w:cs="Arial"/>
          <w:snapToGrid w:val="0"/>
        </w:rPr>
        <w:t>del Trib</w:t>
      </w:r>
      <w:r w:rsidR="00A66171">
        <w:rPr>
          <w:rFonts w:eastAsia="Times New Roman" w:cs="Arial"/>
          <w:snapToGrid w:val="0"/>
        </w:rPr>
        <w:t>unal de Cuentas.</w:t>
      </w:r>
    </w:p>
    <w:p w:rsidR="00C41B62" w:rsidRDefault="00C41B62" w:rsidP="006A58DA">
      <w:pPr>
        <w:spacing w:line="360" w:lineRule="auto"/>
        <w:jc w:val="both"/>
        <w:rPr>
          <w:rFonts w:cs="Arial"/>
        </w:rPr>
      </w:pPr>
      <w:r w:rsidRPr="006F72D1">
        <w:rPr>
          <w:rFonts w:cs="Arial"/>
        </w:rPr>
        <w:t>Esta auditor</w:t>
      </w:r>
      <w:r>
        <w:rPr>
          <w:rFonts w:cs="Arial"/>
        </w:rPr>
        <w:t>í</w:t>
      </w:r>
      <w:r w:rsidRPr="006F72D1">
        <w:rPr>
          <w:rFonts w:cs="Arial"/>
        </w:rPr>
        <w:t xml:space="preserve">a fue </w:t>
      </w:r>
      <w:r>
        <w:rPr>
          <w:rFonts w:cs="Arial"/>
        </w:rPr>
        <w:t>realizada</w:t>
      </w:r>
      <w:r w:rsidRPr="006F72D1">
        <w:rPr>
          <w:rFonts w:cs="Arial"/>
        </w:rPr>
        <w:t xml:space="preserve"> de acuerdo con los Principios Fundamentales de Auditoría (ISSAI 100 y 200) y las Directrices de Auditoría Financiera (ISSAI 1000 a 1810) de la Organización Internacional de Entidades Fiscalizadoras Superiores (INTOSAI).</w:t>
      </w:r>
      <w:r>
        <w:rPr>
          <w:rFonts w:cs="Arial"/>
        </w:rPr>
        <w:t xml:space="preserve"> </w:t>
      </w:r>
      <w:r w:rsidRPr="00217F32">
        <w:rPr>
          <w:rFonts w:cs="Arial"/>
        </w:rPr>
        <w:t xml:space="preserve">La responsabilidad del Tribunal bajo estas normas se </w:t>
      </w:r>
      <w:r w:rsidRPr="00217F32">
        <w:rPr>
          <w:rFonts w:cs="Arial"/>
        </w:rPr>
        <w:lastRenderedPageBreak/>
        <w:t xml:space="preserve">describe con más detalle en la sección de Responsabilidad del Tribunal de Cuentas por la auditoría de los estados financieros. Este Tribunal es independiente de la </w:t>
      </w:r>
      <w:r>
        <w:rPr>
          <w:rFonts w:cs="Arial"/>
        </w:rPr>
        <w:t>Intendencia</w:t>
      </w:r>
      <w:r w:rsidRPr="00217F32">
        <w:rPr>
          <w:rFonts w:cs="Arial"/>
        </w:rPr>
        <w:t xml:space="preserve"> de </w:t>
      </w:r>
      <w:r>
        <w:rPr>
          <w:rFonts w:cs="Arial"/>
        </w:rPr>
        <w:t>Lavalleja</w:t>
      </w:r>
      <w:r w:rsidRPr="00217F32">
        <w:rPr>
          <w:rFonts w:cs="Arial"/>
        </w:rPr>
        <w:t xml:space="preserve"> y ha cumplido con las disposiciones de su Código de Ética, elaborado en concordancia con el</w:t>
      </w:r>
      <w:r w:rsidRPr="007C5698">
        <w:rPr>
          <w:rFonts w:cs="Arial"/>
        </w:rPr>
        <w:t xml:space="preserve"> Código</w:t>
      </w:r>
      <w:r w:rsidR="00A66171">
        <w:rPr>
          <w:rFonts w:cs="Arial"/>
        </w:rPr>
        <w:t xml:space="preserve"> de Ética de la INTOSAI.</w:t>
      </w:r>
    </w:p>
    <w:p w:rsidR="00C41B62" w:rsidRDefault="00C41B62" w:rsidP="006A58DA">
      <w:pPr>
        <w:widowControl w:val="0"/>
        <w:spacing w:line="360" w:lineRule="auto"/>
        <w:jc w:val="both"/>
        <w:rPr>
          <w:rFonts w:eastAsia="Times New Roman" w:cs="Arial"/>
          <w:b/>
          <w:bCs/>
          <w:kern w:val="18"/>
        </w:rPr>
      </w:pPr>
    </w:p>
    <w:p w:rsidR="00C41B62" w:rsidRDefault="00C41B62" w:rsidP="006A58DA">
      <w:pPr>
        <w:widowControl w:val="0"/>
        <w:spacing w:line="360" w:lineRule="auto"/>
        <w:jc w:val="both"/>
        <w:rPr>
          <w:rFonts w:eastAsia="Times New Roman" w:cs="Arial"/>
          <w:b/>
          <w:bCs/>
          <w:kern w:val="18"/>
        </w:rPr>
      </w:pPr>
      <w:r w:rsidRPr="00945858">
        <w:rPr>
          <w:rFonts w:eastAsia="Times New Roman" w:cs="Arial"/>
          <w:b/>
          <w:bCs/>
          <w:kern w:val="18"/>
        </w:rPr>
        <w:t xml:space="preserve">Responsabilidad de la </w:t>
      </w:r>
      <w:r>
        <w:rPr>
          <w:rFonts w:eastAsia="Times New Roman" w:cs="Arial"/>
          <w:b/>
          <w:bCs/>
          <w:kern w:val="18"/>
        </w:rPr>
        <w:t>Intendencia de Lavalleja</w:t>
      </w:r>
      <w:r w:rsidRPr="00945858">
        <w:rPr>
          <w:rFonts w:eastAsia="Times New Roman" w:cs="Arial"/>
          <w:b/>
          <w:bCs/>
          <w:kern w:val="18"/>
        </w:rPr>
        <w:t xml:space="preserve"> por los estados de ejecución presupuestal</w:t>
      </w:r>
    </w:p>
    <w:p w:rsidR="00C41B62" w:rsidRPr="00945858" w:rsidRDefault="00C41B62" w:rsidP="006A58DA">
      <w:pPr>
        <w:widowControl w:val="0"/>
        <w:spacing w:line="360" w:lineRule="auto"/>
        <w:jc w:val="both"/>
        <w:rPr>
          <w:rFonts w:eastAsia="Times New Roman" w:cs="Arial"/>
          <w:bCs/>
          <w:kern w:val="18"/>
        </w:rPr>
      </w:pPr>
      <w:r w:rsidRPr="00945858">
        <w:rPr>
          <w:rFonts w:eastAsia="Times New Roman" w:cs="Arial"/>
          <w:bCs/>
          <w:kern w:val="18"/>
        </w:rPr>
        <w:t xml:space="preserve">La Intendencia de </w:t>
      </w:r>
      <w:r>
        <w:rPr>
          <w:rFonts w:eastAsia="Times New Roman" w:cs="Arial"/>
          <w:bCs/>
          <w:kern w:val="18"/>
        </w:rPr>
        <w:t>Lavalleja</w:t>
      </w:r>
      <w:r w:rsidRPr="00945858">
        <w:rPr>
          <w:rFonts w:eastAsia="Times New Roman" w:cs="Arial"/>
          <w:bCs/>
          <w:kern w:val="18"/>
        </w:rPr>
        <w:t xml:space="preserve"> es responsable por la preparación y la razonable presentación de estos estados de ejecución presupuestal de acuerdo con la normativa vigente y con la Resolución de este Tribunal de fecha 28/01/04.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C41B62" w:rsidRDefault="00C41B62" w:rsidP="006A58DA">
      <w:pPr>
        <w:spacing w:line="360" w:lineRule="auto"/>
        <w:jc w:val="both"/>
        <w:rPr>
          <w:rFonts w:cs="Arial"/>
          <w:b/>
          <w:lang w:val="es-UY" w:eastAsia="en-US"/>
        </w:rPr>
      </w:pPr>
    </w:p>
    <w:p w:rsidR="00C41B62" w:rsidRPr="00A40797" w:rsidRDefault="00C41B62" w:rsidP="006A58DA">
      <w:pPr>
        <w:spacing w:line="360" w:lineRule="auto"/>
        <w:jc w:val="both"/>
        <w:rPr>
          <w:rFonts w:cs="Arial"/>
          <w:b/>
          <w:lang w:val="es-UY" w:eastAsia="en-US"/>
        </w:rPr>
      </w:pPr>
      <w:r w:rsidRPr="00A40797">
        <w:rPr>
          <w:rFonts w:cs="Arial"/>
          <w:b/>
          <w:lang w:val="es-UY" w:eastAsia="en-US"/>
        </w:rPr>
        <w:t>Responsabilidad del Tribunal de Cuentas por la auditoría de los estados financieros</w:t>
      </w:r>
    </w:p>
    <w:p w:rsidR="00C41B62" w:rsidRDefault="00C41B62" w:rsidP="006A58DA">
      <w:pPr>
        <w:spacing w:line="360" w:lineRule="auto"/>
        <w:jc w:val="both"/>
        <w:rPr>
          <w:rFonts w:cs="Arial"/>
          <w:lang w:val="es-MX" w:eastAsia="en-US"/>
        </w:rPr>
      </w:pPr>
      <w:r w:rsidRPr="00A40797">
        <w:rPr>
          <w:rFonts w:cs="Arial"/>
          <w:lang w:val="es-MX" w:eastAsia="en-US"/>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w:t>
      </w:r>
    </w:p>
    <w:p w:rsidR="00A66171" w:rsidRPr="00A40797" w:rsidRDefault="00A66171" w:rsidP="006A58DA">
      <w:pPr>
        <w:spacing w:line="360" w:lineRule="auto"/>
        <w:jc w:val="both"/>
        <w:rPr>
          <w:rFonts w:cs="Arial"/>
          <w:lang w:val="es-MX" w:eastAsia="en-US"/>
        </w:rPr>
      </w:pPr>
    </w:p>
    <w:p w:rsidR="00C41B62" w:rsidRPr="00A40797" w:rsidRDefault="00C41B62" w:rsidP="00BC02CF">
      <w:pPr>
        <w:spacing w:after="240" w:line="360" w:lineRule="auto"/>
        <w:jc w:val="both"/>
        <w:rPr>
          <w:rFonts w:cs="Arial"/>
          <w:lang w:val="es-MX" w:eastAsia="en-US"/>
        </w:rPr>
      </w:pPr>
      <w:r w:rsidRPr="00A40797">
        <w:rPr>
          <w:rFonts w:cs="Arial"/>
          <w:lang w:val="es-MX" w:eastAsia="en-US"/>
        </w:rPr>
        <w:t>Como parte de una auditoría de acuerdo con las ISSAI referidas en la sección Bases para la Opinión, el Tribunal de Cuentas aplica su juicio profesional y mantiene el escepticismo profesional durante el proceso de auditoría. Asimismo:</w:t>
      </w:r>
    </w:p>
    <w:p w:rsidR="00C41B62" w:rsidRPr="00A40797" w:rsidRDefault="00C41B62" w:rsidP="00BC02CF">
      <w:pPr>
        <w:numPr>
          <w:ilvl w:val="0"/>
          <w:numId w:val="10"/>
        </w:numPr>
        <w:spacing w:after="240" w:line="360" w:lineRule="auto"/>
        <w:ind w:left="714" w:hanging="357"/>
        <w:contextualSpacing/>
        <w:jc w:val="both"/>
        <w:rPr>
          <w:rFonts w:cs="Arial"/>
          <w:lang w:val="es-UY" w:eastAsia="en-US"/>
        </w:rPr>
      </w:pPr>
      <w:r w:rsidRPr="00A40797">
        <w:rPr>
          <w:rFonts w:cs="Arial"/>
          <w:lang w:val="es-UY" w:eastAsia="en-US"/>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A66171">
        <w:rPr>
          <w:rFonts w:cs="Arial"/>
          <w:lang w:val="es-UY" w:eastAsia="en-US"/>
        </w:rPr>
        <w:t>artamientos de control interno.</w:t>
      </w:r>
    </w:p>
    <w:p w:rsidR="00C41B62" w:rsidRPr="00A40797" w:rsidRDefault="00C41B62" w:rsidP="00BC02CF">
      <w:pPr>
        <w:numPr>
          <w:ilvl w:val="0"/>
          <w:numId w:val="10"/>
        </w:numPr>
        <w:spacing w:after="240" w:line="360" w:lineRule="auto"/>
        <w:ind w:left="714" w:hanging="357"/>
        <w:contextualSpacing/>
        <w:jc w:val="both"/>
        <w:rPr>
          <w:rFonts w:cs="Arial"/>
          <w:lang w:val="es-UY" w:eastAsia="en-US"/>
        </w:rPr>
      </w:pPr>
      <w:r w:rsidRPr="00A40797">
        <w:rPr>
          <w:rFonts w:cs="Arial"/>
          <w:lang w:val="es-UY" w:eastAsia="en-US"/>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C41B62" w:rsidRPr="00A40797" w:rsidRDefault="00C41B62" w:rsidP="004E50E0">
      <w:pPr>
        <w:numPr>
          <w:ilvl w:val="0"/>
          <w:numId w:val="10"/>
        </w:numPr>
        <w:spacing w:before="240" w:after="240" w:line="360" w:lineRule="auto"/>
        <w:ind w:left="714" w:hanging="357"/>
        <w:contextualSpacing/>
        <w:jc w:val="both"/>
        <w:rPr>
          <w:rFonts w:cs="Arial"/>
          <w:lang w:val="es-UY" w:eastAsia="en-US"/>
        </w:rPr>
      </w:pPr>
      <w:r w:rsidRPr="00A40797">
        <w:rPr>
          <w:rFonts w:cs="Arial"/>
          <w:lang w:val="es-UY" w:eastAsia="en-US"/>
        </w:rPr>
        <w:t>Evalúa la presentación general, la estructura y contenido de los estados, incluyendo las revelaciones y si los estados representan las transacciones y eventos subyacentes de un modo que se logre una representación fiel de los mismos.</w:t>
      </w:r>
    </w:p>
    <w:p w:rsidR="00C41B62" w:rsidRDefault="00C41B62" w:rsidP="006A58DA">
      <w:pPr>
        <w:spacing w:line="360" w:lineRule="auto"/>
        <w:contextualSpacing/>
        <w:jc w:val="both"/>
        <w:rPr>
          <w:rFonts w:cs="Arial"/>
          <w:lang w:val="es-UY" w:eastAsia="en-US"/>
        </w:rPr>
      </w:pPr>
      <w:r w:rsidRPr="00A40797">
        <w:rPr>
          <w:rFonts w:cs="Arial"/>
          <w:lang w:val="es-UY" w:eastAsia="en-US"/>
        </w:rPr>
        <w:t xml:space="preserve">El Tribunal de Cuentas se comunicó con la </w:t>
      </w:r>
      <w:r>
        <w:rPr>
          <w:rFonts w:cs="Arial"/>
          <w:lang w:val="es-UY" w:eastAsia="en-US"/>
        </w:rPr>
        <w:t xml:space="preserve">Intendencia </w:t>
      </w:r>
      <w:r w:rsidRPr="00A40797">
        <w:rPr>
          <w:rFonts w:cs="Arial"/>
          <w:lang w:val="es-UY" w:eastAsia="en-US"/>
        </w:rPr>
        <w:t>en relación al alcance y la oportunidad de los procedimientos de auditoría, y a los hallazgos significati</w:t>
      </w:r>
      <w:r>
        <w:rPr>
          <w:rFonts w:cs="Arial"/>
          <w:lang w:val="es-UY" w:eastAsia="en-US"/>
        </w:rPr>
        <w:softHyphen/>
      </w:r>
      <w:r w:rsidR="00A66171">
        <w:rPr>
          <w:rFonts w:cs="Arial"/>
          <w:lang w:val="es-UY" w:eastAsia="en-US"/>
        </w:rPr>
        <w:t>vos de auditoría incluidos.</w:t>
      </w:r>
    </w:p>
    <w:p w:rsidR="00C41B62" w:rsidRDefault="00C41B62" w:rsidP="006A58DA">
      <w:pPr>
        <w:spacing w:line="276" w:lineRule="auto"/>
        <w:jc w:val="both"/>
        <w:rPr>
          <w:rFonts w:cs="Arial"/>
          <w:b/>
          <w:lang w:val="es-UY" w:eastAsia="en-US"/>
        </w:rPr>
      </w:pPr>
    </w:p>
    <w:p w:rsidR="00C41B62" w:rsidRPr="009B39DD" w:rsidRDefault="00C41B62" w:rsidP="006A58DA">
      <w:pPr>
        <w:spacing w:line="360" w:lineRule="auto"/>
        <w:jc w:val="both"/>
        <w:rPr>
          <w:rFonts w:cs="Arial"/>
          <w:b/>
          <w:lang w:val="es-UY" w:eastAsia="en-US"/>
        </w:rPr>
      </w:pPr>
      <w:r w:rsidRPr="009B39DD">
        <w:rPr>
          <w:rFonts w:cs="Arial"/>
          <w:b/>
          <w:lang w:val="es-UY" w:eastAsia="en-US"/>
        </w:rPr>
        <w:t>Informe de cumplimiento de la normativa vigente</w:t>
      </w:r>
    </w:p>
    <w:p w:rsidR="00C41B62" w:rsidRPr="009B39DD" w:rsidRDefault="00C41B62" w:rsidP="006A58DA">
      <w:pPr>
        <w:spacing w:line="360" w:lineRule="auto"/>
        <w:jc w:val="both"/>
        <w:rPr>
          <w:rFonts w:cs="Arial"/>
          <w:lang w:val="es-UY" w:eastAsia="en-US"/>
        </w:rPr>
      </w:pPr>
      <w:r w:rsidRPr="009B39DD">
        <w:rPr>
          <w:rFonts w:cs="Arial"/>
          <w:lang w:val="es-UY" w:eastAsia="en-US"/>
        </w:rPr>
        <w:t>Respecto a los incumplimientos mencionados en el párrafo Opinión respecto al cumplimiento de la normativa legal aplicable co</w:t>
      </w:r>
      <w:r w:rsidR="00A66171">
        <w:rPr>
          <w:rFonts w:cs="Arial"/>
          <w:lang w:val="es-UY" w:eastAsia="en-US"/>
        </w:rPr>
        <w:t>rresponde señalar lo siguiente:</w:t>
      </w:r>
    </w:p>
    <w:bookmarkEnd w:id="5"/>
    <w:p w:rsidR="00C41B62" w:rsidRPr="00A66171" w:rsidRDefault="00C41B62" w:rsidP="006A58DA">
      <w:pPr>
        <w:widowControl w:val="0"/>
        <w:autoSpaceDE w:val="0"/>
        <w:autoSpaceDN w:val="0"/>
        <w:adjustRightInd w:val="0"/>
        <w:spacing w:line="360" w:lineRule="auto"/>
        <w:jc w:val="both"/>
        <w:rPr>
          <w:rFonts w:eastAsia="Times New Roman" w:cs="Arial"/>
          <w:b/>
          <w:snapToGrid w:val="0"/>
          <w:lang w:val="es-UY"/>
        </w:rPr>
      </w:pPr>
    </w:p>
    <w:p w:rsidR="00C41B62" w:rsidRDefault="00C41B62" w:rsidP="006A58DA">
      <w:pPr>
        <w:widowControl w:val="0"/>
        <w:autoSpaceDE w:val="0"/>
        <w:autoSpaceDN w:val="0"/>
        <w:adjustRightInd w:val="0"/>
        <w:spacing w:line="360" w:lineRule="auto"/>
        <w:jc w:val="both"/>
        <w:rPr>
          <w:rFonts w:eastAsia="Times New Roman" w:cs="Arial"/>
          <w:snapToGrid w:val="0"/>
        </w:rPr>
      </w:pPr>
      <w:r w:rsidRPr="00CC4F27">
        <w:rPr>
          <w:rFonts w:eastAsia="Times New Roman" w:cs="Arial"/>
          <w:b/>
          <w:snapToGrid w:val="0"/>
        </w:rPr>
        <w:t>1.1) Artículo 86 de la Constitución de la República:</w:t>
      </w:r>
      <w:r w:rsidRPr="00CC4F27">
        <w:rPr>
          <w:rFonts w:eastAsia="Times New Roman" w:cs="Arial"/>
          <w:snapToGrid w:val="0"/>
        </w:rPr>
        <w:t xml:space="preserve"> Se contrataron funciona</w:t>
      </w:r>
      <w:r>
        <w:rPr>
          <w:rFonts w:eastAsia="Times New Roman" w:cs="Arial"/>
          <w:snapToGrid w:val="0"/>
        </w:rPr>
        <w:softHyphen/>
      </w:r>
      <w:r w:rsidRPr="00CC4F27">
        <w:rPr>
          <w:rFonts w:eastAsia="Times New Roman" w:cs="Arial"/>
          <w:snapToGrid w:val="0"/>
        </w:rPr>
        <w:t>rios sin que existieran los cargos vacantes respectivos, se liquidaron sueldos y se pagaron compensaciones salariales que no fueron previstas en el presupuesto. Asimismo, los aumen</w:t>
      </w:r>
      <w:r>
        <w:rPr>
          <w:rFonts w:eastAsia="Times New Roman" w:cs="Arial"/>
          <w:snapToGrid w:val="0"/>
        </w:rPr>
        <w:t>tos salariales otorgados en el E</w:t>
      </w:r>
      <w:r w:rsidRPr="00CC4F27">
        <w:rPr>
          <w:rFonts w:eastAsia="Times New Roman" w:cs="Arial"/>
          <w:snapToGrid w:val="0"/>
        </w:rPr>
        <w:t>jercicio fueron otorgados por Resolución de la Intendente y no fueron previstos en la norma presupuestal.</w:t>
      </w:r>
    </w:p>
    <w:p w:rsidR="00C41B62" w:rsidRPr="00CC4F27" w:rsidRDefault="00C41B62" w:rsidP="006A58DA">
      <w:pPr>
        <w:widowControl w:val="0"/>
        <w:autoSpaceDE w:val="0"/>
        <w:autoSpaceDN w:val="0"/>
        <w:adjustRightInd w:val="0"/>
        <w:spacing w:line="360" w:lineRule="auto"/>
        <w:jc w:val="both"/>
        <w:rPr>
          <w:rFonts w:eastAsia="Times New Roman" w:cs="Arial"/>
          <w:snapToGrid w:val="0"/>
        </w:rPr>
      </w:pPr>
    </w:p>
    <w:p w:rsidR="00C41B62" w:rsidRDefault="00C41B62" w:rsidP="00CC4F27">
      <w:pPr>
        <w:widowControl w:val="0"/>
        <w:autoSpaceDE w:val="0"/>
        <w:autoSpaceDN w:val="0"/>
        <w:adjustRightInd w:val="0"/>
        <w:spacing w:line="360" w:lineRule="auto"/>
        <w:jc w:val="both"/>
        <w:rPr>
          <w:rFonts w:eastAsia="Times New Roman" w:cs="Arial"/>
          <w:snapToGrid w:val="0"/>
        </w:rPr>
      </w:pPr>
      <w:r w:rsidRPr="00CC4F27">
        <w:rPr>
          <w:rFonts w:eastAsia="Times New Roman" w:cs="Arial"/>
          <w:b/>
          <w:snapToGrid w:val="0"/>
        </w:rPr>
        <w:t>1.2) Artículo 297 Numeral 1º) de la Constitución de la República:</w:t>
      </w:r>
      <w:r>
        <w:rPr>
          <w:rFonts w:eastAsia="Times New Roman" w:cs="Arial"/>
          <w:snapToGrid w:val="0"/>
        </w:rPr>
        <w:t xml:space="preserve"> Durante el E</w:t>
      </w:r>
      <w:r w:rsidRPr="00CC4F27">
        <w:rPr>
          <w:rFonts w:eastAsia="Times New Roman" w:cs="Arial"/>
          <w:snapToGrid w:val="0"/>
        </w:rPr>
        <w:t>jercicio 2017 se efectuaron bonificaciones en el tributo de Contribución Inmobiliaria Rural y se estableció la eliminación de multas generadas por deudas convenidas del impuesto mencionado. Tales situaciones contravienen esta normativa constitucional dado que dicha facultad es com</w:t>
      </w:r>
      <w:r w:rsidR="00A66171">
        <w:rPr>
          <w:rFonts w:eastAsia="Times New Roman" w:cs="Arial"/>
          <w:snapToGrid w:val="0"/>
        </w:rPr>
        <w:t>petencia del Poder Legislativo.</w:t>
      </w:r>
    </w:p>
    <w:p w:rsidR="00C41B62" w:rsidRPr="00CC4F27" w:rsidRDefault="00C41B62" w:rsidP="00CC4F27">
      <w:pPr>
        <w:widowControl w:val="0"/>
        <w:autoSpaceDE w:val="0"/>
        <w:autoSpaceDN w:val="0"/>
        <w:adjustRightInd w:val="0"/>
        <w:spacing w:line="360" w:lineRule="auto"/>
        <w:jc w:val="both"/>
        <w:rPr>
          <w:rFonts w:eastAsia="Times New Roman" w:cs="Arial"/>
          <w:snapToGrid w:val="0"/>
        </w:rPr>
      </w:pPr>
    </w:p>
    <w:p w:rsidR="00C41B62" w:rsidRDefault="00C41B62" w:rsidP="00CC4F27">
      <w:pPr>
        <w:widowControl w:val="0"/>
        <w:autoSpaceDE w:val="0"/>
        <w:autoSpaceDN w:val="0"/>
        <w:adjustRightInd w:val="0"/>
        <w:spacing w:line="360" w:lineRule="auto"/>
        <w:jc w:val="both"/>
        <w:rPr>
          <w:rFonts w:eastAsia="Times New Roman" w:cs="Arial"/>
          <w:snapToGrid w:val="0"/>
        </w:rPr>
      </w:pPr>
      <w:r w:rsidRPr="00CC4F27">
        <w:rPr>
          <w:rFonts w:eastAsia="Times New Roman" w:cs="Arial"/>
          <w:b/>
          <w:snapToGrid w:val="0"/>
        </w:rPr>
        <w:t>1.3) Artículos 4, 5 y 11 del TOCAF:</w:t>
      </w:r>
      <w:r w:rsidRPr="00CC4F27">
        <w:rPr>
          <w:rFonts w:eastAsia="Times New Roman" w:cs="Arial"/>
          <w:snapToGrid w:val="0"/>
        </w:rPr>
        <w:t xml:space="preserve"> Se ha contravenido lo dispuesto por estas normas al no depositarse la totalidad de la recaudación de la Tesorería de la Intendencia, de las Juntas Locales de Mariscala y </w:t>
      </w:r>
      <w:proofErr w:type="spellStart"/>
      <w:r w:rsidRPr="00CC4F27">
        <w:rPr>
          <w:rFonts w:eastAsia="Times New Roman" w:cs="Arial"/>
          <w:snapToGrid w:val="0"/>
        </w:rPr>
        <w:t>Pirarajá</w:t>
      </w:r>
      <w:proofErr w:type="spellEnd"/>
      <w:r w:rsidRPr="00CC4F27">
        <w:rPr>
          <w:rFonts w:eastAsia="Times New Roman" w:cs="Arial"/>
          <w:snapToGrid w:val="0"/>
        </w:rPr>
        <w:t xml:space="preserve"> y el Municipio de Varela, y realizar pagos con dichos fondos.</w:t>
      </w:r>
    </w:p>
    <w:p w:rsidR="00C41B62" w:rsidRPr="00CC4F27" w:rsidRDefault="00C41B62" w:rsidP="00CC4F27">
      <w:pPr>
        <w:widowControl w:val="0"/>
        <w:autoSpaceDE w:val="0"/>
        <w:autoSpaceDN w:val="0"/>
        <w:adjustRightInd w:val="0"/>
        <w:spacing w:line="360" w:lineRule="auto"/>
        <w:jc w:val="both"/>
        <w:rPr>
          <w:rFonts w:eastAsia="Times New Roman" w:cs="Arial"/>
          <w:snapToGrid w:val="0"/>
        </w:rPr>
      </w:pPr>
    </w:p>
    <w:p w:rsidR="00C41B62" w:rsidRDefault="00C41B62" w:rsidP="00CC4F27">
      <w:pPr>
        <w:spacing w:line="360" w:lineRule="auto"/>
        <w:jc w:val="both"/>
        <w:rPr>
          <w:rFonts w:eastAsia="Times New Roman" w:cs="Arial"/>
          <w:snapToGrid w:val="0"/>
        </w:rPr>
      </w:pPr>
      <w:r w:rsidRPr="00CC4F27">
        <w:rPr>
          <w:rFonts w:eastAsia="Times New Roman" w:cs="Arial"/>
          <w:b/>
          <w:snapToGrid w:val="0"/>
        </w:rPr>
        <w:t xml:space="preserve">1.4) Artículo 13 del TOCAF </w:t>
      </w:r>
      <w:r>
        <w:rPr>
          <w:rFonts w:eastAsia="Times New Roman" w:cs="Arial"/>
          <w:snapToGrid w:val="0"/>
        </w:rPr>
        <w:t>Se imputaron gastos del Ejercicio 2017 en el E</w:t>
      </w:r>
      <w:r w:rsidRPr="00CC4F27">
        <w:rPr>
          <w:rFonts w:eastAsia="Times New Roman" w:cs="Arial"/>
          <w:snapToGrid w:val="0"/>
        </w:rPr>
        <w:t>jercicio 2018</w:t>
      </w:r>
      <w:r>
        <w:rPr>
          <w:rFonts w:eastAsia="Times New Roman" w:cs="Arial"/>
          <w:snapToGrid w:val="0"/>
        </w:rPr>
        <w:t xml:space="preserve"> por un importe de $ 3:530.908.</w:t>
      </w:r>
    </w:p>
    <w:p w:rsidR="00C41B62" w:rsidRPr="00CC4F27" w:rsidRDefault="00C41B62" w:rsidP="00CC4F27">
      <w:pPr>
        <w:spacing w:line="360" w:lineRule="auto"/>
        <w:jc w:val="both"/>
        <w:rPr>
          <w:rFonts w:cs="Arial"/>
          <w:sz w:val="16"/>
          <w:szCs w:val="22"/>
          <w:lang w:val="es-UY" w:eastAsia="en-US"/>
        </w:rPr>
      </w:pPr>
    </w:p>
    <w:p w:rsidR="00C41B62" w:rsidRDefault="00C41B62" w:rsidP="005C1590">
      <w:pPr>
        <w:spacing w:line="360" w:lineRule="auto"/>
        <w:jc w:val="both"/>
        <w:rPr>
          <w:rFonts w:eastAsia="Times New Roman"/>
          <w:snapToGrid w:val="0"/>
          <w:color w:val="000000"/>
        </w:rPr>
      </w:pPr>
      <w:r w:rsidRPr="00CC4F27">
        <w:rPr>
          <w:rFonts w:eastAsia="Times New Roman" w:cs="Arial"/>
          <w:b/>
          <w:snapToGrid w:val="0"/>
        </w:rPr>
        <w:t xml:space="preserve">1.5) </w:t>
      </w:r>
      <w:r w:rsidRPr="00CC4F27">
        <w:rPr>
          <w:rFonts w:eastAsia="Times New Roman" w:cs="Arial"/>
          <w:b/>
        </w:rPr>
        <w:t>Artículo 40 del TOCAF</w:t>
      </w:r>
      <w:r w:rsidRPr="00CC4F27">
        <w:rPr>
          <w:rFonts w:eastAsia="Times New Roman" w:cs="Arial"/>
          <w:snapToGrid w:val="0"/>
        </w:rPr>
        <w:t xml:space="preserve"> Se celebraron contratos sin la constancia del informe previo de la oficina técnica competente con respecto al valor del arrendamiento a pagar, entre otros </w:t>
      </w:r>
      <w:proofErr w:type="spellStart"/>
      <w:r w:rsidRPr="00CC4F27">
        <w:rPr>
          <w:rFonts w:eastAsia="Times New Roman"/>
          <w:snapToGrid w:val="0"/>
          <w:color w:val="000000"/>
        </w:rPr>
        <w:t>Expte</w:t>
      </w:r>
      <w:proofErr w:type="spellEnd"/>
      <w:r w:rsidRPr="00CC4F27">
        <w:rPr>
          <w:rFonts w:eastAsia="Times New Roman"/>
          <w:snapToGrid w:val="0"/>
          <w:color w:val="000000"/>
        </w:rPr>
        <w:t xml:space="preserve">. 10823/2015 por un monto de $60.000 mensuales, </w:t>
      </w:r>
      <w:proofErr w:type="spellStart"/>
      <w:r w:rsidRPr="00CC4F27">
        <w:rPr>
          <w:rFonts w:eastAsia="Times New Roman"/>
          <w:snapToGrid w:val="0"/>
          <w:color w:val="000000"/>
        </w:rPr>
        <w:t>Expte</w:t>
      </w:r>
      <w:proofErr w:type="spellEnd"/>
      <w:r w:rsidRPr="00CC4F27">
        <w:rPr>
          <w:rFonts w:eastAsia="Times New Roman"/>
          <w:snapToGrid w:val="0"/>
          <w:color w:val="000000"/>
        </w:rPr>
        <w:t>. 9701/2017 por un monto de $</w:t>
      </w:r>
      <w:r>
        <w:rPr>
          <w:rFonts w:eastAsia="Times New Roman"/>
          <w:snapToGrid w:val="0"/>
          <w:color w:val="000000"/>
        </w:rPr>
        <w:t xml:space="preserve"> </w:t>
      </w:r>
      <w:r w:rsidRPr="00CC4F27">
        <w:rPr>
          <w:rFonts w:eastAsia="Times New Roman"/>
          <w:snapToGrid w:val="0"/>
          <w:color w:val="000000"/>
        </w:rPr>
        <w:t xml:space="preserve">57.882 </w:t>
      </w:r>
      <w:proofErr w:type="gramStart"/>
      <w:r w:rsidRPr="00CC4F27">
        <w:rPr>
          <w:rFonts w:eastAsia="Times New Roman"/>
          <w:snapToGrid w:val="0"/>
          <w:color w:val="000000"/>
        </w:rPr>
        <w:t>mensuales</w:t>
      </w:r>
      <w:proofErr w:type="gramEnd"/>
      <w:r w:rsidRPr="00CC4F27">
        <w:rPr>
          <w:rFonts w:eastAsia="Times New Roman"/>
          <w:snapToGrid w:val="0"/>
          <w:color w:val="000000"/>
        </w:rPr>
        <w:t xml:space="preserve"> y </w:t>
      </w:r>
      <w:proofErr w:type="spellStart"/>
      <w:r w:rsidRPr="00CC4F27">
        <w:rPr>
          <w:rFonts w:eastAsia="Times New Roman"/>
          <w:snapToGrid w:val="0"/>
          <w:color w:val="000000"/>
        </w:rPr>
        <w:t>Expte</w:t>
      </w:r>
      <w:proofErr w:type="spellEnd"/>
      <w:r w:rsidRPr="00CC4F27">
        <w:rPr>
          <w:rFonts w:eastAsia="Times New Roman"/>
          <w:snapToGrid w:val="0"/>
          <w:color w:val="000000"/>
        </w:rPr>
        <w:t>. 3124/2016 por un monto de $</w:t>
      </w:r>
      <w:r>
        <w:rPr>
          <w:rFonts w:eastAsia="Times New Roman"/>
          <w:snapToGrid w:val="0"/>
          <w:color w:val="000000"/>
        </w:rPr>
        <w:t xml:space="preserve"> </w:t>
      </w:r>
      <w:r w:rsidRPr="00CC4F27">
        <w:rPr>
          <w:rFonts w:eastAsia="Times New Roman"/>
          <w:snapToGrid w:val="0"/>
          <w:color w:val="000000"/>
        </w:rPr>
        <w:t>55.000 mensuales.</w:t>
      </w:r>
    </w:p>
    <w:p w:rsidR="00C41B62" w:rsidRDefault="00C41B62" w:rsidP="005C1590">
      <w:pPr>
        <w:spacing w:line="360" w:lineRule="auto"/>
        <w:jc w:val="both"/>
        <w:rPr>
          <w:rFonts w:eastAsia="Times New Roman"/>
          <w:snapToGrid w:val="0"/>
          <w:color w:val="000000"/>
        </w:rPr>
      </w:pPr>
    </w:p>
    <w:p w:rsidR="00EB7620" w:rsidRDefault="00EB7620" w:rsidP="005C1590">
      <w:pPr>
        <w:spacing w:line="360" w:lineRule="auto"/>
        <w:jc w:val="both"/>
        <w:rPr>
          <w:rFonts w:eastAsia="Times New Roman"/>
          <w:snapToGrid w:val="0"/>
          <w:color w:val="000000"/>
        </w:rPr>
      </w:pPr>
    </w:p>
    <w:p w:rsidR="00C41B62" w:rsidRDefault="00C41B62" w:rsidP="00CC4F27">
      <w:pPr>
        <w:widowControl w:val="0"/>
        <w:autoSpaceDE w:val="0"/>
        <w:autoSpaceDN w:val="0"/>
        <w:adjustRightInd w:val="0"/>
        <w:spacing w:line="360" w:lineRule="auto"/>
        <w:jc w:val="both"/>
        <w:rPr>
          <w:rFonts w:eastAsia="Times New Roman" w:cs="Arial"/>
          <w:color w:val="333333"/>
          <w:shd w:val="clear" w:color="auto" w:fill="FFFFFF"/>
        </w:rPr>
      </w:pPr>
      <w:r w:rsidRPr="00CC4F27">
        <w:rPr>
          <w:rFonts w:eastAsia="Times New Roman" w:cs="Arial"/>
          <w:b/>
          <w:snapToGrid w:val="0"/>
        </w:rPr>
        <w:t>1.</w:t>
      </w:r>
      <w:r>
        <w:rPr>
          <w:rFonts w:eastAsia="Times New Roman" w:cs="Arial"/>
          <w:b/>
          <w:snapToGrid w:val="0"/>
        </w:rPr>
        <w:t>6</w:t>
      </w:r>
      <w:r w:rsidRPr="00CC4F27">
        <w:rPr>
          <w:rFonts w:eastAsia="Times New Roman" w:cs="Arial"/>
          <w:b/>
          <w:snapToGrid w:val="0"/>
        </w:rPr>
        <w:t>) Artículos 84 y 97 del TOCAF:</w:t>
      </w:r>
      <w:r w:rsidRPr="00CC4F27">
        <w:rPr>
          <w:rFonts w:eastAsia="Times New Roman" w:cs="Arial"/>
          <w:snapToGrid w:val="0"/>
        </w:rPr>
        <w:t xml:space="preserve"> No se mantiene un inventario de bienes actualizado y valuado. En el sistema contable se registra a costo de adquisición los bienes muebles, tierras y edificios y vías de comunicación. </w:t>
      </w:r>
      <w:r w:rsidRPr="00CC4F27">
        <w:rPr>
          <w:rFonts w:eastAsia="Times New Roman" w:cs="Arial"/>
          <w:color w:val="333333"/>
          <w:shd w:val="clear" w:color="auto" w:fill="FFFFFF"/>
        </w:rPr>
        <w:t>Por su parte, la Oficina de Auditor</w:t>
      </w:r>
      <w:r>
        <w:rPr>
          <w:rFonts w:eastAsia="Times New Roman" w:cs="Arial"/>
          <w:color w:val="333333"/>
          <w:shd w:val="clear" w:color="auto" w:fill="FFFFFF"/>
        </w:rPr>
        <w:t>í</w:t>
      </w:r>
      <w:r w:rsidRPr="00CC4F27">
        <w:rPr>
          <w:rFonts w:eastAsia="Times New Roman" w:cs="Arial"/>
          <w:color w:val="333333"/>
          <w:shd w:val="clear" w:color="auto" w:fill="FFFFFF"/>
        </w:rPr>
        <w:t xml:space="preserve">a Interna mantiene un inventario de mobiliario de oficina, maquinarias y vehículos que no se actualiza de forma adecuada, </w:t>
      </w:r>
      <w:r w:rsidR="00A66171">
        <w:rPr>
          <w:rFonts w:eastAsia="Times New Roman" w:cs="Arial"/>
          <w:color w:val="333333"/>
          <w:shd w:val="clear" w:color="auto" w:fill="FFFFFF"/>
        </w:rPr>
        <w:t>no está valuado ni se controla.</w:t>
      </w:r>
    </w:p>
    <w:p w:rsidR="00C41B62" w:rsidRPr="00CC4F27" w:rsidRDefault="00C41B62" w:rsidP="00CC4F27">
      <w:pPr>
        <w:widowControl w:val="0"/>
        <w:autoSpaceDE w:val="0"/>
        <w:autoSpaceDN w:val="0"/>
        <w:adjustRightInd w:val="0"/>
        <w:spacing w:line="360" w:lineRule="auto"/>
        <w:jc w:val="both"/>
        <w:rPr>
          <w:rFonts w:eastAsia="Times New Roman"/>
          <w:snapToGrid w:val="0"/>
          <w:color w:val="FF0000"/>
        </w:rPr>
      </w:pPr>
    </w:p>
    <w:p w:rsidR="00C41B62" w:rsidRDefault="00C41B62" w:rsidP="00CC4F27">
      <w:pPr>
        <w:widowControl w:val="0"/>
        <w:autoSpaceDE w:val="0"/>
        <w:autoSpaceDN w:val="0"/>
        <w:adjustRightInd w:val="0"/>
        <w:spacing w:line="360" w:lineRule="auto"/>
        <w:jc w:val="both"/>
        <w:rPr>
          <w:rFonts w:eastAsia="Times New Roman" w:cs="Arial"/>
          <w:snapToGrid w:val="0"/>
        </w:rPr>
      </w:pPr>
      <w:r w:rsidRPr="00CC4F27">
        <w:rPr>
          <w:rFonts w:eastAsia="Times New Roman" w:cs="Arial"/>
          <w:b/>
          <w:snapToGrid w:val="0"/>
        </w:rPr>
        <w:t>1.</w:t>
      </w:r>
      <w:r>
        <w:rPr>
          <w:rFonts w:eastAsia="Times New Roman" w:cs="Arial"/>
          <w:b/>
          <w:snapToGrid w:val="0"/>
        </w:rPr>
        <w:t>7</w:t>
      </w:r>
      <w:r w:rsidRPr="00CC4F27">
        <w:rPr>
          <w:rFonts w:eastAsia="Times New Roman" w:cs="Arial"/>
          <w:b/>
          <w:snapToGrid w:val="0"/>
        </w:rPr>
        <w:t xml:space="preserve">) Artículo 94 del TOCAF y Ordenanza Nº 89 del Tribunal de Cuentas: </w:t>
      </w:r>
      <w:r w:rsidRPr="00CC4F27">
        <w:rPr>
          <w:rFonts w:eastAsia="Times New Roman" w:cs="Arial"/>
          <w:snapToGrid w:val="0"/>
        </w:rPr>
        <w:t>No se ha implementado en la Intendencia un sistema de contabilidad patrimonial que permita cumplir con lo establecido en estas normas.</w:t>
      </w:r>
    </w:p>
    <w:p w:rsidR="00C41B62" w:rsidRPr="00CC4F27" w:rsidRDefault="00C41B62" w:rsidP="00CC4F27">
      <w:pPr>
        <w:widowControl w:val="0"/>
        <w:autoSpaceDE w:val="0"/>
        <w:autoSpaceDN w:val="0"/>
        <w:adjustRightInd w:val="0"/>
        <w:spacing w:line="360" w:lineRule="auto"/>
        <w:jc w:val="both"/>
        <w:rPr>
          <w:rFonts w:eastAsia="Times New Roman" w:cs="Arial"/>
          <w:snapToGrid w:val="0"/>
        </w:rPr>
      </w:pPr>
    </w:p>
    <w:p w:rsidR="00C41B62" w:rsidRDefault="00C41B62" w:rsidP="00C41B62">
      <w:pPr>
        <w:pStyle w:val="Prrafodelista"/>
        <w:widowControl w:val="0"/>
        <w:numPr>
          <w:ilvl w:val="1"/>
          <w:numId w:val="18"/>
        </w:numPr>
        <w:autoSpaceDE w:val="0"/>
        <w:autoSpaceDN w:val="0"/>
        <w:adjustRightInd w:val="0"/>
        <w:spacing w:line="360" w:lineRule="auto"/>
        <w:ind w:left="0" w:firstLine="0"/>
        <w:jc w:val="both"/>
        <w:rPr>
          <w:rFonts w:eastAsia="Times New Roman" w:cs="Arial"/>
          <w:snapToGrid w:val="0"/>
        </w:rPr>
      </w:pPr>
      <w:r w:rsidRPr="005C1590">
        <w:rPr>
          <w:rFonts w:eastAsia="Times New Roman" w:cs="Arial"/>
          <w:b/>
          <w:snapToGrid w:val="0"/>
        </w:rPr>
        <w:t xml:space="preserve">Artículo 128 del TOCAF: </w:t>
      </w:r>
      <w:r w:rsidRPr="005C1590">
        <w:rPr>
          <w:rFonts w:eastAsia="Times New Roman" w:cs="Arial"/>
          <w:snapToGrid w:val="0"/>
        </w:rPr>
        <w:t>El estado demostrativo del grado de cumplimiento de los objetivos y metas programadas no indica los previstos y alcanzados y el costo resultante.</w:t>
      </w:r>
    </w:p>
    <w:p w:rsidR="00C41B62" w:rsidRPr="005C1590" w:rsidRDefault="00C41B62" w:rsidP="006A58DA">
      <w:pPr>
        <w:pStyle w:val="Prrafodelista"/>
        <w:widowControl w:val="0"/>
        <w:autoSpaceDE w:val="0"/>
        <w:autoSpaceDN w:val="0"/>
        <w:adjustRightInd w:val="0"/>
        <w:spacing w:line="360" w:lineRule="auto"/>
        <w:ind w:left="0"/>
        <w:jc w:val="both"/>
        <w:rPr>
          <w:rFonts w:eastAsia="Times New Roman" w:cs="Arial"/>
          <w:snapToGrid w:val="0"/>
        </w:rPr>
      </w:pPr>
    </w:p>
    <w:p w:rsidR="00C41B62" w:rsidRDefault="00C41B62" w:rsidP="00CC4F27">
      <w:pPr>
        <w:widowControl w:val="0"/>
        <w:autoSpaceDE w:val="0"/>
        <w:autoSpaceDN w:val="0"/>
        <w:adjustRightInd w:val="0"/>
        <w:spacing w:line="360" w:lineRule="auto"/>
        <w:jc w:val="both"/>
        <w:rPr>
          <w:rFonts w:eastAsia="Times New Roman" w:cs="Arial"/>
          <w:snapToGrid w:val="0"/>
        </w:rPr>
      </w:pPr>
      <w:r w:rsidRPr="00CC4F27">
        <w:rPr>
          <w:rFonts w:eastAsia="Times New Roman"/>
          <w:b/>
          <w:snapToGrid w:val="0"/>
        </w:rPr>
        <w:t>1.</w:t>
      </w:r>
      <w:r>
        <w:rPr>
          <w:rFonts w:eastAsia="Times New Roman"/>
          <w:b/>
          <w:snapToGrid w:val="0"/>
        </w:rPr>
        <w:t>9</w:t>
      </w:r>
      <w:r w:rsidRPr="00CC4F27">
        <w:rPr>
          <w:rFonts w:eastAsia="Times New Roman"/>
          <w:b/>
          <w:snapToGrid w:val="0"/>
        </w:rPr>
        <w:t xml:space="preserve">) </w:t>
      </w:r>
      <w:r w:rsidRPr="00CC4F27">
        <w:rPr>
          <w:rFonts w:eastAsia="Times New Roman" w:cs="Arial"/>
          <w:b/>
        </w:rPr>
        <w:t xml:space="preserve">Artículo 238 de la Ley Nº 13.637 y Artículo 279 de la Ley Nº 12.804: </w:t>
      </w:r>
      <w:r w:rsidRPr="00CC4F27">
        <w:rPr>
          <w:rFonts w:eastAsia="Times New Roman" w:cs="Arial"/>
        </w:rPr>
        <w:t>El val</w:t>
      </w:r>
      <w:r>
        <w:rPr>
          <w:rFonts w:eastAsia="Times New Roman" w:cs="Arial"/>
        </w:rPr>
        <w:t>o</w:t>
      </w:r>
      <w:r w:rsidRPr="00CC4F27">
        <w:rPr>
          <w:rFonts w:eastAsia="Times New Roman" w:cs="Arial"/>
        </w:rPr>
        <w:t>r de aforo utilizado para el cálculo del tributo Contribución Inmobiliaria Rural no coincide con el valor establecido por la Dirección Nacional de Catastro</w:t>
      </w:r>
      <w:r>
        <w:rPr>
          <w:rFonts w:eastAsia="Times New Roman" w:cs="Arial"/>
        </w:rPr>
        <w:t>.</w:t>
      </w:r>
    </w:p>
    <w:p w:rsidR="00C41B62" w:rsidRPr="00CC4F27" w:rsidRDefault="00C41B62" w:rsidP="00CC4F27">
      <w:pPr>
        <w:widowControl w:val="0"/>
        <w:autoSpaceDE w:val="0"/>
        <w:autoSpaceDN w:val="0"/>
        <w:adjustRightInd w:val="0"/>
        <w:spacing w:line="360" w:lineRule="auto"/>
        <w:jc w:val="both"/>
        <w:rPr>
          <w:rFonts w:eastAsia="Times New Roman" w:cs="Arial"/>
          <w:snapToGrid w:val="0"/>
        </w:rPr>
      </w:pPr>
    </w:p>
    <w:p w:rsidR="00C41B62" w:rsidRDefault="00C41B62" w:rsidP="00CC4F27">
      <w:pPr>
        <w:widowControl w:val="0"/>
        <w:autoSpaceDE w:val="0"/>
        <w:autoSpaceDN w:val="0"/>
        <w:adjustRightInd w:val="0"/>
        <w:spacing w:line="360" w:lineRule="auto"/>
        <w:jc w:val="both"/>
        <w:rPr>
          <w:rFonts w:eastAsia="Times New Roman" w:cs="Arial"/>
          <w:snapToGrid w:val="0"/>
        </w:rPr>
      </w:pPr>
      <w:r w:rsidRPr="00CC4F27">
        <w:rPr>
          <w:rFonts w:eastAsia="Times New Roman" w:cs="Arial"/>
          <w:b/>
          <w:snapToGrid w:val="0"/>
        </w:rPr>
        <w:t>1.1</w:t>
      </w:r>
      <w:r>
        <w:rPr>
          <w:rFonts w:eastAsia="Times New Roman" w:cs="Arial"/>
          <w:b/>
          <w:snapToGrid w:val="0"/>
        </w:rPr>
        <w:t>0</w:t>
      </w:r>
      <w:r w:rsidRPr="00CC4F27">
        <w:rPr>
          <w:rFonts w:eastAsia="Times New Roman" w:cs="Arial"/>
          <w:b/>
          <w:snapToGrid w:val="0"/>
        </w:rPr>
        <w:t>) Artículo 7 de la Ley Nº 13.142, Decreto-Ley Nº 14.632 y Decreto            Nº 342/92:</w:t>
      </w:r>
      <w:r w:rsidRPr="00CC4F27">
        <w:rPr>
          <w:rFonts w:eastAsia="Times New Roman" w:cs="Arial"/>
          <w:snapToGrid w:val="0"/>
        </w:rPr>
        <w:t xml:space="preserve"> No se verifica que los proveedores se encuentren al día con sus obligaciones ante BPS y DGI al momento del pago.</w:t>
      </w:r>
    </w:p>
    <w:p w:rsidR="00C41B62" w:rsidRPr="00CC4F27" w:rsidRDefault="00C41B62" w:rsidP="00CC4F27">
      <w:pPr>
        <w:widowControl w:val="0"/>
        <w:autoSpaceDE w:val="0"/>
        <w:autoSpaceDN w:val="0"/>
        <w:adjustRightInd w:val="0"/>
        <w:spacing w:line="360" w:lineRule="auto"/>
        <w:jc w:val="both"/>
        <w:rPr>
          <w:rFonts w:eastAsia="Times New Roman" w:cs="Arial"/>
          <w:snapToGrid w:val="0"/>
        </w:rPr>
      </w:pPr>
    </w:p>
    <w:p w:rsidR="00C41B62" w:rsidRDefault="00C41B62" w:rsidP="00CC4F27">
      <w:pPr>
        <w:widowControl w:val="0"/>
        <w:autoSpaceDE w:val="0"/>
        <w:autoSpaceDN w:val="0"/>
        <w:adjustRightInd w:val="0"/>
        <w:spacing w:line="360" w:lineRule="auto"/>
        <w:jc w:val="both"/>
        <w:rPr>
          <w:rFonts w:eastAsia="Times New Roman" w:cs="Arial"/>
          <w:snapToGrid w:val="0"/>
        </w:rPr>
      </w:pPr>
      <w:r w:rsidRPr="00CC4F27">
        <w:rPr>
          <w:rFonts w:eastAsia="Times New Roman" w:cs="Arial"/>
          <w:b/>
          <w:snapToGrid w:val="0"/>
        </w:rPr>
        <w:t>1.1</w:t>
      </w:r>
      <w:r>
        <w:rPr>
          <w:rFonts w:eastAsia="Times New Roman" w:cs="Arial"/>
          <w:b/>
          <w:snapToGrid w:val="0"/>
        </w:rPr>
        <w:t>1</w:t>
      </w:r>
      <w:r w:rsidRPr="00CC4F27">
        <w:rPr>
          <w:rFonts w:eastAsia="Times New Roman" w:cs="Arial"/>
          <w:b/>
          <w:snapToGrid w:val="0"/>
        </w:rPr>
        <w:t xml:space="preserve">) Artículos 67 y 68 del Decreto N° 2953/11 de la Junta Departamental: </w:t>
      </w:r>
      <w:r w:rsidRPr="00CC4F27">
        <w:rPr>
          <w:rFonts w:eastAsia="Times New Roman" w:cs="Arial"/>
          <w:snapToGrid w:val="0"/>
        </w:rPr>
        <w:t>Los recursos que financian las actividades de los Municipios son establecidos por Resoluciones del Intendente, incumpliéndose con esta norma, la cual señala que la fuente de recursos de los Municipios serán los impuestos y tasas que se recauden en los mismos.</w:t>
      </w:r>
    </w:p>
    <w:p w:rsidR="00A66171" w:rsidRDefault="00A66171" w:rsidP="00CC4F27">
      <w:pPr>
        <w:widowControl w:val="0"/>
        <w:autoSpaceDE w:val="0"/>
        <w:autoSpaceDN w:val="0"/>
        <w:adjustRightInd w:val="0"/>
        <w:spacing w:line="360" w:lineRule="auto"/>
        <w:jc w:val="both"/>
        <w:rPr>
          <w:rFonts w:eastAsia="Times New Roman" w:cs="Arial"/>
          <w:snapToGrid w:val="0"/>
        </w:rPr>
      </w:pPr>
    </w:p>
    <w:p w:rsidR="00C41B62" w:rsidRDefault="00C41B62" w:rsidP="00CC4F27">
      <w:pPr>
        <w:widowControl w:val="0"/>
        <w:autoSpaceDE w:val="0"/>
        <w:autoSpaceDN w:val="0"/>
        <w:adjustRightInd w:val="0"/>
        <w:spacing w:line="360" w:lineRule="auto"/>
        <w:jc w:val="both"/>
        <w:rPr>
          <w:rFonts w:eastAsia="Times New Roman" w:cs="Arial"/>
        </w:rPr>
      </w:pPr>
      <w:r w:rsidRPr="00CC4F27">
        <w:rPr>
          <w:rFonts w:eastAsia="Times New Roman" w:cs="Arial"/>
          <w:b/>
          <w:snapToGrid w:val="0"/>
        </w:rPr>
        <w:t>1.</w:t>
      </w:r>
      <w:r>
        <w:rPr>
          <w:rFonts w:eastAsia="Times New Roman" w:cs="Arial"/>
          <w:b/>
          <w:snapToGrid w:val="0"/>
        </w:rPr>
        <w:t>12</w:t>
      </w:r>
      <w:r w:rsidRPr="00CC4F27">
        <w:rPr>
          <w:rFonts w:eastAsia="Times New Roman" w:cs="Arial"/>
          <w:b/>
          <w:snapToGrid w:val="0"/>
        </w:rPr>
        <w:t xml:space="preserve">) </w:t>
      </w:r>
      <w:r w:rsidRPr="00CC4F27">
        <w:rPr>
          <w:rFonts w:eastAsia="Times New Roman" w:cs="Arial"/>
          <w:b/>
        </w:rPr>
        <w:t>Artículo 1 del Decreto de la Junta Departamental N° 3091/2012:</w:t>
      </w:r>
      <w:r w:rsidRPr="00CC4F27">
        <w:rPr>
          <w:rFonts w:eastAsia="Times New Roman" w:cs="Arial"/>
        </w:rPr>
        <w:t xml:space="preserve"> Los créditos y estimaciones de recursos presentados no coinciden con los aprobados en la Mod</w:t>
      </w:r>
      <w:r>
        <w:rPr>
          <w:rFonts w:eastAsia="Times New Roman" w:cs="Arial"/>
        </w:rPr>
        <w:t>ificación Presupuestal para el E</w:t>
      </w:r>
      <w:r w:rsidRPr="00CC4F27">
        <w:rPr>
          <w:rFonts w:eastAsia="Times New Roman" w:cs="Arial"/>
        </w:rPr>
        <w:t>jercicio 2013.</w:t>
      </w:r>
    </w:p>
    <w:p w:rsidR="00A66171" w:rsidRPr="00CC4F27" w:rsidRDefault="00A66171" w:rsidP="00CC4F27">
      <w:pPr>
        <w:widowControl w:val="0"/>
        <w:autoSpaceDE w:val="0"/>
        <w:autoSpaceDN w:val="0"/>
        <w:adjustRightInd w:val="0"/>
        <w:spacing w:line="360" w:lineRule="auto"/>
        <w:jc w:val="both"/>
        <w:rPr>
          <w:rFonts w:eastAsia="Times New Roman" w:cs="Arial"/>
          <w:b/>
        </w:rPr>
      </w:pPr>
    </w:p>
    <w:p w:rsidR="00C41B62" w:rsidRDefault="00C41B62" w:rsidP="00CC4F27">
      <w:pPr>
        <w:widowControl w:val="0"/>
        <w:autoSpaceDE w:val="0"/>
        <w:autoSpaceDN w:val="0"/>
        <w:adjustRightInd w:val="0"/>
        <w:spacing w:line="360" w:lineRule="auto"/>
        <w:jc w:val="both"/>
        <w:rPr>
          <w:rFonts w:eastAsia="Times New Roman" w:cs="Arial"/>
          <w:snapToGrid w:val="0"/>
        </w:rPr>
      </w:pPr>
      <w:r w:rsidRPr="00CC4F27">
        <w:rPr>
          <w:rFonts w:eastAsia="Times New Roman" w:cs="Arial"/>
          <w:b/>
          <w:snapToGrid w:val="0"/>
        </w:rPr>
        <w:t>1.</w:t>
      </w:r>
      <w:r>
        <w:rPr>
          <w:rFonts w:eastAsia="Times New Roman" w:cs="Arial"/>
          <w:b/>
          <w:snapToGrid w:val="0"/>
        </w:rPr>
        <w:t>13</w:t>
      </w:r>
      <w:r w:rsidRPr="00CC4F27">
        <w:rPr>
          <w:rFonts w:eastAsia="Times New Roman" w:cs="Arial"/>
          <w:b/>
          <w:snapToGrid w:val="0"/>
        </w:rPr>
        <w:t>) Artículo 6 del Decreto de la Junta Departamental de Lavalleja N</w:t>
      </w:r>
      <w:r>
        <w:rPr>
          <w:rFonts w:eastAsia="Times New Roman" w:cs="Arial"/>
          <w:b/>
          <w:snapToGrid w:val="0"/>
        </w:rPr>
        <w:t>º</w:t>
      </w:r>
      <w:r w:rsidRPr="00CC4F27">
        <w:rPr>
          <w:rFonts w:eastAsia="Times New Roman" w:cs="Arial"/>
          <w:b/>
          <w:snapToGrid w:val="0"/>
        </w:rPr>
        <w:t xml:space="preserve">3308/2015: </w:t>
      </w:r>
      <w:r w:rsidRPr="00CC4F27">
        <w:rPr>
          <w:rFonts w:eastAsia="Times New Roman" w:cs="Arial"/>
          <w:snapToGrid w:val="0"/>
        </w:rPr>
        <w:t>Se reflotaron convenios caídos por configurar causales de caducidad, incumpliendo lo establecido en la citada norma.</w:t>
      </w:r>
    </w:p>
    <w:p w:rsidR="00C41B62" w:rsidRDefault="00C41B62" w:rsidP="00BF2CB2">
      <w:pPr>
        <w:spacing w:line="360" w:lineRule="auto"/>
        <w:jc w:val="both"/>
        <w:rPr>
          <w:rFonts w:eastAsia="Times New Roman" w:cs="Arial"/>
          <w:snapToGrid w:val="0"/>
        </w:rPr>
      </w:pPr>
      <w:r w:rsidRPr="00CC4F27">
        <w:rPr>
          <w:rFonts w:eastAsia="Times New Roman" w:cs="Arial"/>
          <w:b/>
          <w:snapToGrid w:val="0"/>
          <w:szCs w:val="20"/>
        </w:rPr>
        <w:t>1.</w:t>
      </w:r>
      <w:r>
        <w:rPr>
          <w:rFonts w:eastAsia="Times New Roman" w:cs="Arial"/>
          <w:b/>
          <w:snapToGrid w:val="0"/>
          <w:szCs w:val="20"/>
        </w:rPr>
        <w:t>14</w:t>
      </w:r>
      <w:r w:rsidRPr="00CC4F27">
        <w:rPr>
          <w:rFonts w:eastAsia="Times New Roman" w:cs="Arial"/>
          <w:b/>
          <w:snapToGrid w:val="0"/>
          <w:szCs w:val="20"/>
        </w:rPr>
        <w:t xml:space="preserve">) </w:t>
      </w:r>
      <w:r w:rsidRPr="00CC4F27">
        <w:rPr>
          <w:rFonts w:eastAsia="Times New Roman" w:cs="Arial"/>
          <w:b/>
          <w:snapToGrid w:val="0"/>
        </w:rPr>
        <w:t xml:space="preserve">Resolución del Tribunal de Cuentas </w:t>
      </w:r>
      <w:r>
        <w:rPr>
          <w:rFonts w:eastAsia="Times New Roman" w:cs="Arial"/>
          <w:b/>
          <w:snapToGrid w:val="0"/>
        </w:rPr>
        <w:t xml:space="preserve">de fecha </w:t>
      </w:r>
      <w:r w:rsidRPr="00CC4F27">
        <w:rPr>
          <w:rFonts w:eastAsia="Times New Roman" w:cs="Arial"/>
          <w:b/>
          <w:snapToGrid w:val="0"/>
        </w:rPr>
        <w:t xml:space="preserve">11/05/2005: </w:t>
      </w:r>
      <w:r w:rsidRPr="00CC4F27">
        <w:rPr>
          <w:rFonts w:eastAsia="Times New Roman" w:cs="Arial"/>
          <w:snapToGrid w:val="0"/>
        </w:rPr>
        <w:t>La Intendencia no ha comunicado a este Tribunal, los informes semestrales de las dependencias que tienen a su cargo la verificación del cumplimiento de los contratos de concesiones correspondientes.</w:t>
      </w:r>
    </w:p>
    <w:p w:rsidR="00C41B62" w:rsidRPr="00CC4F27" w:rsidRDefault="00C41B62" w:rsidP="00CC4F27">
      <w:pPr>
        <w:spacing w:line="360" w:lineRule="auto"/>
        <w:jc w:val="both"/>
        <w:outlineLvl w:val="1"/>
        <w:rPr>
          <w:rFonts w:eastAsia="Lucida Sans Unicode"/>
          <w:kern w:val="18"/>
          <w:szCs w:val="20"/>
        </w:rPr>
      </w:pPr>
      <w:r w:rsidRPr="00CC4F27">
        <w:rPr>
          <w:rFonts w:eastAsia="Times New Roman" w:cs="Arial"/>
          <w:b/>
          <w:snapToGrid w:val="0"/>
        </w:rPr>
        <w:t>1.</w:t>
      </w:r>
      <w:r>
        <w:rPr>
          <w:rFonts w:eastAsia="Times New Roman" w:cs="Arial"/>
          <w:b/>
          <w:snapToGrid w:val="0"/>
        </w:rPr>
        <w:t>15</w:t>
      </w:r>
      <w:r w:rsidRPr="00CC4F27">
        <w:rPr>
          <w:rFonts w:eastAsia="Times New Roman" w:cs="Arial"/>
          <w:b/>
          <w:snapToGrid w:val="0"/>
        </w:rPr>
        <w:t>) Resolución de</w:t>
      </w:r>
      <w:r>
        <w:rPr>
          <w:rFonts w:eastAsia="Times New Roman" w:cs="Arial"/>
          <w:b/>
          <w:snapToGrid w:val="0"/>
        </w:rPr>
        <w:t>l</w:t>
      </w:r>
      <w:r w:rsidRPr="00CC4F27">
        <w:rPr>
          <w:rFonts w:eastAsia="Times New Roman" w:cs="Arial"/>
          <w:b/>
          <w:snapToGrid w:val="0"/>
        </w:rPr>
        <w:t xml:space="preserve"> Tribunal </w:t>
      </w:r>
      <w:r>
        <w:rPr>
          <w:rFonts w:eastAsia="Times New Roman" w:cs="Arial"/>
          <w:b/>
          <w:snapToGrid w:val="0"/>
        </w:rPr>
        <w:t>de Cuentas de</w:t>
      </w:r>
      <w:r w:rsidRPr="00CC4F27">
        <w:rPr>
          <w:rFonts w:eastAsia="Times New Roman" w:cs="Arial"/>
          <w:b/>
          <w:snapToGrid w:val="0"/>
        </w:rPr>
        <w:t xml:space="preserve"> fecha 28/01/04.</w:t>
      </w:r>
      <w:r w:rsidRPr="00CC4F27">
        <w:rPr>
          <w:rFonts w:eastAsia="Times New Roman" w:cs="Arial"/>
          <w:snapToGrid w:val="0"/>
        </w:rPr>
        <w:t xml:space="preserve"> </w:t>
      </w:r>
      <w:r w:rsidRPr="00CC4F27">
        <w:rPr>
          <w:rFonts w:eastAsia="Lucida Sans Unicode"/>
          <w:kern w:val="18"/>
          <w:szCs w:val="20"/>
        </w:rPr>
        <w:t>El documento presentado no se ajusta totalmente en su formulación a lo dispuesto por la citada Resolución en tanto:</w:t>
      </w:r>
    </w:p>
    <w:p w:rsidR="00C41B62" w:rsidRPr="00CC4F27" w:rsidRDefault="00C41B62" w:rsidP="00CC4F27">
      <w:pPr>
        <w:numPr>
          <w:ilvl w:val="0"/>
          <w:numId w:val="17"/>
        </w:numPr>
        <w:spacing w:line="360" w:lineRule="auto"/>
        <w:jc w:val="both"/>
        <w:rPr>
          <w:rFonts w:eastAsia="Times New Roman"/>
          <w:snapToGrid w:val="0"/>
        </w:rPr>
      </w:pPr>
      <w:r w:rsidRPr="00CC4F27">
        <w:rPr>
          <w:rFonts w:eastAsia="Times New Roman"/>
          <w:snapToGrid w:val="0"/>
        </w:rPr>
        <w:t>No se incluye oficio de la Contaduría Municipal a la Sra. Intendente.</w:t>
      </w:r>
    </w:p>
    <w:p w:rsidR="00C41B62" w:rsidRPr="00CC4F27" w:rsidRDefault="00C41B62" w:rsidP="00CC4F27">
      <w:pPr>
        <w:numPr>
          <w:ilvl w:val="0"/>
          <w:numId w:val="17"/>
        </w:numPr>
        <w:spacing w:line="360" w:lineRule="auto"/>
        <w:jc w:val="both"/>
        <w:rPr>
          <w:rFonts w:eastAsia="Times New Roman"/>
          <w:snapToGrid w:val="0"/>
        </w:rPr>
      </w:pPr>
      <w:r w:rsidRPr="00CC4F27">
        <w:rPr>
          <w:rFonts w:eastAsia="Times New Roman"/>
          <w:snapToGrid w:val="0"/>
        </w:rPr>
        <w:t>No se presentan los siguientes Estados:</w:t>
      </w:r>
    </w:p>
    <w:p w:rsidR="00C41B62" w:rsidRPr="00CC4F27" w:rsidRDefault="00C41B62" w:rsidP="00CC4F27">
      <w:pPr>
        <w:spacing w:line="360" w:lineRule="auto"/>
        <w:ind w:firstLine="360"/>
        <w:jc w:val="both"/>
        <w:rPr>
          <w:rFonts w:eastAsia="Times New Roman"/>
          <w:snapToGrid w:val="0"/>
        </w:rPr>
      </w:pPr>
      <w:r w:rsidRPr="00CC4F27">
        <w:rPr>
          <w:rFonts w:eastAsia="Times New Roman"/>
          <w:snapToGrid w:val="0"/>
        </w:rPr>
        <w:t>Recursos con destino específico</w:t>
      </w:r>
    </w:p>
    <w:p w:rsidR="00C41B62" w:rsidRPr="00CC4F27" w:rsidRDefault="00C41B62" w:rsidP="00CC4F27">
      <w:pPr>
        <w:spacing w:line="360" w:lineRule="auto"/>
        <w:ind w:firstLine="360"/>
        <w:jc w:val="both"/>
        <w:rPr>
          <w:rFonts w:eastAsia="Times New Roman"/>
          <w:snapToGrid w:val="0"/>
        </w:rPr>
      </w:pPr>
      <w:r w:rsidRPr="00CC4F27">
        <w:rPr>
          <w:rFonts w:eastAsia="Times New Roman"/>
          <w:snapToGrid w:val="0"/>
        </w:rPr>
        <w:t>Fondos a rendir cuenta y bienes en custodia</w:t>
      </w:r>
    </w:p>
    <w:p w:rsidR="00C41B62" w:rsidRPr="00CC4F27" w:rsidRDefault="00C41B62" w:rsidP="00CC4F27">
      <w:pPr>
        <w:spacing w:line="360" w:lineRule="auto"/>
        <w:ind w:firstLine="360"/>
        <w:jc w:val="both"/>
        <w:rPr>
          <w:rFonts w:eastAsia="Times New Roman"/>
          <w:snapToGrid w:val="0"/>
        </w:rPr>
      </w:pPr>
      <w:r w:rsidRPr="00CC4F27">
        <w:rPr>
          <w:rFonts w:eastAsia="Times New Roman"/>
          <w:snapToGrid w:val="0"/>
        </w:rPr>
        <w:t>Evolución de convenios</w:t>
      </w:r>
    </w:p>
    <w:p w:rsidR="00C41B62" w:rsidRPr="00CC4F27" w:rsidRDefault="00C41B62" w:rsidP="00CC4F27">
      <w:pPr>
        <w:spacing w:line="360" w:lineRule="auto"/>
        <w:ind w:firstLine="360"/>
        <w:jc w:val="both"/>
        <w:rPr>
          <w:rFonts w:eastAsia="Times New Roman"/>
          <w:snapToGrid w:val="0"/>
        </w:rPr>
      </w:pPr>
      <w:r w:rsidRPr="00CC4F27">
        <w:rPr>
          <w:rFonts w:eastAsia="Times New Roman"/>
          <w:snapToGrid w:val="0"/>
        </w:rPr>
        <w:t xml:space="preserve">Fondos </w:t>
      </w:r>
      <w:proofErr w:type="spellStart"/>
      <w:r w:rsidRPr="00CC4F27">
        <w:rPr>
          <w:rFonts w:eastAsia="Times New Roman"/>
          <w:snapToGrid w:val="0"/>
        </w:rPr>
        <w:t>Extrapresupuestales</w:t>
      </w:r>
      <w:proofErr w:type="spellEnd"/>
    </w:p>
    <w:p w:rsidR="00C41B62" w:rsidRPr="00CC4F27" w:rsidRDefault="00C41B62" w:rsidP="00CC4F27">
      <w:pPr>
        <w:spacing w:line="360" w:lineRule="auto"/>
        <w:ind w:firstLine="360"/>
        <w:jc w:val="both"/>
        <w:rPr>
          <w:rFonts w:eastAsia="Times New Roman"/>
          <w:snapToGrid w:val="0"/>
        </w:rPr>
      </w:pPr>
      <w:r w:rsidRPr="00CC4F27">
        <w:rPr>
          <w:rFonts w:eastAsia="Times New Roman"/>
          <w:snapToGrid w:val="0"/>
        </w:rPr>
        <w:t>Existencias de activos</w:t>
      </w:r>
    </w:p>
    <w:p w:rsidR="00C41B62" w:rsidRPr="00CC4F27" w:rsidRDefault="00C41B62" w:rsidP="00CC4F27">
      <w:pPr>
        <w:numPr>
          <w:ilvl w:val="0"/>
          <w:numId w:val="17"/>
        </w:numPr>
        <w:spacing w:line="360" w:lineRule="auto"/>
        <w:jc w:val="both"/>
        <w:rPr>
          <w:rFonts w:eastAsia="Times New Roman"/>
          <w:snapToGrid w:val="0"/>
        </w:rPr>
      </w:pPr>
      <w:r w:rsidRPr="00CC4F27">
        <w:rPr>
          <w:rFonts w:eastAsia="Times New Roman"/>
          <w:snapToGrid w:val="0"/>
        </w:rPr>
        <w:t>El detalle de Obligaciones Presupuestales Impagas no individualiza en la totalidad de los casos al acreedor.</w:t>
      </w:r>
    </w:p>
    <w:p w:rsidR="00C41B62" w:rsidRPr="00CC4F27" w:rsidRDefault="00C41B62" w:rsidP="00CC4F27">
      <w:pPr>
        <w:numPr>
          <w:ilvl w:val="0"/>
          <w:numId w:val="17"/>
        </w:numPr>
        <w:spacing w:line="360" w:lineRule="auto"/>
        <w:jc w:val="both"/>
        <w:rPr>
          <w:rFonts w:eastAsia="Times New Roman"/>
          <w:snapToGrid w:val="0"/>
        </w:rPr>
      </w:pPr>
      <w:r w:rsidRPr="00CC4F27">
        <w:rPr>
          <w:rFonts w:eastAsia="Times New Roman"/>
          <w:snapToGrid w:val="0"/>
        </w:rPr>
        <w:t>No se incluyen fotocopias de los vales firmados con el BROU.</w:t>
      </w:r>
    </w:p>
    <w:p w:rsidR="00C41B62" w:rsidRPr="00CC4F27" w:rsidRDefault="00C41B62" w:rsidP="00CC4F27">
      <w:pPr>
        <w:numPr>
          <w:ilvl w:val="0"/>
          <w:numId w:val="17"/>
        </w:numPr>
        <w:spacing w:line="360" w:lineRule="auto"/>
        <w:jc w:val="both"/>
        <w:rPr>
          <w:rFonts w:eastAsia="Times New Roman"/>
          <w:snapToGrid w:val="0"/>
        </w:rPr>
      </w:pPr>
      <w:r w:rsidRPr="00CC4F27">
        <w:rPr>
          <w:rFonts w:eastAsia="Times New Roman"/>
          <w:snapToGrid w:val="0"/>
        </w:rPr>
        <w:t>No se adjuntan las certificaciones de los organismos públicos con el detalle de las deudas y las conciliaciones respectivas.</w:t>
      </w:r>
    </w:p>
    <w:p w:rsidR="00C41B62" w:rsidRDefault="00C41B62" w:rsidP="00BC02CF">
      <w:pPr>
        <w:autoSpaceDE w:val="0"/>
        <w:autoSpaceDN w:val="0"/>
        <w:adjustRightInd w:val="0"/>
        <w:spacing w:after="240" w:line="360" w:lineRule="auto"/>
        <w:jc w:val="right"/>
        <w:rPr>
          <w:rFonts w:cs="Arial"/>
          <w:color w:val="000000"/>
        </w:rPr>
      </w:pPr>
      <w:r>
        <w:rPr>
          <w:rFonts w:cs="Arial"/>
          <w:color w:val="000000"/>
        </w:rPr>
        <w:t>Montevideo, 17 de diciembre de 2018</w:t>
      </w:r>
    </w:p>
    <w:p w:rsidR="00C41B62" w:rsidRDefault="00C41B62" w:rsidP="00074302">
      <w:pPr>
        <w:autoSpaceDE w:val="0"/>
        <w:autoSpaceDN w:val="0"/>
        <w:adjustRightInd w:val="0"/>
        <w:spacing w:after="240" w:line="360" w:lineRule="auto"/>
        <w:ind w:hanging="567"/>
        <w:rPr>
          <w:rFonts w:cs="Arial"/>
          <w:color w:val="000000"/>
        </w:rPr>
      </w:pPr>
      <w:proofErr w:type="gramStart"/>
      <w:r>
        <w:rPr>
          <w:rFonts w:cs="Arial"/>
          <w:color w:val="000000"/>
        </w:rPr>
        <w:t>dc</w:t>
      </w:r>
      <w:proofErr w:type="gramEnd"/>
    </w:p>
    <w:p w:rsidR="00C41B62" w:rsidRDefault="00C41B62" w:rsidP="00BC02CF">
      <w:pPr>
        <w:pStyle w:val="Ttulo1"/>
        <w:spacing w:after="240"/>
        <w:jc w:val="center"/>
        <w:rPr>
          <w:rFonts w:cs="Arial"/>
          <w:szCs w:val="24"/>
        </w:rPr>
      </w:pPr>
      <w:bookmarkStart w:id="6" w:name="_Toc343587254"/>
      <w:bookmarkStart w:id="7" w:name="_Toc407008308"/>
      <w:r w:rsidRPr="0023661F">
        <w:rPr>
          <w:rFonts w:cs="Arial"/>
          <w:szCs w:val="24"/>
        </w:rPr>
        <w:t>INFORME A LA ADMINISTRACIÓN</w:t>
      </w:r>
    </w:p>
    <w:p w:rsidR="00C41B62" w:rsidRPr="00A5321D" w:rsidRDefault="00C41B62" w:rsidP="00F8356E">
      <w:pPr>
        <w:pStyle w:val="Textoindependiente"/>
        <w:rPr>
          <w:rFonts w:cs="Arial"/>
        </w:rPr>
      </w:pPr>
      <w:r w:rsidRPr="0023661F">
        <w:rPr>
          <w:rFonts w:cs="Arial"/>
        </w:rPr>
        <w:t>El Tribunal de Cuentas ha examinado la Rendición de Cuentas y Balance de Ejecución Presupuestal corresp</w:t>
      </w:r>
      <w:r>
        <w:rPr>
          <w:rFonts w:cs="Arial"/>
        </w:rPr>
        <w:t>ondiente al ejercicio 2017</w:t>
      </w:r>
      <w:r w:rsidRPr="0023661F">
        <w:rPr>
          <w:rFonts w:cs="Arial"/>
        </w:rPr>
        <w:t xml:space="preserve"> y ha emitido su correspondiente Dictamen.</w:t>
      </w:r>
    </w:p>
    <w:p w:rsidR="00C41B62" w:rsidRDefault="00C41B62" w:rsidP="00F8356E">
      <w:pPr>
        <w:spacing w:line="360" w:lineRule="auto"/>
        <w:jc w:val="both"/>
        <w:rPr>
          <w:rFonts w:cs="Arial"/>
        </w:rPr>
      </w:pPr>
      <w:r w:rsidRPr="0023661F">
        <w:rPr>
          <w:rFonts w:cs="Arial"/>
        </w:rPr>
        <w:t>Como consecuencia del examen practicado, se incluyen en este Informe comentarios que se ha entendido conveniente exponer, relacionados con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C41B62" w:rsidRDefault="00C41B62" w:rsidP="00F8356E">
      <w:pPr>
        <w:spacing w:line="360" w:lineRule="auto"/>
        <w:jc w:val="both"/>
        <w:rPr>
          <w:rFonts w:cs="Arial"/>
        </w:rPr>
      </w:pPr>
    </w:p>
    <w:p w:rsidR="00C41B62" w:rsidRPr="0023661F" w:rsidRDefault="00C41B62" w:rsidP="00C41B62">
      <w:pPr>
        <w:pStyle w:val="Ttulo2"/>
        <w:numPr>
          <w:ilvl w:val="0"/>
          <w:numId w:val="27"/>
        </w:numPr>
        <w:spacing w:after="0"/>
        <w:ind w:left="0" w:firstLine="0"/>
        <w:jc w:val="both"/>
        <w:rPr>
          <w:rFonts w:cs="Arial"/>
          <w:szCs w:val="24"/>
        </w:rPr>
      </w:pPr>
      <w:r w:rsidRPr="0023661F">
        <w:rPr>
          <w:rFonts w:cs="Arial"/>
          <w:szCs w:val="24"/>
        </w:rPr>
        <w:t>Constataciones</w:t>
      </w:r>
      <w:r>
        <w:rPr>
          <w:rFonts w:cs="Arial"/>
          <w:szCs w:val="24"/>
        </w:rPr>
        <w:t xml:space="preserve"> que no afectan la opinión respecto a los estados</w:t>
      </w:r>
    </w:p>
    <w:p w:rsidR="00C41B62" w:rsidRPr="0023661F" w:rsidRDefault="00C41B62" w:rsidP="00F8356E">
      <w:pPr>
        <w:pStyle w:val="Textoindependiente"/>
        <w:rPr>
          <w:rFonts w:cs="Arial"/>
          <w:b/>
        </w:rPr>
      </w:pPr>
      <w:r>
        <w:rPr>
          <w:rFonts w:cs="Arial"/>
          <w:b/>
        </w:rPr>
        <w:t xml:space="preserve">1.1 </w:t>
      </w:r>
      <w:r w:rsidRPr="0023661F">
        <w:rPr>
          <w:rFonts w:cs="Arial"/>
          <w:b/>
        </w:rPr>
        <w:t>Juicios contra la Intendencia</w:t>
      </w:r>
    </w:p>
    <w:p w:rsidR="00C41B62" w:rsidRDefault="00C41B62" w:rsidP="00F8356E">
      <w:pPr>
        <w:spacing w:line="360" w:lineRule="auto"/>
        <w:jc w:val="both"/>
        <w:rPr>
          <w:rFonts w:cs="Arial"/>
        </w:rPr>
      </w:pPr>
      <w:r w:rsidRPr="00DC4A95">
        <w:rPr>
          <w:rFonts w:cs="Arial"/>
        </w:rPr>
        <w:t>De acuerdo con la información presentada en la Rendición de Cuentas, al 31/12/</w:t>
      </w:r>
      <w:r>
        <w:rPr>
          <w:rFonts w:cs="Arial"/>
        </w:rPr>
        <w:t>20</w:t>
      </w:r>
      <w:r w:rsidRPr="00DC4A95">
        <w:rPr>
          <w:rFonts w:cs="Arial"/>
        </w:rPr>
        <w:t>17 existían juicios contra la Intendencia por montos reclamados del orden de $ 40:169.444, U$S 49.135 y otros aún no determinados, lo que podría incidir en el déficit acumulado por las eventuales erogaciones que resulten</w:t>
      </w:r>
      <w:r w:rsidR="00EB7620">
        <w:rPr>
          <w:rFonts w:cs="Arial"/>
        </w:rPr>
        <w:t>.</w:t>
      </w:r>
    </w:p>
    <w:p w:rsidR="00C41B62" w:rsidRPr="00DC4A95" w:rsidRDefault="00C41B62" w:rsidP="00F8356E">
      <w:pPr>
        <w:spacing w:line="360" w:lineRule="auto"/>
        <w:jc w:val="both"/>
        <w:rPr>
          <w:rFonts w:cs="Arial"/>
          <w:color w:val="FF0000"/>
        </w:rPr>
      </w:pPr>
    </w:p>
    <w:p w:rsidR="00C41B62" w:rsidRPr="00DC4A95" w:rsidRDefault="00C41B62" w:rsidP="00F8356E">
      <w:pPr>
        <w:pStyle w:val="Ttulo2"/>
        <w:numPr>
          <w:ilvl w:val="1"/>
          <w:numId w:val="13"/>
        </w:numPr>
        <w:spacing w:after="0"/>
        <w:ind w:left="0" w:firstLine="0"/>
        <w:jc w:val="both"/>
        <w:rPr>
          <w:rFonts w:eastAsia="Times New Roman"/>
        </w:rPr>
      </w:pPr>
      <w:r w:rsidRPr="00DC4A95">
        <w:rPr>
          <w:rFonts w:eastAsia="Times New Roman"/>
        </w:rPr>
        <w:t>Obligaciones presupuestales impagas</w:t>
      </w:r>
    </w:p>
    <w:p w:rsidR="00C41B62" w:rsidRPr="00DC4A95" w:rsidRDefault="00C41B62" w:rsidP="00F8356E">
      <w:pPr>
        <w:spacing w:line="360" w:lineRule="auto"/>
        <w:jc w:val="both"/>
        <w:rPr>
          <w:rFonts w:eastAsia="Times New Roman"/>
          <w:snapToGrid w:val="0"/>
          <w:color w:val="000000"/>
        </w:rPr>
      </w:pPr>
      <w:r w:rsidRPr="00DC4A95">
        <w:rPr>
          <w:rFonts w:eastAsia="Times New Roman"/>
          <w:snapToGrid w:val="0"/>
          <w:color w:val="000000"/>
        </w:rPr>
        <w:t>Se incluyen por totales, sin individualizar, “sueldos a pagar permanentes” y “sueldos a pagar zafrales” desde el año 20</w:t>
      </w:r>
      <w:r>
        <w:rPr>
          <w:rFonts w:eastAsia="Times New Roman"/>
          <w:snapToGrid w:val="0"/>
          <w:color w:val="000000"/>
        </w:rPr>
        <w:t>14 al 2017, por un importe de $</w:t>
      </w:r>
      <w:r w:rsidRPr="00DC4A95">
        <w:rPr>
          <w:rFonts w:eastAsia="Times New Roman"/>
          <w:snapToGrid w:val="0"/>
          <w:color w:val="000000"/>
        </w:rPr>
        <w:t>5:611.041. Tampoco se individualiza la composición de “devoluciones a pagar”, devolución a contribuyentes”, “donaciones a pagar”, “quebrantos-</w:t>
      </w:r>
      <w:proofErr w:type="spellStart"/>
      <w:r w:rsidRPr="00DC4A95">
        <w:rPr>
          <w:rFonts w:eastAsia="Times New Roman"/>
          <w:snapToGrid w:val="0"/>
          <w:color w:val="000000"/>
        </w:rPr>
        <w:t>deptos</w:t>
      </w:r>
      <w:proofErr w:type="spellEnd"/>
      <w:r w:rsidRPr="00DC4A95">
        <w:rPr>
          <w:rFonts w:eastAsia="Times New Roman"/>
          <w:snapToGrid w:val="0"/>
          <w:color w:val="000000"/>
        </w:rPr>
        <w:t xml:space="preserve"> en garantía”, “donaciones a pagar en U$S”, “</w:t>
      </w:r>
      <w:proofErr w:type="spellStart"/>
      <w:r w:rsidRPr="00DC4A95">
        <w:rPr>
          <w:rFonts w:eastAsia="Times New Roman"/>
          <w:snapToGrid w:val="0"/>
          <w:color w:val="000000"/>
        </w:rPr>
        <w:t>Dev</w:t>
      </w:r>
      <w:proofErr w:type="spellEnd"/>
      <w:r w:rsidRPr="00DC4A95">
        <w:rPr>
          <w:rFonts w:eastAsia="Times New Roman"/>
          <w:snapToGrid w:val="0"/>
          <w:color w:val="000000"/>
        </w:rPr>
        <w:t xml:space="preserve">. </w:t>
      </w:r>
      <w:proofErr w:type="gramStart"/>
      <w:r w:rsidRPr="00DC4A95">
        <w:rPr>
          <w:rFonts w:eastAsia="Times New Roman"/>
          <w:snapToGrid w:val="0"/>
          <w:color w:val="000000"/>
        </w:rPr>
        <w:t>en</w:t>
      </w:r>
      <w:proofErr w:type="gramEnd"/>
      <w:r w:rsidRPr="00DC4A95">
        <w:rPr>
          <w:rFonts w:eastAsia="Times New Roman"/>
          <w:snapToGrid w:val="0"/>
          <w:color w:val="000000"/>
        </w:rPr>
        <w:t xml:space="preserve"> efectivo </w:t>
      </w:r>
      <w:proofErr w:type="spellStart"/>
      <w:r w:rsidRPr="00DC4A95">
        <w:rPr>
          <w:rFonts w:eastAsia="Times New Roman"/>
          <w:snapToGrid w:val="0"/>
          <w:color w:val="000000"/>
        </w:rPr>
        <w:t>Ctas</w:t>
      </w:r>
      <w:proofErr w:type="spellEnd"/>
      <w:r w:rsidRPr="00DC4A95">
        <w:rPr>
          <w:rFonts w:eastAsia="Times New Roman"/>
          <w:snapToGrid w:val="0"/>
          <w:color w:val="000000"/>
        </w:rPr>
        <w:t xml:space="preserve">. </w:t>
      </w:r>
      <w:proofErr w:type="spellStart"/>
      <w:r w:rsidRPr="00DC4A95">
        <w:rPr>
          <w:rFonts w:eastAsia="Times New Roman"/>
          <w:snapToGrid w:val="0"/>
          <w:color w:val="000000"/>
        </w:rPr>
        <w:t>Ctes</w:t>
      </w:r>
      <w:proofErr w:type="spellEnd"/>
      <w:r w:rsidRPr="00DC4A95">
        <w:rPr>
          <w:rFonts w:eastAsia="Times New Roman"/>
          <w:snapToGrid w:val="0"/>
          <w:color w:val="000000"/>
        </w:rPr>
        <w:t xml:space="preserve">”, “cuentas a pagar” y “cuentas a pagar en U$S”; las que totalizan $ 6:878.037. El total de obligaciones sin individualizar asciende a $ 12:489.088 lo que representa el 19,54% del saldo al cierre del 31/12/2017. El saldo al cierre del </w:t>
      </w:r>
      <w:r>
        <w:rPr>
          <w:rFonts w:eastAsia="Times New Roman"/>
          <w:snapToGrid w:val="0"/>
          <w:color w:val="000000"/>
        </w:rPr>
        <w:t>E</w:t>
      </w:r>
      <w:r w:rsidRPr="00DC4A95">
        <w:rPr>
          <w:rFonts w:eastAsia="Times New Roman"/>
          <w:snapToGrid w:val="0"/>
          <w:color w:val="000000"/>
        </w:rPr>
        <w:t>jercicio 2014, que asciende a $ 3:237.471, incluye obligaciones correspon</w:t>
      </w:r>
      <w:r>
        <w:rPr>
          <w:rFonts w:eastAsia="Times New Roman"/>
          <w:snapToGrid w:val="0"/>
          <w:color w:val="000000"/>
        </w:rPr>
        <w:softHyphen/>
      </w:r>
      <w:r w:rsidRPr="00DC4A95">
        <w:rPr>
          <w:rFonts w:eastAsia="Times New Roman"/>
          <w:snapToGrid w:val="0"/>
          <w:color w:val="000000"/>
        </w:rPr>
        <w:t>dien</w:t>
      </w:r>
      <w:r>
        <w:rPr>
          <w:rFonts w:eastAsia="Times New Roman"/>
          <w:snapToGrid w:val="0"/>
          <w:color w:val="000000"/>
        </w:rPr>
        <w:t>tes a los E</w:t>
      </w:r>
      <w:r w:rsidRPr="00DC4A95">
        <w:rPr>
          <w:rFonts w:eastAsia="Times New Roman"/>
          <w:snapToGrid w:val="0"/>
          <w:color w:val="000000"/>
        </w:rPr>
        <w:t>jercicios 2012 y 2013 por un total de $</w:t>
      </w:r>
      <w:r>
        <w:rPr>
          <w:rFonts w:eastAsia="Times New Roman"/>
          <w:snapToGrid w:val="0"/>
          <w:color w:val="000000"/>
        </w:rPr>
        <w:t xml:space="preserve"> </w:t>
      </w:r>
      <w:r w:rsidRPr="00DC4A95">
        <w:rPr>
          <w:rFonts w:eastAsia="Times New Roman"/>
          <w:snapToGrid w:val="0"/>
          <w:color w:val="000000"/>
        </w:rPr>
        <w:t>1:590.123.</w:t>
      </w:r>
    </w:p>
    <w:p w:rsidR="00C41B62" w:rsidRPr="00DC4A95" w:rsidRDefault="00C41B62" w:rsidP="00DC4A95">
      <w:pPr>
        <w:spacing w:line="360" w:lineRule="auto"/>
        <w:jc w:val="both"/>
        <w:rPr>
          <w:rFonts w:eastAsia="Times New Roman"/>
          <w:kern w:val="18"/>
          <w:szCs w:val="20"/>
        </w:rPr>
      </w:pPr>
      <w:r w:rsidRPr="00DC4A95">
        <w:rPr>
          <w:rFonts w:eastAsia="Times New Roman"/>
          <w:kern w:val="18"/>
          <w:szCs w:val="20"/>
        </w:rPr>
        <w:t xml:space="preserve">De la </w:t>
      </w:r>
      <w:proofErr w:type="spellStart"/>
      <w:r w:rsidRPr="00DC4A95">
        <w:rPr>
          <w:rFonts w:eastAsia="Times New Roman"/>
          <w:kern w:val="18"/>
          <w:szCs w:val="20"/>
        </w:rPr>
        <w:t>circularización</w:t>
      </w:r>
      <w:proofErr w:type="spellEnd"/>
      <w:r w:rsidRPr="00DC4A95">
        <w:rPr>
          <w:rFonts w:eastAsia="Times New Roman"/>
          <w:kern w:val="18"/>
          <w:szCs w:val="20"/>
        </w:rPr>
        <w:t xml:space="preserve"> de saldos de proveedores realizada al 31/12/2017 resultan las siguientes diferencias no aclaradas:</w:t>
      </w:r>
    </w:p>
    <w:p w:rsidR="00C41B62" w:rsidRPr="00DC4A95" w:rsidRDefault="00C41B62" w:rsidP="00C41B62">
      <w:pPr>
        <w:numPr>
          <w:ilvl w:val="0"/>
          <w:numId w:val="26"/>
        </w:numPr>
        <w:spacing w:line="360" w:lineRule="auto"/>
        <w:jc w:val="both"/>
        <w:rPr>
          <w:rFonts w:eastAsia="Times New Roman"/>
          <w:snapToGrid w:val="0"/>
          <w:color w:val="000000"/>
          <w:szCs w:val="20"/>
        </w:rPr>
      </w:pPr>
      <w:r w:rsidRPr="00DC4A95">
        <w:rPr>
          <w:rFonts w:eastAsia="Times New Roman"/>
          <w:szCs w:val="20"/>
        </w:rPr>
        <w:t xml:space="preserve">Empresa </w:t>
      </w:r>
      <w:proofErr w:type="spellStart"/>
      <w:r w:rsidRPr="00DC4A95">
        <w:rPr>
          <w:rFonts w:eastAsia="Times New Roman"/>
          <w:szCs w:val="20"/>
        </w:rPr>
        <w:t>Tellagorry</w:t>
      </w:r>
      <w:proofErr w:type="spellEnd"/>
      <w:r w:rsidRPr="00DC4A95">
        <w:rPr>
          <w:rFonts w:eastAsia="Times New Roman"/>
          <w:szCs w:val="20"/>
        </w:rPr>
        <w:t xml:space="preserve"> SRL, facturas con fecha octubre 2017 no contabilizadas por un total de $110.350;</w:t>
      </w:r>
    </w:p>
    <w:p w:rsidR="00C41B62" w:rsidRPr="00DC4A95" w:rsidRDefault="00C41B62" w:rsidP="00C41B62">
      <w:pPr>
        <w:numPr>
          <w:ilvl w:val="0"/>
          <w:numId w:val="26"/>
        </w:numPr>
        <w:spacing w:line="360" w:lineRule="auto"/>
        <w:jc w:val="both"/>
        <w:rPr>
          <w:rFonts w:eastAsia="Times New Roman"/>
          <w:snapToGrid w:val="0"/>
          <w:color w:val="000000"/>
          <w:szCs w:val="20"/>
        </w:rPr>
      </w:pPr>
      <w:r w:rsidRPr="00DC4A95">
        <w:rPr>
          <w:rFonts w:eastAsia="Times New Roman"/>
          <w:szCs w:val="20"/>
        </w:rPr>
        <w:t xml:space="preserve">Empresa </w:t>
      </w:r>
      <w:proofErr w:type="spellStart"/>
      <w:r w:rsidRPr="00DC4A95">
        <w:rPr>
          <w:rFonts w:eastAsia="Times New Roman"/>
          <w:szCs w:val="20"/>
        </w:rPr>
        <w:t>Pertilco</w:t>
      </w:r>
      <w:proofErr w:type="spellEnd"/>
      <w:r w:rsidRPr="00DC4A95">
        <w:rPr>
          <w:rFonts w:eastAsia="Times New Roman"/>
          <w:szCs w:val="20"/>
        </w:rPr>
        <w:t xml:space="preserve"> SA</w:t>
      </w:r>
      <w:r>
        <w:rPr>
          <w:rFonts w:eastAsia="Times New Roman"/>
          <w:szCs w:val="20"/>
        </w:rPr>
        <w:t>, facturas correspondientes al E</w:t>
      </w:r>
      <w:r w:rsidRPr="00DC4A95">
        <w:rPr>
          <w:rFonts w:eastAsia="Times New Roman"/>
          <w:szCs w:val="20"/>
        </w:rPr>
        <w:t>jercicio 2016 no contabilizadas por un total de U$S 1.153,2;</w:t>
      </w:r>
    </w:p>
    <w:p w:rsidR="00C41B62" w:rsidRPr="00DC4A95" w:rsidRDefault="00C41B62" w:rsidP="00C41B62">
      <w:pPr>
        <w:numPr>
          <w:ilvl w:val="0"/>
          <w:numId w:val="26"/>
        </w:numPr>
        <w:spacing w:line="360" w:lineRule="auto"/>
        <w:jc w:val="both"/>
        <w:rPr>
          <w:rFonts w:eastAsia="Times New Roman"/>
          <w:snapToGrid w:val="0"/>
          <w:color w:val="000000"/>
          <w:szCs w:val="20"/>
        </w:rPr>
      </w:pPr>
      <w:r w:rsidRPr="00DC4A95">
        <w:rPr>
          <w:rFonts w:eastAsia="Times New Roman"/>
          <w:szCs w:val="20"/>
        </w:rPr>
        <w:t xml:space="preserve">Empresa </w:t>
      </w:r>
      <w:proofErr w:type="spellStart"/>
      <w:r w:rsidRPr="00DC4A95">
        <w:rPr>
          <w:rFonts w:eastAsia="Times New Roman"/>
          <w:szCs w:val="20"/>
        </w:rPr>
        <w:t>Kroser</w:t>
      </w:r>
      <w:proofErr w:type="spellEnd"/>
      <w:r w:rsidRPr="00DC4A95">
        <w:rPr>
          <w:rFonts w:eastAsia="Times New Roman"/>
          <w:szCs w:val="20"/>
        </w:rPr>
        <w:t xml:space="preserve"> SA, factura de fecha 03/11/2017 no conta</w:t>
      </w:r>
      <w:r w:rsidR="00EB7620">
        <w:rPr>
          <w:rFonts w:eastAsia="Times New Roman"/>
          <w:szCs w:val="20"/>
        </w:rPr>
        <w:t>bilizada por un total de $1.440</w:t>
      </w:r>
      <w:r w:rsidR="007E0541">
        <w:rPr>
          <w:rFonts w:eastAsia="Times New Roman"/>
          <w:szCs w:val="20"/>
        </w:rPr>
        <w:t>;</w:t>
      </w:r>
    </w:p>
    <w:p w:rsidR="00C41B62" w:rsidRPr="00DC4A95" w:rsidRDefault="00C41B62" w:rsidP="00C41B62">
      <w:pPr>
        <w:numPr>
          <w:ilvl w:val="0"/>
          <w:numId w:val="26"/>
        </w:numPr>
        <w:spacing w:line="360" w:lineRule="auto"/>
        <w:jc w:val="both"/>
        <w:rPr>
          <w:rFonts w:eastAsia="Times New Roman"/>
          <w:snapToGrid w:val="0"/>
          <w:color w:val="000000"/>
          <w:szCs w:val="20"/>
        </w:rPr>
      </w:pPr>
      <w:r w:rsidRPr="00DC4A95">
        <w:rPr>
          <w:rFonts w:eastAsia="Times New Roman"/>
          <w:szCs w:val="20"/>
        </w:rPr>
        <w:t xml:space="preserve">Empresa </w:t>
      </w:r>
      <w:proofErr w:type="spellStart"/>
      <w:r w:rsidRPr="00DC4A95">
        <w:rPr>
          <w:rFonts w:eastAsia="Times New Roman"/>
          <w:szCs w:val="20"/>
        </w:rPr>
        <w:t>Sojoma</w:t>
      </w:r>
      <w:proofErr w:type="spellEnd"/>
      <w:r w:rsidRPr="00DC4A95">
        <w:rPr>
          <w:rFonts w:eastAsia="Times New Roman"/>
          <w:szCs w:val="20"/>
        </w:rPr>
        <w:t xml:space="preserve"> SRL, saldo pendiente con</w:t>
      </w:r>
      <w:r>
        <w:rPr>
          <w:rFonts w:eastAsia="Times New Roman"/>
          <w:szCs w:val="20"/>
        </w:rPr>
        <w:t>tabilizado desde el cierre del E</w:t>
      </w:r>
      <w:r w:rsidRPr="00DC4A95">
        <w:rPr>
          <w:rFonts w:eastAsia="Times New Roman"/>
          <w:szCs w:val="20"/>
        </w:rPr>
        <w:t>jercicio 2016, por un monto de $</w:t>
      </w:r>
      <w:r>
        <w:rPr>
          <w:rFonts w:eastAsia="Times New Roman"/>
          <w:szCs w:val="20"/>
        </w:rPr>
        <w:t xml:space="preserve"> </w:t>
      </w:r>
      <w:r w:rsidRPr="00DC4A95">
        <w:rPr>
          <w:rFonts w:eastAsia="Times New Roman"/>
          <w:szCs w:val="20"/>
        </w:rPr>
        <w:t>268.206, no reclamado por el proveedor.</w:t>
      </w:r>
    </w:p>
    <w:p w:rsidR="00C41B62" w:rsidRPr="00DC4A95" w:rsidRDefault="00C41B62" w:rsidP="00DC4A95">
      <w:pPr>
        <w:spacing w:line="360" w:lineRule="auto"/>
        <w:jc w:val="both"/>
        <w:rPr>
          <w:rFonts w:eastAsia="Times New Roman"/>
          <w:b/>
          <w:kern w:val="18"/>
        </w:rPr>
      </w:pPr>
    </w:p>
    <w:p w:rsidR="00C41B62" w:rsidRPr="00DC4A95" w:rsidRDefault="00C41B62" w:rsidP="00DC4A95">
      <w:pPr>
        <w:spacing w:line="360" w:lineRule="auto"/>
        <w:jc w:val="both"/>
        <w:rPr>
          <w:rFonts w:eastAsia="Times New Roman"/>
          <w:b/>
          <w:kern w:val="18"/>
        </w:rPr>
      </w:pPr>
      <w:r>
        <w:rPr>
          <w:rFonts w:eastAsia="Times New Roman"/>
          <w:b/>
          <w:kern w:val="18"/>
        </w:rPr>
        <w:t>1.3</w:t>
      </w:r>
      <w:r w:rsidRPr="00DC4A95">
        <w:rPr>
          <w:rFonts w:eastAsia="Times New Roman"/>
          <w:b/>
          <w:kern w:val="18"/>
        </w:rPr>
        <w:t xml:space="preserve"> Resultado acumulado</w:t>
      </w:r>
    </w:p>
    <w:p w:rsidR="00C41B62" w:rsidRPr="00DC4A95" w:rsidRDefault="00C41B62" w:rsidP="00DC4A95">
      <w:pPr>
        <w:spacing w:line="360" w:lineRule="auto"/>
        <w:jc w:val="both"/>
        <w:rPr>
          <w:rFonts w:ascii="Times New Roman" w:eastAsia="Times New Roman" w:hAnsi="Times New Roman"/>
        </w:rPr>
      </w:pPr>
      <w:r w:rsidRPr="00DC4A95">
        <w:rPr>
          <w:rFonts w:eastAsia="Times New Roman"/>
        </w:rPr>
        <w:t xml:space="preserve">El resultado acumulado al 31/12/2017 expuesto por la Intendencia asciende a    $ 72:772.020 de déficit. Dicho importe no coincide con el resultado acumulado inicial ajustado $ 150:685.594 de déficit, expuesto por la Intendencia, más el Resultado del Ejercicio 2017, $ 76:066.943 </w:t>
      </w:r>
      <w:r>
        <w:rPr>
          <w:rFonts w:eastAsia="Times New Roman"/>
        </w:rPr>
        <w:t>de superávit, lo que totaliza $</w:t>
      </w:r>
      <w:r w:rsidRPr="00DC4A95">
        <w:rPr>
          <w:rFonts w:eastAsia="Times New Roman"/>
        </w:rPr>
        <w:t>74:618.651 de déficit acumulado</w:t>
      </w:r>
      <w:r w:rsidRPr="00DC4A95">
        <w:rPr>
          <w:rFonts w:ascii="Times New Roman" w:eastAsia="Times New Roman" w:hAnsi="Times New Roman"/>
        </w:rPr>
        <w:t>.</w:t>
      </w:r>
    </w:p>
    <w:p w:rsidR="00C41B62" w:rsidRPr="00DC4A95" w:rsidRDefault="00C41B62" w:rsidP="00DC4A95">
      <w:pPr>
        <w:spacing w:line="360" w:lineRule="auto"/>
        <w:jc w:val="both"/>
        <w:rPr>
          <w:rFonts w:eastAsia="Times New Roman"/>
          <w:b/>
        </w:rPr>
      </w:pPr>
    </w:p>
    <w:p w:rsidR="00C41B62" w:rsidRPr="00DC4A95" w:rsidRDefault="00C41B62" w:rsidP="00DC4A95">
      <w:pPr>
        <w:spacing w:line="360" w:lineRule="auto"/>
        <w:jc w:val="both"/>
        <w:rPr>
          <w:rFonts w:eastAsia="Times New Roman"/>
          <w:b/>
        </w:rPr>
      </w:pPr>
      <w:r>
        <w:rPr>
          <w:rFonts w:eastAsia="Times New Roman"/>
          <w:b/>
        </w:rPr>
        <w:t>1.4</w:t>
      </w:r>
      <w:r w:rsidRPr="00DC4A95">
        <w:rPr>
          <w:rFonts w:eastAsia="Times New Roman"/>
          <w:b/>
        </w:rPr>
        <w:t xml:space="preserve"> Movimiento de fondos y valores</w:t>
      </w:r>
    </w:p>
    <w:p w:rsidR="00C41B62" w:rsidRPr="00DC4A95" w:rsidRDefault="00C41B62" w:rsidP="00DC4A95">
      <w:pPr>
        <w:spacing w:line="360" w:lineRule="auto"/>
        <w:jc w:val="both"/>
        <w:rPr>
          <w:rFonts w:eastAsia="Times New Roman"/>
          <w:snapToGrid w:val="0"/>
          <w:color w:val="000000"/>
        </w:rPr>
      </w:pPr>
      <w:r w:rsidRPr="00DC4A95">
        <w:rPr>
          <w:rFonts w:eastAsia="Times New Roman"/>
        </w:rPr>
        <w:t>En el Estado de Movimiento de Fondos l</w:t>
      </w:r>
      <w:r>
        <w:rPr>
          <w:rFonts w:eastAsia="Times New Roman"/>
        </w:rPr>
        <w:t>os ingresos presupuestales del E</w:t>
      </w:r>
      <w:r w:rsidRPr="00DC4A95">
        <w:rPr>
          <w:rFonts w:eastAsia="Times New Roman"/>
        </w:rPr>
        <w:t xml:space="preserve">jercicio se exponen por un total de $ 1.103:846.993, importe que no coincide con el informado en el Estado de Ejecución Presupuestal de Recursos por un total de </w:t>
      </w:r>
      <w:r w:rsidRPr="00DC4A95">
        <w:rPr>
          <w:rFonts w:eastAsia="Times New Roman"/>
          <w:snapToGrid w:val="0"/>
          <w:color w:val="000000"/>
        </w:rPr>
        <w:t>$</w:t>
      </w:r>
      <w:r>
        <w:rPr>
          <w:rFonts w:eastAsia="Times New Roman"/>
          <w:snapToGrid w:val="0"/>
          <w:color w:val="000000"/>
        </w:rPr>
        <w:t xml:space="preserve"> </w:t>
      </w:r>
      <w:r w:rsidRPr="00DC4A95">
        <w:rPr>
          <w:rFonts w:eastAsia="Times New Roman"/>
          <w:snapToGrid w:val="0"/>
          <w:color w:val="000000"/>
        </w:rPr>
        <w:t>1.109:984.414, lo que constituye una diferencia de $ 6:137.421.</w:t>
      </w:r>
    </w:p>
    <w:p w:rsidR="00C41B62" w:rsidRPr="00DC4A95" w:rsidRDefault="00C41B62" w:rsidP="00DC4A95">
      <w:pPr>
        <w:widowControl w:val="0"/>
        <w:spacing w:line="360" w:lineRule="auto"/>
        <w:jc w:val="both"/>
        <w:rPr>
          <w:rFonts w:eastAsia="Times New Roman"/>
          <w:snapToGrid w:val="0"/>
          <w:szCs w:val="20"/>
        </w:rPr>
      </w:pPr>
      <w:r w:rsidRPr="00DC4A95">
        <w:rPr>
          <w:rFonts w:eastAsia="Times New Roman"/>
          <w:snapToGrid w:val="0"/>
          <w:szCs w:val="20"/>
        </w:rPr>
        <w:t>Se constató que la recaudación a través de Red Pagos del 27/12/</w:t>
      </w:r>
      <w:r>
        <w:rPr>
          <w:rFonts w:eastAsia="Times New Roman"/>
          <w:snapToGrid w:val="0"/>
          <w:szCs w:val="20"/>
        </w:rPr>
        <w:t>20</w:t>
      </w:r>
      <w:r w:rsidRPr="00DC4A95">
        <w:rPr>
          <w:rFonts w:eastAsia="Times New Roman"/>
          <w:snapToGrid w:val="0"/>
          <w:szCs w:val="20"/>
        </w:rPr>
        <w:t>17 por $118.441, fue contabilizada el 28/12/17 y acre</w:t>
      </w:r>
      <w:r>
        <w:rPr>
          <w:rFonts w:eastAsia="Times New Roman"/>
          <w:snapToGrid w:val="0"/>
          <w:szCs w:val="20"/>
        </w:rPr>
        <w:t xml:space="preserve">ditada por el BROU en </w:t>
      </w:r>
      <w:proofErr w:type="spellStart"/>
      <w:r>
        <w:rPr>
          <w:rFonts w:eastAsia="Times New Roman"/>
          <w:snapToGrid w:val="0"/>
          <w:szCs w:val="20"/>
        </w:rPr>
        <w:t>Cta</w:t>
      </w:r>
      <w:proofErr w:type="spellEnd"/>
      <w:r>
        <w:rPr>
          <w:rFonts w:eastAsia="Times New Roman"/>
          <w:snapToGrid w:val="0"/>
          <w:szCs w:val="20"/>
        </w:rPr>
        <w:t xml:space="preserve"> </w:t>
      </w:r>
      <w:proofErr w:type="spellStart"/>
      <w:r>
        <w:rPr>
          <w:rFonts w:eastAsia="Times New Roman"/>
          <w:snapToGrid w:val="0"/>
          <w:szCs w:val="20"/>
        </w:rPr>
        <w:t>Cte</w:t>
      </w:r>
      <w:proofErr w:type="spellEnd"/>
      <w:r>
        <w:rPr>
          <w:rFonts w:eastAsia="Times New Roman"/>
          <w:snapToGrid w:val="0"/>
          <w:szCs w:val="20"/>
        </w:rPr>
        <w:t xml:space="preserve"> $ </w:t>
      </w:r>
      <w:r w:rsidRPr="00DC4A95">
        <w:rPr>
          <w:rFonts w:eastAsia="Times New Roman"/>
          <w:snapToGrid w:val="0"/>
          <w:szCs w:val="20"/>
        </w:rPr>
        <w:t>N° 1529204-00016 con fecha 02/01/2018.</w:t>
      </w:r>
    </w:p>
    <w:p w:rsidR="00C41B62" w:rsidRDefault="00C41B62" w:rsidP="00DC4A95">
      <w:pPr>
        <w:spacing w:line="360" w:lineRule="auto"/>
        <w:jc w:val="both"/>
        <w:rPr>
          <w:rFonts w:eastAsia="Times New Roman"/>
          <w:b/>
          <w:kern w:val="18"/>
          <w:lang w:val="es-ES_tradnl"/>
        </w:rPr>
      </w:pPr>
    </w:p>
    <w:p w:rsidR="00C41B62" w:rsidRPr="00DC4A95" w:rsidRDefault="00C41B62" w:rsidP="00DC4A95">
      <w:pPr>
        <w:spacing w:line="360" w:lineRule="auto"/>
        <w:jc w:val="both"/>
        <w:rPr>
          <w:rFonts w:eastAsia="Times New Roman"/>
          <w:b/>
          <w:kern w:val="18"/>
          <w:lang w:val="es-ES_tradnl"/>
        </w:rPr>
      </w:pPr>
      <w:r>
        <w:rPr>
          <w:rFonts w:eastAsia="Times New Roman"/>
          <w:b/>
          <w:kern w:val="18"/>
          <w:lang w:val="es-ES_tradnl"/>
        </w:rPr>
        <w:t>1.5</w:t>
      </w:r>
      <w:r w:rsidRPr="00DC4A95">
        <w:rPr>
          <w:rFonts w:eastAsia="Times New Roman"/>
          <w:b/>
          <w:kern w:val="18"/>
          <w:lang w:val="es-ES_tradnl"/>
        </w:rPr>
        <w:t xml:space="preserve"> Ejecución presupuestal de gastos</w:t>
      </w:r>
    </w:p>
    <w:p w:rsidR="00C41B62" w:rsidRPr="00DC4A95" w:rsidRDefault="00C41B62" w:rsidP="00DC4A95">
      <w:pPr>
        <w:widowControl w:val="0"/>
        <w:spacing w:line="360" w:lineRule="auto"/>
        <w:jc w:val="both"/>
        <w:rPr>
          <w:rFonts w:eastAsia="Times New Roman"/>
          <w:snapToGrid w:val="0"/>
        </w:rPr>
      </w:pPr>
      <w:r w:rsidRPr="00DC4A95">
        <w:rPr>
          <w:rFonts w:eastAsia="Times New Roman"/>
          <w:snapToGrid w:val="0"/>
        </w:rPr>
        <w:t xml:space="preserve">En el Estado de Ejecución del Presupuesto en Relación a los Créditos a nivel de objeto, el total “Gastado No Pagado” totaliza $ 54:226.918, lo cual no coincide con el total del detalle de las obligaciones presupuestales impagas del </w:t>
      </w:r>
      <w:r>
        <w:rPr>
          <w:rFonts w:eastAsia="Times New Roman"/>
          <w:snapToGrid w:val="0"/>
        </w:rPr>
        <w:t>E</w:t>
      </w:r>
      <w:r w:rsidRPr="00DC4A95">
        <w:rPr>
          <w:rFonts w:eastAsia="Times New Roman"/>
          <w:snapToGrid w:val="0"/>
        </w:rPr>
        <w:t xml:space="preserve">jercicio 2017 que es de </w:t>
      </w:r>
      <w:r w:rsidRPr="00DC4A95">
        <w:rPr>
          <w:rFonts w:eastAsia="Times New Roman"/>
          <w:snapToGrid w:val="0"/>
          <w:color w:val="000000"/>
        </w:rPr>
        <w:t>$ 52:870.882</w:t>
      </w:r>
      <w:r w:rsidRPr="00DC4A95">
        <w:rPr>
          <w:rFonts w:eastAsia="Times New Roman"/>
          <w:snapToGrid w:val="0"/>
        </w:rPr>
        <w:t>, importe éste que se incluye dentro del pasivo en el Estado de Resultado Acumulado.</w:t>
      </w:r>
    </w:p>
    <w:p w:rsidR="00C41B62" w:rsidRPr="00DC4A95" w:rsidRDefault="00C41B62" w:rsidP="00DC4A95">
      <w:pPr>
        <w:widowControl w:val="0"/>
        <w:spacing w:line="360" w:lineRule="auto"/>
        <w:jc w:val="both"/>
        <w:rPr>
          <w:rFonts w:eastAsia="Times New Roman"/>
          <w:snapToGrid w:val="0"/>
          <w:color w:val="000000"/>
        </w:rPr>
      </w:pPr>
      <w:r w:rsidRPr="00DC4A95">
        <w:rPr>
          <w:rFonts w:eastAsia="Times New Roman"/>
          <w:snapToGrid w:val="0"/>
        </w:rPr>
        <w:t xml:space="preserve">En el Estado de Ejecución Presupuestal por Grupo </w:t>
      </w:r>
      <w:r>
        <w:rPr>
          <w:rFonts w:eastAsia="Times New Roman"/>
          <w:snapToGrid w:val="0"/>
          <w:color w:val="000000"/>
        </w:rPr>
        <w:t>el total pagado en el E</w:t>
      </w:r>
      <w:r w:rsidRPr="00DC4A95">
        <w:rPr>
          <w:rFonts w:eastAsia="Times New Roman"/>
          <w:snapToGrid w:val="0"/>
          <w:color w:val="000000"/>
        </w:rPr>
        <w:t>jercicio 2017 totaliza $ 979:690.553, importe que difiere del expuesto en el  Estado de Evolución de Obligaciones Presupuestales Impagas que asciende a $ 980:087.745.</w:t>
      </w:r>
    </w:p>
    <w:p w:rsidR="00C41B62" w:rsidRPr="00DC4A95" w:rsidRDefault="00C41B62" w:rsidP="00DC4A95">
      <w:pPr>
        <w:spacing w:line="360" w:lineRule="auto"/>
        <w:jc w:val="both"/>
        <w:rPr>
          <w:rFonts w:eastAsia="Times New Roman"/>
          <w:snapToGrid w:val="0"/>
        </w:rPr>
      </w:pPr>
      <w:r w:rsidRPr="00DC4A95">
        <w:rPr>
          <w:rFonts w:eastAsia="Times New Roman"/>
          <w:snapToGrid w:val="0"/>
          <w:color w:val="000000"/>
        </w:rPr>
        <w:t>Se constataron inconsistencias en algunos objetos, entre otros, en el objeto del gasto 51247 el total gastado es menor que el total gastado no pagado; en el objeto del gasto 52141 el total gastado es menor que el importe pagado; en el objeto del gasto 52212 el total gastado es un importe menor que el total gastado no pagado.</w:t>
      </w:r>
    </w:p>
    <w:p w:rsidR="00C41B62" w:rsidRPr="00DC4A95" w:rsidRDefault="00C41B62" w:rsidP="00DC4A95">
      <w:pPr>
        <w:spacing w:line="360" w:lineRule="auto"/>
        <w:jc w:val="both"/>
        <w:rPr>
          <w:rFonts w:eastAsia="Times New Roman"/>
          <w:snapToGrid w:val="0"/>
          <w:color w:val="000000"/>
          <w:szCs w:val="20"/>
        </w:rPr>
      </w:pPr>
      <w:bookmarkStart w:id="8" w:name="_Toc307325649"/>
      <w:r w:rsidRPr="00DC4A95">
        <w:rPr>
          <w:rFonts w:eastAsia="Times New Roman"/>
          <w:snapToGrid w:val="0"/>
          <w:color w:val="000000"/>
          <w:szCs w:val="20"/>
        </w:rPr>
        <w:t>Con relación al consumo de electricidad se constató que las facturas emitidas por UTE se contabilizan en función de la fecha de emisión de las mismas, por lo que, las facturas emitidas con fecha 09/01/2018 y contabilizadas con fecha 08/02/2018, corresponden a los consumos de noviembre y diciembre de 2017. En relación a los gastos de telefonía, se constató que las facturas emitidas por ANTEL con fecha 11/01/2018 fueron contabilizadas el 09/02/2018 y correspon</w:t>
      </w:r>
      <w:r>
        <w:rPr>
          <w:rFonts w:eastAsia="Times New Roman"/>
          <w:snapToGrid w:val="0"/>
          <w:color w:val="000000"/>
          <w:szCs w:val="20"/>
        </w:rPr>
        <w:softHyphen/>
      </w:r>
      <w:r w:rsidRPr="00DC4A95">
        <w:rPr>
          <w:rFonts w:eastAsia="Times New Roman"/>
          <w:snapToGrid w:val="0"/>
          <w:color w:val="000000"/>
          <w:szCs w:val="20"/>
        </w:rPr>
        <w:t>den a diciembre de 2017.</w:t>
      </w:r>
    </w:p>
    <w:p w:rsidR="00C41B62" w:rsidRPr="00DC4A95" w:rsidRDefault="00C41B62" w:rsidP="00DC4A95">
      <w:pPr>
        <w:widowControl w:val="0"/>
        <w:spacing w:line="360" w:lineRule="auto"/>
        <w:jc w:val="both"/>
        <w:rPr>
          <w:rFonts w:eastAsia="Times New Roman"/>
          <w:snapToGrid w:val="0"/>
          <w:color w:val="000000"/>
          <w:szCs w:val="20"/>
        </w:rPr>
      </w:pPr>
      <w:r w:rsidRPr="00DC4A95">
        <w:rPr>
          <w:rFonts w:eastAsia="Times New Roman"/>
          <w:snapToGrid w:val="0"/>
          <w:color w:val="000000"/>
          <w:szCs w:val="20"/>
        </w:rPr>
        <w:t>En lo que respecta al consumo de agua ocurre lo mismo, las facturas de OSE contabilizadas con fecha 16/02/</w:t>
      </w:r>
      <w:r>
        <w:rPr>
          <w:rFonts w:eastAsia="Times New Roman"/>
          <w:snapToGrid w:val="0"/>
          <w:color w:val="000000"/>
          <w:szCs w:val="20"/>
        </w:rPr>
        <w:t>20</w:t>
      </w:r>
      <w:r w:rsidRPr="00DC4A95">
        <w:rPr>
          <w:rFonts w:eastAsia="Times New Roman"/>
          <w:snapToGrid w:val="0"/>
          <w:color w:val="000000"/>
          <w:szCs w:val="20"/>
        </w:rPr>
        <w:t xml:space="preserve">18 incluyen parte de </w:t>
      </w:r>
      <w:r>
        <w:rPr>
          <w:rFonts w:eastAsia="Times New Roman"/>
          <w:snapToGrid w:val="0"/>
          <w:color w:val="000000"/>
          <w:szCs w:val="20"/>
        </w:rPr>
        <w:t>los consumos del E</w:t>
      </w:r>
      <w:r w:rsidRPr="00DC4A95">
        <w:rPr>
          <w:rFonts w:eastAsia="Times New Roman"/>
          <w:snapToGrid w:val="0"/>
          <w:color w:val="000000"/>
          <w:szCs w:val="20"/>
        </w:rPr>
        <w:t>jercicio 2017.</w:t>
      </w:r>
    </w:p>
    <w:p w:rsidR="00C41B62" w:rsidRPr="00DC4A95" w:rsidRDefault="00C41B62" w:rsidP="00DC4A95">
      <w:pPr>
        <w:widowControl w:val="0"/>
        <w:spacing w:line="360" w:lineRule="auto"/>
        <w:jc w:val="both"/>
        <w:rPr>
          <w:rFonts w:eastAsia="Times New Roman"/>
          <w:snapToGrid w:val="0"/>
          <w:color w:val="000000"/>
          <w:szCs w:val="20"/>
        </w:rPr>
      </w:pPr>
      <w:r w:rsidRPr="00DC4A95">
        <w:rPr>
          <w:rFonts w:eastAsia="Times New Roman"/>
          <w:snapToGrid w:val="0"/>
          <w:color w:val="000000"/>
          <w:szCs w:val="20"/>
        </w:rPr>
        <w:t>Se constataron los siguientes gastos no contabilizados en 2017:</w:t>
      </w:r>
    </w:p>
    <w:p w:rsidR="00C41B62" w:rsidRPr="00DC4A95" w:rsidRDefault="00C41B62" w:rsidP="00C41B62">
      <w:pPr>
        <w:numPr>
          <w:ilvl w:val="0"/>
          <w:numId w:val="25"/>
        </w:numPr>
        <w:spacing w:line="360" w:lineRule="auto"/>
        <w:jc w:val="both"/>
        <w:rPr>
          <w:rFonts w:eastAsia="Times New Roman"/>
          <w:snapToGrid w:val="0"/>
          <w:color w:val="000000"/>
          <w:szCs w:val="20"/>
        </w:rPr>
      </w:pPr>
      <w:r w:rsidRPr="00DC4A95">
        <w:rPr>
          <w:rFonts w:eastAsia="Times New Roman"/>
          <w:snapToGrid w:val="0"/>
          <w:color w:val="000000"/>
          <w:szCs w:val="20"/>
        </w:rPr>
        <w:t xml:space="preserve">Empresa </w:t>
      </w:r>
      <w:proofErr w:type="spellStart"/>
      <w:r w:rsidRPr="00DC4A95">
        <w:rPr>
          <w:rFonts w:eastAsia="Times New Roman"/>
          <w:snapToGrid w:val="0"/>
          <w:color w:val="000000"/>
          <w:szCs w:val="20"/>
        </w:rPr>
        <w:t>Bertiral</w:t>
      </w:r>
      <w:proofErr w:type="spellEnd"/>
      <w:r w:rsidRPr="00DC4A95">
        <w:rPr>
          <w:rFonts w:eastAsia="Times New Roman"/>
          <w:snapToGrid w:val="0"/>
          <w:color w:val="000000"/>
          <w:szCs w:val="20"/>
        </w:rPr>
        <w:t xml:space="preserve"> S.A.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xml:space="preserve">. 406/2018. Factura N° 1857 por un importe de $ 32.818 de 09/01/2018, servicios de seguridad en </w:t>
      </w:r>
      <w:proofErr w:type="spellStart"/>
      <w:r w:rsidRPr="00DC4A95">
        <w:rPr>
          <w:rFonts w:eastAsia="Times New Roman"/>
          <w:snapToGrid w:val="0"/>
          <w:color w:val="000000"/>
          <w:szCs w:val="20"/>
        </w:rPr>
        <w:t>ciclovía</w:t>
      </w:r>
      <w:proofErr w:type="spellEnd"/>
      <w:r w:rsidRPr="00DC4A95">
        <w:rPr>
          <w:rFonts w:eastAsia="Times New Roman"/>
          <w:snapToGrid w:val="0"/>
          <w:color w:val="000000"/>
          <w:szCs w:val="20"/>
        </w:rPr>
        <w:t xml:space="preserve"> correspondien</w:t>
      </w:r>
      <w:r>
        <w:rPr>
          <w:rFonts w:eastAsia="Times New Roman"/>
          <w:snapToGrid w:val="0"/>
          <w:color w:val="000000"/>
          <w:szCs w:val="20"/>
        </w:rPr>
        <w:softHyphen/>
      </w:r>
      <w:r w:rsidRPr="00DC4A95">
        <w:rPr>
          <w:rFonts w:eastAsia="Times New Roman"/>
          <w:snapToGrid w:val="0"/>
          <w:color w:val="000000"/>
          <w:szCs w:val="20"/>
        </w:rPr>
        <w:t>tes al mes de diciembre de 2017, contabilizados el 24/01/</w:t>
      </w:r>
      <w:r>
        <w:rPr>
          <w:rFonts w:eastAsia="Times New Roman"/>
          <w:snapToGrid w:val="0"/>
          <w:color w:val="000000"/>
          <w:szCs w:val="20"/>
        </w:rPr>
        <w:t>20</w:t>
      </w:r>
      <w:r w:rsidRPr="00DC4A95">
        <w:rPr>
          <w:rFonts w:eastAsia="Times New Roman"/>
          <w:snapToGrid w:val="0"/>
          <w:color w:val="000000"/>
          <w:szCs w:val="20"/>
        </w:rPr>
        <w:t>18;</w:t>
      </w:r>
    </w:p>
    <w:p w:rsidR="00C41B62" w:rsidRPr="00DC4A95" w:rsidRDefault="00C41B62" w:rsidP="00DC4A95">
      <w:pPr>
        <w:spacing w:line="360" w:lineRule="auto"/>
        <w:ind w:left="426"/>
        <w:jc w:val="both"/>
        <w:rPr>
          <w:rFonts w:eastAsia="Times New Roman"/>
          <w:snapToGrid w:val="0"/>
          <w:color w:val="000000"/>
          <w:szCs w:val="20"/>
        </w:rPr>
      </w:pP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xml:space="preserve">. 504/2018. Factura N° 1855 por un importe de $ 89.642 de 09/01/2018, servicios de seguridad en vertedero por diciembre de 2017 contabilizados el 24/01/18;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596/2018. Factura N° 1856 por un importe de $ 73.569 de 09/01/2018, servicios de seguridad en terminal de buses por diciembre de 2017 contabilizados el 24/01/</w:t>
      </w:r>
      <w:r>
        <w:rPr>
          <w:rFonts w:eastAsia="Times New Roman"/>
          <w:snapToGrid w:val="0"/>
          <w:color w:val="000000"/>
          <w:szCs w:val="20"/>
        </w:rPr>
        <w:t>20</w:t>
      </w:r>
      <w:r w:rsidRPr="00DC4A95">
        <w:rPr>
          <w:rFonts w:eastAsia="Times New Roman"/>
          <w:snapToGrid w:val="0"/>
          <w:color w:val="000000"/>
          <w:szCs w:val="20"/>
        </w:rPr>
        <w:t>18;</w:t>
      </w:r>
    </w:p>
    <w:p w:rsidR="00C41B62" w:rsidRPr="00DC4A95" w:rsidRDefault="00C41B62" w:rsidP="00C41B62">
      <w:pPr>
        <w:numPr>
          <w:ilvl w:val="0"/>
          <w:numId w:val="25"/>
        </w:numPr>
        <w:spacing w:line="360" w:lineRule="auto"/>
        <w:jc w:val="both"/>
        <w:rPr>
          <w:rFonts w:eastAsia="Times New Roman"/>
          <w:snapToGrid w:val="0"/>
          <w:color w:val="000000"/>
          <w:szCs w:val="20"/>
        </w:rPr>
      </w:pPr>
      <w:r w:rsidRPr="00DC4A95">
        <w:rPr>
          <w:rFonts w:eastAsia="Times New Roman"/>
          <w:snapToGrid w:val="0"/>
          <w:color w:val="000000"/>
          <w:szCs w:val="20"/>
        </w:rPr>
        <w:t xml:space="preserve">Empresa </w:t>
      </w:r>
      <w:proofErr w:type="spellStart"/>
      <w:r w:rsidRPr="00DC4A95">
        <w:rPr>
          <w:rFonts w:eastAsia="Times New Roman"/>
          <w:snapToGrid w:val="0"/>
          <w:color w:val="000000"/>
          <w:szCs w:val="20"/>
        </w:rPr>
        <w:t>Keber</w:t>
      </w:r>
      <w:proofErr w:type="spellEnd"/>
      <w:r w:rsidRPr="00DC4A95">
        <w:rPr>
          <w:rFonts w:eastAsia="Times New Roman"/>
          <w:snapToGrid w:val="0"/>
          <w:color w:val="000000"/>
          <w:szCs w:val="20"/>
        </w:rPr>
        <w:t xml:space="preserve"> S.A.: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xml:space="preserve">. 8791/2017. Factura N° 7434 por un importe de $ 716.344 de 01/08/2017, avances de trabajos correspondientes a junio de 2017 contabilizados el 04/01/18;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8521/2017. Factura N° 7431 por un importe de  $ 486.968 de 24/07/17, avances de trabajos por enero y febrero de 2017 contabilizados el 05/01/</w:t>
      </w:r>
      <w:r>
        <w:rPr>
          <w:rFonts w:eastAsia="Times New Roman"/>
          <w:snapToGrid w:val="0"/>
          <w:color w:val="000000"/>
          <w:szCs w:val="20"/>
        </w:rPr>
        <w:t>20</w:t>
      </w:r>
      <w:r w:rsidRPr="00DC4A95">
        <w:rPr>
          <w:rFonts w:eastAsia="Times New Roman"/>
          <w:snapToGrid w:val="0"/>
          <w:color w:val="000000"/>
          <w:szCs w:val="20"/>
        </w:rPr>
        <w:t>18;</w:t>
      </w:r>
    </w:p>
    <w:p w:rsidR="00C41B62" w:rsidRPr="00DC4A95" w:rsidRDefault="00C41B62" w:rsidP="00C41B62">
      <w:pPr>
        <w:numPr>
          <w:ilvl w:val="0"/>
          <w:numId w:val="25"/>
        </w:numPr>
        <w:spacing w:line="360" w:lineRule="auto"/>
        <w:jc w:val="both"/>
        <w:rPr>
          <w:rFonts w:eastAsia="Times New Roman"/>
          <w:snapToGrid w:val="0"/>
          <w:color w:val="000000"/>
          <w:szCs w:val="20"/>
        </w:rPr>
      </w:pPr>
      <w:r w:rsidRPr="00DC4A95">
        <w:rPr>
          <w:rFonts w:eastAsia="Times New Roman"/>
          <w:snapToGrid w:val="0"/>
          <w:color w:val="000000"/>
          <w:szCs w:val="20"/>
        </w:rPr>
        <w:t xml:space="preserve">Empresa Di Paolo: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34/2018, Arrendamiento de finca por un importe de $ 56.943 de diciembre de 2017 contabilizados el 03/01/</w:t>
      </w:r>
      <w:r>
        <w:rPr>
          <w:rFonts w:eastAsia="Times New Roman"/>
          <w:snapToGrid w:val="0"/>
          <w:color w:val="000000"/>
          <w:szCs w:val="20"/>
        </w:rPr>
        <w:t>20</w:t>
      </w:r>
      <w:r w:rsidRPr="00DC4A95">
        <w:rPr>
          <w:rFonts w:eastAsia="Times New Roman"/>
          <w:snapToGrid w:val="0"/>
          <w:color w:val="000000"/>
          <w:szCs w:val="20"/>
        </w:rPr>
        <w:t>18</w:t>
      </w:r>
      <w:r w:rsidR="00EB7620">
        <w:rPr>
          <w:rFonts w:eastAsia="Times New Roman"/>
          <w:snapToGrid w:val="0"/>
          <w:color w:val="000000"/>
          <w:szCs w:val="20"/>
        </w:rPr>
        <w:t>;</w:t>
      </w:r>
    </w:p>
    <w:p w:rsidR="00C41B62" w:rsidRPr="00DC4A95" w:rsidRDefault="00C41B62" w:rsidP="00C41B62">
      <w:pPr>
        <w:numPr>
          <w:ilvl w:val="0"/>
          <w:numId w:val="25"/>
        </w:numPr>
        <w:spacing w:line="360" w:lineRule="auto"/>
        <w:jc w:val="both"/>
        <w:rPr>
          <w:rFonts w:eastAsia="Times New Roman"/>
          <w:snapToGrid w:val="0"/>
          <w:color w:val="000000"/>
          <w:szCs w:val="20"/>
        </w:rPr>
      </w:pPr>
      <w:r w:rsidRPr="00DC4A95">
        <w:rPr>
          <w:rFonts w:eastAsia="Times New Roman"/>
          <w:snapToGrid w:val="0"/>
          <w:color w:val="000000"/>
          <w:szCs w:val="20"/>
        </w:rPr>
        <w:t xml:space="preserve">Empresa </w:t>
      </w:r>
      <w:proofErr w:type="spellStart"/>
      <w:r w:rsidRPr="00DC4A95">
        <w:rPr>
          <w:rFonts w:eastAsia="Times New Roman"/>
          <w:snapToGrid w:val="0"/>
          <w:color w:val="000000"/>
          <w:szCs w:val="20"/>
        </w:rPr>
        <w:t>Rontil</w:t>
      </w:r>
      <w:proofErr w:type="spellEnd"/>
      <w:r w:rsidRPr="00DC4A95">
        <w:rPr>
          <w:rFonts w:eastAsia="Times New Roman"/>
          <w:snapToGrid w:val="0"/>
          <w:color w:val="000000"/>
          <w:szCs w:val="20"/>
        </w:rPr>
        <w:t xml:space="preserve"> SRL: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2436/2018, Factura A-951 por un importe de U$S 64.815 de 14/11/2017, compra de contenedores plásticos contabiliza</w:t>
      </w:r>
      <w:r>
        <w:rPr>
          <w:rFonts w:eastAsia="Times New Roman"/>
          <w:snapToGrid w:val="0"/>
          <w:color w:val="000000"/>
          <w:szCs w:val="20"/>
        </w:rPr>
        <w:softHyphen/>
      </w:r>
      <w:r w:rsidRPr="00DC4A95">
        <w:rPr>
          <w:rFonts w:eastAsia="Times New Roman"/>
          <w:snapToGrid w:val="0"/>
          <w:color w:val="000000"/>
          <w:szCs w:val="20"/>
        </w:rPr>
        <w:t xml:space="preserve">dos el 07/03/18;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2436/2018, Fact</w:t>
      </w:r>
      <w:r>
        <w:rPr>
          <w:rFonts w:eastAsia="Times New Roman"/>
          <w:snapToGrid w:val="0"/>
          <w:color w:val="000000"/>
          <w:szCs w:val="20"/>
        </w:rPr>
        <w:t>ura A-952 por un importe de U$S</w:t>
      </w:r>
      <w:r w:rsidRPr="00DC4A95">
        <w:rPr>
          <w:rFonts w:eastAsia="Times New Roman"/>
          <w:snapToGrid w:val="0"/>
          <w:color w:val="000000"/>
          <w:szCs w:val="20"/>
        </w:rPr>
        <w:t>2.020 de 14/11/2017, gastos de fletes y descargas contabilizados el 07/03/</w:t>
      </w:r>
      <w:r>
        <w:rPr>
          <w:rFonts w:eastAsia="Times New Roman"/>
          <w:snapToGrid w:val="0"/>
          <w:color w:val="000000"/>
          <w:szCs w:val="20"/>
        </w:rPr>
        <w:t>20</w:t>
      </w:r>
      <w:r w:rsidRPr="00DC4A95">
        <w:rPr>
          <w:rFonts w:eastAsia="Times New Roman"/>
          <w:snapToGrid w:val="0"/>
          <w:color w:val="000000"/>
          <w:szCs w:val="20"/>
        </w:rPr>
        <w:t>18</w:t>
      </w:r>
      <w:r>
        <w:rPr>
          <w:rFonts w:eastAsia="Times New Roman"/>
          <w:snapToGrid w:val="0"/>
          <w:color w:val="000000"/>
          <w:szCs w:val="20"/>
        </w:rPr>
        <w:t>.</w:t>
      </w:r>
    </w:p>
    <w:p w:rsidR="00C41B62" w:rsidRDefault="00C41B62" w:rsidP="00DC4A95">
      <w:pPr>
        <w:spacing w:line="360" w:lineRule="auto"/>
        <w:outlineLvl w:val="1"/>
        <w:rPr>
          <w:rFonts w:eastAsia="Times New Roman"/>
          <w:b/>
          <w:kern w:val="18"/>
          <w:szCs w:val="20"/>
        </w:rPr>
      </w:pPr>
      <w:bookmarkStart w:id="9" w:name="_Toc307325652"/>
      <w:bookmarkEnd w:id="8"/>
    </w:p>
    <w:p w:rsidR="00C41B62" w:rsidRDefault="00C41B62" w:rsidP="00DC4A95">
      <w:pPr>
        <w:spacing w:line="360" w:lineRule="auto"/>
        <w:outlineLvl w:val="1"/>
        <w:rPr>
          <w:rFonts w:eastAsia="Times New Roman"/>
          <w:b/>
          <w:kern w:val="18"/>
          <w:szCs w:val="20"/>
        </w:rPr>
      </w:pPr>
      <w:r>
        <w:rPr>
          <w:rFonts w:eastAsia="Times New Roman"/>
          <w:b/>
          <w:kern w:val="18"/>
          <w:szCs w:val="20"/>
        </w:rPr>
        <w:t>2</w:t>
      </w:r>
      <w:r w:rsidRPr="00DC4A95">
        <w:rPr>
          <w:rFonts w:eastAsia="Times New Roman"/>
          <w:b/>
          <w:kern w:val="18"/>
          <w:szCs w:val="20"/>
        </w:rPr>
        <w:t xml:space="preserve">) </w:t>
      </w:r>
      <w:bookmarkStart w:id="10" w:name="_Toc307325657"/>
      <w:bookmarkEnd w:id="9"/>
      <w:r w:rsidRPr="00DC4A95">
        <w:rPr>
          <w:rFonts w:eastAsia="Times New Roman"/>
          <w:b/>
          <w:kern w:val="18"/>
          <w:szCs w:val="20"/>
        </w:rPr>
        <w:t>Debilidades de Control Interno</w:t>
      </w:r>
      <w:bookmarkEnd w:id="10"/>
    </w:p>
    <w:p w:rsidR="00C41B62" w:rsidRDefault="00C41B62" w:rsidP="00887CA1">
      <w:pPr>
        <w:spacing w:line="360" w:lineRule="auto"/>
        <w:rPr>
          <w:b/>
        </w:rPr>
      </w:pPr>
      <w:r>
        <w:rPr>
          <w:b/>
        </w:rPr>
        <w:t>2.1 Consideraciones respecto a lo expresado en punto III- Análisis de las debilidades de control interno, en la respuesta a la vista del Informe de hallazgos.</w:t>
      </w:r>
    </w:p>
    <w:p w:rsidR="00C41B62" w:rsidRPr="007278AD" w:rsidRDefault="00C41B62" w:rsidP="00887CA1">
      <w:pPr>
        <w:spacing w:line="360" w:lineRule="auto"/>
        <w:rPr>
          <w:b/>
        </w:rPr>
      </w:pPr>
      <w:r>
        <w:t>Al respecto corresponde tener presente lo establecido en las siguientes normas constitucionales:</w:t>
      </w:r>
    </w:p>
    <w:p w:rsidR="00C41B62" w:rsidRDefault="00C41B62" w:rsidP="00146365">
      <w:pPr>
        <w:spacing w:line="360" w:lineRule="auto"/>
        <w:jc w:val="both"/>
      </w:pPr>
      <w:r>
        <w:rPr>
          <w:b/>
        </w:rPr>
        <w:t xml:space="preserve">Artículo 211 Literal C) de la Constitución de la República, </w:t>
      </w:r>
      <w:r w:rsidRPr="007278AD">
        <w:t xml:space="preserve">respecto a la competencia de este Tribunal: </w:t>
      </w:r>
      <w:r>
        <w:rPr>
          <w:b/>
        </w:rPr>
        <w:t>“</w:t>
      </w:r>
      <w:r>
        <w:t>Dictaminar e informar respecto de la rendición de cuentas y gestiones de todos los Órganos del Estado, inclusive Gobiernos Departamentales, Entes Autónomos y Servicios Descentralizados, cualquiera sea su naturaleza, así como también, en cuanto a las acciones correspondien</w:t>
      </w:r>
      <w:r>
        <w:softHyphen/>
        <w:t>tes en caso de responsabilidad, exponiendo las consideraciones y observaciones pertinentes.”</w:t>
      </w:r>
    </w:p>
    <w:p w:rsidR="00C41B62" w:rsidRDefault="00C41B62" w:rsidP="00146365">
      <w:pPr>
        <w:spacing w:line="360" w:lineRule="auto"/>
        <w:jc w:val="both"/>
      </w:pPr>
      <w:r>
        <w:rPr>
          <w:b/>
        </w:rPr>
        <w:t>Artículo 211 Literal E) de la Constitución de la República</w:t>
      </w:r>
      <w:r>
        <w:t>: “Intervenir en todo lo relativo a la gestión financiera de los órganos del Estado, Gobiernos Departamentales, Entes Autónomos y Servicios Descentralizados, y denunciar , ante quien corresponda, todas las irregularidades en el manejo de fondos públicos e infracciones a las leyes de presupuesto y contabilidad.”</w:t>
      </w:r>
    </w:p>
    <w:p w:rsidR="00C41B62" w:rsidRDefault="00C41B62" w:rsidP="00146365">
      <w:pPr>
        <w:spacing w:line="360" w:lineRule="auto"/>
        <w:jc w:val="both"/>
      </w:pPr>
      <w:r>
        <w:rPr>
          <w:b/>
        </w:rPr>
        <w:t xml:space="preserve">Artículo 228 de la Constitución de la República: </w:t>
      </w:r>
      <w:r>
        <w:t>“La vigilancia en la ejecución de los presupuestos y la función de contralor de toda gestión relativa a la Hacienda Pública, será de cargo del Tribunal de Cuentas.”</w:t>
      </w:r>
    </w:p>
    <w:p w:rsidR="00C41B62" w:rsidRDefault="00C41B62" w:rsidP="00146365">
      <w:pPr>
        <w:spacing w:line="360" w:lineRule="auto"/>
        <w:jc w:val="both"/>
      </w:pPr>
      <w:r>
        <w:t>Independientemente de lo prescrito en las disposiciones constitucionales precedentes, en las Normas Internacionales de Entidades Fiscalizadoras Superiores (</w:t>
      </w:r>
      <w:proofErr w:type="spellStart"/>
      <w:r>
        <w:t>ISSAIs</w:t>
      </w:r>
      <w:proofErr w:type="spellEnd"/>
      <w:r>
        <w:t xml:space="preserve">), que se aplican para realizar la auditoría,  se establece </w:t>
      </w:r>
      <w:r w:rsidRPr="00916008">
        <w:rPr>
          <w:u w:val="single"/>
        </w:rPr>
        <w:t>a vía de ejemplo</w:t>
      </w:r>
      <w:r>
        <w:t xml:space="preserve"> lo siguiente:</w:t>
      </w:r>
    </w:p>
    <w:p w:rsidR="00C41B62" w:rsidRDefault="00C41B62" w:rsidP="00146365">
      <w:pPr>
        <w:spacing w:line="360" w:lineRule="auto"/>
        <w:jc w:val="both"/>
      </w:pPr>
    </w:p>
    <w:p w:rsidR="00C41B62" w:rsidRPr="00643F4D" w:rsidRDefault="00C41B62" w:rsidP="00887CA1">
      <w:pPr>
        <w:spacing w:line="360" w:lineRule="auto"/>
        <w:rPr>
          <w:b/>
        </w:rPr>
      </w:pPr>
      <w:r w:rsidRPr="00643F4D">
        <w:rPr>
          <w:b/>
        </w:rPr>
        <w:t>ISSAI 1240</w:t>
      </w:r>
      <w:r>
        <w:rPr>
          <w:b/>
        </w:rPr>
        <w:t>: obligaciones del A</w:t>
      </w:r>
      <w:r w:rsidRPr="00643F4D">
        <w:rPr>
          <w:b/>
        </w:rPr>
        <w:t>uditor</w:t>
      </w:r>
    </w:p>
    <w:p w:rsidR="00C41B62" w:rsidRDefault="00C41B62" w:rsidP="00146365">
      <w:pPr>
        <w:spacing w:line="360" w:lineRule="auto"/>
        <w:jc w:val="both"/>
      </w:pPr>
      <w:r>
        <w:rPr>
          <w:b/>
        </w:rPr>
        <w:t>P</w:t>
      </w:r>
      <w:r w:rsidRPr="00714C85">
        <w:rPr>
          <w:b/>
        </w:rPr>
        <w:t>árrafo 16</w:t>
      </w:r>
      <w:r>
        <w:rPr>
          <w:b/>
        </w:rPr>
        <w:t>:</w:t>
      </w:r>
      <w:r w:rsidRPr="00BE264A">
        <w:t xml:space="preserve"> Al realizar los procedimiento de evaluación de riesgos y actividades relacionadas para tener conocimiento de la entidad y su ambiente, incluyendo el control interno de la entidad, requerido por la </w:t>
      </w:r>
      <w:r>
        <w:t>ISSAI 1315.6</w:t>
      </w:r>
      <w:r w:rsidRPr="00BE264A">
        <w:t xml:space="preserve"> el auditor deberá realizar los procedimientos de los párrafos 17-24 para obtener información para utilizar en la identificación de los riesgos de errores materiales debido al fraude.</w:t>
      </w:r>
    </w:p>
    <w:p w:rsidR="00C41B62" w:rsidRDefault="00C41B62" w:rsidP="008349E2">
      <w:pPr>
        <w:spacing w:line="360" w:lineRule="auto"/>
        <w:jc w:val="both"/>
      </w:pPr>
      <w:r>
        <w:rPr>
          <w:b/>
        </w:rPr>
        <w:t>P</w:t>
      </w:r>
      <w:r w:rsidRPr="00714C85">
        <w:rPr>
          <w:b/>
        </w:rPr>
        <w:t>árrafo 20</w:t>
      </w:r>
      <w:r>
        <w:t xml:space="preserve"> </w:t>
      </w:r>
      <w:r w:rsidRPr="00BE264A">
        <w:t>A menos que todos los encargados de gobierno participen en la  administración de la entidad, el auditor deberá lograr la comprensión de cómo los encargados de la directiva de la compañía supervisan los procesos administrativos para identificar y responder a los riesgos de fraude en la entidad y el control interno que la  administración ha establecido para mitigar estos riesgos.</w:t>
      </w:r>
    </w:p>
    <w:p w:rsidR="00C41B62" w:rsidRDefault="00C41B62" w:rsidP="00887CA1">
      <w:pPr>
        <w:spacing w:line="360" w:lineRule="auto"/>
      </w:pPr>
    </w:p>
    <w:p w:rsidR="00C41B62" w:rsidRDefault="00C41B62" w:rsidP="008349E2">
      <w:pPr>
        <w:spacing w:line="360" w:lineRule="auto"/>
        <w:jc w:val="both"/>
      </w:pPr>
      <w:r w:rsidRPr="00643F4D">
        <w:rPr>
          <w:b/>
        </w:rPr>
        <w:t>ISSAI 1265:</w:t>
      </w:r>
      <w:r w:rsidRPr="00714C85">
        <w:rPr>
          <w:b/>
        </w:rPr>
        <w:t xml:space="preserve"> Comunicación de deficiencias de control interno a los encargados de la gobernanza y a la dirección</w:t>
      </w:r>
      <w:r w:rsidR="00EB7620">
        <w:t>.</w:t>
      </w:r>
    </w:p>
    <w:p w:rsidR="00C41B62" w:rsidRDefault="00C41B62" w:rsidP="008349E2">
      <w:pPr>
        <w:spacing w:line="360" w:lineRule="auto"/>
        <w:jc w:val="both"/>
      </w:pPr>
      <w:r>
        <w:rPr>
          <w:b/>
        </w:rPr>
        <w:t>P</w:t>
      </w:r>
      <w:r w:rsidRPr="00714C85">
        <w:rPr>
          <w:b/>
        </w:rPr>
        <w:t>árrafo 7</w:t>
      </w:r>
      <w:r>
        <w:rPr>
          <w:b/>
        </w:rPr>
        <w:t>:</w:t>
      </w:r>
      <w:r>
        <w:t xml:space="preserve"> El A</w:t>
      </w:r>
      <w:r w:rsidRPr="0076027B">
        <w:t>uditor deberá determinar si, con base en el trabajo de la auditoría realizada, el auditor ha identificado una o más deficiencias en el control interno.</w:t>
      </w:r>
    </w:p>
    <w:p w:rsidR="00C41B62" w:rsidRDefault="00C41B62" w:rsidP="008349E2">
      <w:pPr>
        <w:spacing w:line="360" w:lineRule="auto"/>
        <w:jc w:val="both"/>
      </w:pPr>
      <w:r>
        <w:rPr>
          <w:b/>
        </w:rPr>
        <w:t>P</w:t>
      </w:r>
      <w:r w:rsidRPr="00714C85">
        <w:rPr>
          <w:b/>
        </w:rPr>
        <w:t>árrafo 8</w:t>
      </w:r>
      <w:r>
        <w:t>: Si el A</w:t>
      </w:r>
      <w:r w:rsidRPr="0076027B">
        <w:t>uditor ha identificado una o más deficiencias en el control interno, deberá determinar, con base en el trabajo de auditoría realizado, si, individualmente o en conjunto, constituyen deficiencias importantes.</w:t>
      </w:r>
    </w:p>
    <w:p w:rsidR="00C41B62" w:rsidRDefault="00C41B62" w:rsidP="008349E2">
      <w:pPr>
        <w:spacing w:line="360" w:lineRule="auto"/>
        <w:jc w:val="both"/>
      </w:pPr>
      <w:r>
        <w:rPr>
          <w:b/>
        </w:rPr>
        <w:t>P</w:t>
      </w:r>
      <w:r w:rsidRPr="00714C85">
        <w:rPr>
          <w:b/>
        </w:rPr>
        <w:t>árrafo 9</w:t>
      </w:r>
      <w:r>
        <w:t>: El A</w:t>
      </w:r>
      <w:r w:rsidRPr="0076027B">
        <w:t>uditor deberá comunicar por escrito las deficiencias significativas en el control interno identificado durante la auditoría a los encargados de la dirección en forma oportuna.</w:t>
      </w:r>
    </w:p>
    <w:p w:rsidR="00C41B62" w:rsidRDefault="00C41B62" w:rsidP="008349E2">
      <w:pPr>
        <w:spacing w:line="360" w:lineRule="auto"/>
        <w:jc w:val="both"/>
      </w:pPr>
    </w:p>
    <w:p w:rsidR="00C41B62" w:rsidRDefault="00C41B62" w:rsidP="008349E2">
      <w:pPr>
        <w:spacing w:line="360" w:lineRule="auto"/>
        <w:jc w:val="both"/>
        <w:rPr>
          <w:b/>
        </w:rPr>
      </w:pPr>
      <w:r w:rsidRPr="00847095">
        <w:rPr>
          <w:b/>
        </w:rPr>
        <w:t>ISSAI 1315: Ide</w:t>
      </w:r>
      <w:r>
        <w:rPr>
          <w:b/>
        </w:rPr>
        <w:t>ntificación y evaluación de los riesgos de irregularidades importantes a través de una comprensión de la entidad y su entorno.</w:t>
      </w:r>
    </w:p>
    <w:p w:rsidR="00C41B62" w:rsidRDefault="00C41B62" w:rsidP="008349E2">
      <w:pPr>
        <w:spacing w:line="360" w:lineRule="auto"/>
        <w:jc w:val="both"/>
      </w:pPr>
      <w:r>
        <w:rPr>
          <w:b/>
        </w:rPr>
        <w:t>P</w:t>
      </w:r>
      <w:r w:rsidRPr="00643F4D">
        <w:rPr>
          <w:b/>
        </w:rPr>
        <w:t>árrafo 6</w:t>
      </w:r>
      <w:r>
        <w:t xml:space="preserve">: </w:t>
      </w:r>
      <w:r w:rsidRPr="000E3F80">
        <w:t>Si la entidad ha establecido tal proceso (denominado en lo sucesivo como "proceso de evaluación</w:t>
      </w:r>
      <w:r>
        <w:t xml:space="preserve"> de riesgo de la entidad"), el A</w:t>
      </w:r>
      <w:r w:rsidRPr="000E3F80">
        <w:t>uditor deberá lograr una comprensión de él y de l</w:t>
      </w:r>
      <w:r>
        <w:t>os resultados del mismo. Si el A</w:t>
      </w:r>
      <w:r w:rsidRPr="000E3F80">
        <w:t>uditor identifica los riesgos de declaraciones erróneas materiales que la  administración no ha podido identificar, el auditor deberá evaluar si hubo un riesg</w:t>
      </w:r>
      <w:r>
        <w:t>o subyacente de un tipo que el A</w:t>
      </w:r>
      <w:r w:rsidRPr="000E3F80">
        <w:t>uditor espere que se identifique por medio del proceso de evaluación de riesgo de la entidad. Si existe tal riesgo, el auditor deberá lograr una comprensión de por qué ese proceso no pudo identificarlo y evaluar si el proceso es apropiado para sus circunstancias o determinar si existe una deficiencia importante en el control interno, en relación con el proceso de evaluación de riesgo de la entidad.</w:t>
      </w:r>
    </w:p>
    <w:p w:rsidR="00C41B62" w:rsidRDefault="00C41B62" w:rsidP="008349E2">
      <w:pPr>
        <w:spacing w:line="360" w:lineRule="auto"/>
        <w:jc w:val="both"/>
      </w:pPr>
      <w:r>
        <w:rPr>
          <w:b/>
        </w:rPr>
        <w:t>P</w:t>
      </w:r>
      <w:r w:rsidRPr="00643F4D">
        <w:rPr>
          <w:b/>
        </w:rPr>
        <w:t>árrafo 14</w:t>
      </w:r>
      <w:r>
        <w:rPr>
          <w:b/>
        </w:rPr>
        <w:t>:</w:t>
      </w:r>
      <w:r w:rsidRPr="00643F4D">
        <w:rPr>
          <w:b/>
        </w:rPr>
        <w:t xml:space="preserve"> </w:t>
      </w:r>
      <w:r>
        <w:t>El A</w:t>
      </w:r>
      <w:r w:rsidRPr="006F3F59">
        <w:t>uditor deberá lograr una comprensión del ambiente de control. Como parte de la obtención de éste entendimiento, el auditor deberá evaluar si:</w:t>
      </w:r>
      <w:r w:rsidRPr="008349E2">
        <w:rPr>
          <w:b/>
        </w:rPr>
        <w:t>(a)</w:t>
      </w:r>
      <w:r w:rsidRPr="006F3F59">
        <w:t xml:space="preserve"> La administración, con la supervisión de las personas encargadas de la dirección, ha creado y mantenido una cultura de honestidad y comportamiento ético; y </w:t>
      </w:r>
      <w:r w:rsidRPr="008349E2">
        <w:rPr>
          <w:b/>
        </w:rPr>
        <w:t>(b)</w:t>
      </w:r>
      <w:r w:rsidRPr="006F3F59">
        <w:t xml:space="preserve"> Las fortalezas en los elementos del ambiente de control colectivamente proporcionan una base apropiada para los otros componentes del control interno, y si esos otros componentes no se ven socavados por deficiencias en el ambiente de control.</w:t>
      </w:r>
    </w:p>
    <w:p w:rsidR="00C41B62" w:rsidRDefault="00C41B62" w:rsidP="00887CA1">
      <w:pPr>
        <w:spacing w:after="170" w:line="360" w:lineRule="auto"/>
        <w:outlineLvl w:val="1"/>
        <w:rPr>
          <w:rFonts w:eastAsia="Times New Roman"/>
          <w:b/>
          <w:kern w:val="18"/>
          <w:szCs w:val="20"/>
        </w:rPr>
      </w:pPr>
      <w:bookmarkStart w:id="11" w:name="_Toc307325658"/>
    </w:p>
    <w:p w:rsidR="00C41B62" w:rsidRPr="00DC4A95" w:rsidRDefault="00C41B62" w:rsidP="00887CA1">
      <w:pPr>
        <w:spacing w:after="170" w:line="360" w:lineRule="auto"/>
        <w:outlineLvl w:val="1"/>
        <w:rPr>
          <w:rFonts w:eastAsia="Times New Roman"/>
          <w:b/>
          <w:kern w:val="18"/>
          <w:szCs w:val="20"/>
        </w:rPr>
      </w:pPr>
      <w:r>
        <w:rPr>
          <w:rFonts w:eastAsia="Times New Roman"/>
          <w:b/>
          <w:kern w:val="18"/>
          <w:szCs w:val="20"/>
        </w:rPr>
        <w:t>2</w:t>
      </w:r>
      <w:r w:rsidRPr="00DC4A95">
        <w:rPr>
          <w:rFonts w:eastAsia="Times New Roman"/>
          <w:b/>
          <w:kern w:val="18"/>
          <w:szCs w:val="20"/>
        </w:rPr>
        <w:t>.</w:t>
      </w:r>
      <w:r>
        <w:rPr>
          <w:rFonts w:eastAsia="Times New Roman"/>
          <w:b/>
          <w:kern w:val="18"/>
          <w:szCs w:val="20"/>
        </w:rPr>
        <w:t>2</w:t>
      </w:r>
      <w:r w:rsidRPr="00DC4A95">
        <w:rPr>
          <w:rFonts w:eastAsia="Times New Roman"/>
          <w:b/>
          <w:kern w:val="18"/>
          <w:szCs w:val="20"/>
        </w:rPr>
        <w:t xml:space="preserve"> Respecto a recursos y manejo de fondos</w:t>
      </w:r>
    </w:p>
    <w:p w:rsidR="00C41B62" w:rsidRPr="00DC4A95" w:rsidRDefault="00C41B62" w:rsidP="00C41B62">
      <w:pPr>
        <w:numPr>
          <w:ilvl w:val="0"/>
          <w:numId w:val="19"/>
        </w:numPr>
        <w:tabs>
          <w:tab w:val="num" w:pos="426"/>
        </w:tabs>
        <w:autoSpaceDE w:val="0"/>
        <w:autoSpaceDN w:val="0"/>
        <w:adjustRightInd w:val="0"/>
        <w:spacing w:line="360" w:lineRule="auto"/>
        <w:ind w:left="426" w:hanging="426"/>
        <w:jc w:val="both"/>
        <w:rPr>
          <w:rFonts w:eastAsia="Times New Roman"/>
          <w:color w:val="000000"/>
        </w:rPr>
      </w:pPr>
      <w:r w:rsidRPr="00DC4A95">
        <w:rPr>
          <w:rFonts w:eastAsia="Times New Roman"/>
          <w:color w:val="000000"/>
        </w:rPr>
        <w:t>No se mantiene un compendio actualizado de todas las normas tributarias aplicadas por la Intendencia.</w:t>
      </w:r>
    </w:p>
    <w:p w:rsidR="00C41B62" w:rsidRPr="00DC4A95" w:rsidRDefault="00C41B62" w:rsidP="00C41B62">
      <w:pPr>
        <w:numPr>
          <w:ilvl w:val="0"/>
          <w:numId w:val="19"/>
        </w:numPr>
        <w:tabs>
          <w:tab w:val="num" w:pos="426"/>
        </w:tabs>
        <w:autoSpaceDE w:val="0"/>
        <w:autoSpaceDN w:val="0"/>
        <w:adjustRightInd w:val="0"/>
        <w:spacing w:line="360" w:lineRule="auto"/>
        <w:ind w:left="426" w:hanging="426"/>
        <w:jc w:val="both"/>
        <w:rPr>
          <w:rFonts w:eastAsia="Times New Roman"/>
        </w:rPr>
      </w:pPr>
      <w:r w:rsidRPr="00DC4A95">
        <w:rPr>
          <w:rFonts w:eastAsia="Times New Roman"/>
        </w:rPr>
        <w:t>No existen manuales de procedimientos relativos al proceso de recaudación.</w:t>
      </w:r>
    </w:p>
    <w:p w:rsidR="00C41B62" w:rsidRPr="00DC4A95" w:rsidRDefault="00C41B62" w:rsidP="00C41B62">
      <w:pPr>
        <w:widowControl w:val="0"/>
        <w:numPr>
          <w:ilvl w:val="0"/>
          <w:numId w:val="19"/>
        </w:numPr>
        <w:tabs>
          <w:tab w:val="num" w:pos="426"/>
        </w:tabs>
        <w:autoSpaceDE w:val="0"/>
        <w:autoSpaceDN w:val="0"/>
        <w:adjustRightInd w:val="0"/>
        <w:spacing w:line="360" w:lineRule="auto"/>
        <w:ind w:left="426" w:hanging="426"/>
        <w:jc w:val="both"/>
        <w:rPr>
          <w:rFonts w:eastAsia="Times New Roman" w:cs="Arial"/>
          <w:snapToGrid w:val="0"/>
        </w:rPr>
      </w:pPr>
      <w:r w:rsidRPr="00DC4A95">
        <w:rPr>
          <w:rFonts w:eastAsia="Times New Roman" w:cs="Arial"/>
          <w:snapToGrid w:val="0"/>
        </w:rPr>
        <w:t>Se realizan traslados de fondos en efectivo, desde y hacia las Juntas Locales, los Municipios y los Campings, sin contar con custodia adecuada.</w:t>
      </w:r>
    </w:p>
    <w:p w:rsidR="00C41B62" w:rsidRPr="00DC4A95" w:rsidRDefault="00C41B62" w:rsidP="00C41B62">
      <w:pPr>
        <w:widowControl w:val="0"/>
        <w:numPr>
          <w:ilvl w:val="0"/>
          <w:numId w:val="19"/>
        </w:numPr>
        <w:tabs>
          <w:tab w:val="num" w:pos="426"/>
        </w:tabs>
        <w:autoSpaceDE w:val="0"/>
        <w:autoSpaceDN w:val="0"/>
        <w:adjustRightInd w:val="0"/>
        <w:spacing w:line="360" w:lineRule="auto"/>
        <w:ind w:left="426" w:hanging="426"/>
        <w:jc w:val="both"/>
        <w:rPr>
          <w:rFonts w:eastAsia="Times New Roman" w:cs="Arial"/>
          <w:snapToGrid w:val="0"/>
        </w:rPr>
      </w:pPr>
      <w:r w:rsidRPr="00DC4A95">
        <w:rPr>
          <w:rFonts w:eastAsia="Times New Roman" w:cs="Arial"/>
          <w:snapToGrid w:val="0"/>
        </w:rPr>
        <w:t>En las Juntas Locales y Municipios se realizan pagos sin la intervención preventiva del Contador Delegado.</w:t>
      </w:r>
    </w:p>
    <w:p w:rsidR="00C41B62" w:rsidRPr="00DC4A95" w:rsidRDefault="00C41B62" w:rsidP="00C41B62">
      <w:pPr>
        <w:widowControl w:val="0"/>
        <w:numPr>
          <w:ilvl w:val="0"/>
          <w:numId w:val="19"/>
        </w:numPr>
        <w:tabs>
          <w:tab w:val="num" w:pos="426"/>
        </w:tabs>
        <w:autoSpaceDE w:val="0"/>
        <w:autoSpaceDN w:val="0"/>
        <w:adjustRightInd w:val="0"/>
        <w:spacing w:line="360" w:lineRule="auto"/>
        <w:ind w:left="426" w:hanging="426"/>
        <w:jc w:val="both"/>
        <w:rPr>
          <w:rFonts w:eastAsia="Times New Roman" w:cs="Arial"/>
          <w:snapToGrid w:val="0"/>
        </w:rPr>
      </w:pPr>
      <w:r w:rsidRPr="00DC4A95">
        <w:rPr>
          <w:rFonts w:eastAsia="Times New Roman" w:cs="Arial"/>
          <w:snapToGrid w:val="0"/>
        </w:rPr>
        <w:t>No existe reglamentación para el manejo de fondos a través de cajas chicas.</w:t>
      </w:r>
    </w:p>
    <w:p w:rsidR="00C41B62" w:rsidRPr="00DC4A95" w:rsidRDefault="00C41B62" w:rsidP="00887CA1">
      <w:pPr>
        <w:widowControl w:val="0"/>
        <w:autoSpaceDE w:val="0"/>
        <w:autoSpaceDN w:val="0"/>
        <w:adjustRightInd w:val="0"/>
        <w:spacing w:line="360" w:lineRule="auto"/>
        <w:ind w:left="360"/>
        <w:jc w:val="both"/>
        <w:rPr>
          <w:rFonts w:eastAsia="Times New Roman" w:cs="Arial"/>
          <w:snapToGrid w:val="0"/>
        </w:rPr>
      </w:pPr>
    </w:p>
    <w:p w:rsidR="00C41B62" w:rsidRPr="00DC4A95" w:rsidRDefault="00C41B62" w:rsidP="00DC4A95">
      <w:pPr>
        <w:widowControl w:val="0"/>
        <w:spacing w:line="360" w:lineRule="auto"/>
        <w:jc w:val="both"/>
        <w:rPr>
          <w:rFonts w:eastAsia="Times New Roman" w:cs="Arial"/>
          <w:snapToGrid w:val="0"/>
        </w:rPr>
      </w:pPr>
      <w:r>
        <w:rPr>
          <w:rFonts w:eastAsia="Times New Roman" w:cs="Arial"/>
          <w:b/>
          <w:snapToGrid w:val="0"/>
        </w:rPr>
        <w:t>2</w:t>
      </w:r>
      <w:r w:rsidRPr="00DC4A95">
        <w:rPr>
          <w:rFonts w:eastAsia="Times New Roman" w:cs="Arial"/>
          <w:b/>
          <w:snapToGrid w:val="0"/>
        </w:rPr>
        <w:t>.</w:t>
      </w:r>
      <w:r>
        <w:rPr>
          <w:rFonts w:eastAsia="Times New Roman" w:cs="Arial"/>
          <w:b/>
          <w:snapToGrid w:val="0"/>
        </w:rPr>
        <w:t>3</w:t>
      </w:r>
      <w:r w:rsidRPr="00DC4A95">
        <w:rPr>
          <w:rFonts w:eastAsia="Times New Roman" w:cs="Arial"/>
          <w:b/>
          <w:snapToGrid w:val="0"/>
        </w:rPr>
        <w:t xml:space="preserve"> Respecto a retribuciones personales</w:t>
      </w:r>
    </w:p>
    <w:p w:rsidR="00C41B62" w:rsidRPr="00DC4A95" w:rsidRDefault="00C41B62" w:rsidP="00C41B62">
      <w:pPr>
        <w:numPr>
          <w:ilvl w:val="0"/>
          <w:numId w:val="19"/>
        </w:numPr>
        <w:tabs>
          <w:tab w:val="num" w:pos="426"/>
        </w:tabs>
        <w:autoSpaceDE w:val="0"/>
        <w:autoSpaceDN w:val="0"/>
        <w:adjustRightInd w:val="0"/>
        <w:spacing w:line="360" w:lineRule="auto"/>
        <w:ind w:left="426" w:hanging="426"/>
        <w:jc w:val="both"/>
        <w:rPr>
          <w:rFonts w:eastAsia="Times New Roman"/>
        </w:rPr>
      </w:pPr>
      <w:r w:rsidRPr="00DC4A95">
        <w:rPr>
          <w:rFonts w:eastAsia="Times New Roman"/>
          <w:color w:val="000000"/>
        </w:rPr>
        <w:t xml:space="preserve">No se </w:t>
      </w:r>
      <w:r w:rsidRPr="00DC4A95">
        <w:rPr>
          <w:rFonts w:eastAsia="Times New Roman"/>
        </w:rPr>
        <w:t>cuenta con un compendio normativo actualizado que incluya las normas presupuestales de la totalidad de las partidas de carácter salarial abonadas.</w:t>
      </w:r>
    </w:p>
    <w:p w:rsidR="00C41B62" w:rsidRPr="00DC4A95" w:rsidRDefault="00C41B62" w:rsidP="00C41B62">
      <w:pPr>
        <w:numPr>
          <w:ilvl w:val="0"/>
          <w:numId w:val="19"/>
        </w:numPr>
        <w:tabs>
          <w:tab w:val="num" w:pos="426"/>
        </w:tabs>
        <w:autoSpaceDE w:val="0"/>
        <w:autoSpaceDN w:val="0"/>
        <w:adjustRightInd w:val="0"/>
        <w:spacing w:line="360" w:lineRule="auto"/>
        <w:ind w:left="426" w:hanging="426"/>
        <w:jc w:val="both"/>
        <w:rPr>
          <w:rFonts w:eastAsia="Times New Roman"/>
        </w:rPr>
      </w:pPr>
      <w:r w:rsidRPr="00DC4A95">
        <w:rPr>
          <w:rFonts w:eastAsia="Times New Roman"/>
        </w:rPr>
        <w:t xml:space="preserve">No se verifica que todas las partidas de carácter salarial liquidadas cuenten con norma presupuestal habilitante. Se liquidaron partidas por tareas </w:t>
      </w:r>
      <w:proofErr w:type="spellStart"/>
      <w:r w:rsidRPr="00DC4A95">
        <w:rPr>
          <w:rFonts w:eastAsia="Times New Roman"/>
        </w:rPr>
        <w:t>extrahorario</w:t>
      </w:r>
      <w:proofErr w:type="spellEnd"/>
      <w:r w:rsidRPr="00DC4A95">
        <w:rPr>
          <w:rFonts w:eastAsia="Times New Roman"/>
        </w:rPr>
        <w:t>, productividad, uso de vehículos e instrumentos particulares y otros gastos, que no están establecidas en la normativa vigente.</w:t>
      </w:r>
    </w:p>
    <w:p w:rsidR="00C41B62" w:rsidRPr="00DC4A95" w:rsidRDefault="00C41B62" w:rsidP="00C41B62">
      <w:pPr>
        <w:numPr>
          <w:ilvl w:val="0"/>
          <w:numId w:val="21"/>
        </w:numPr>
        <w:spacing w:line="360" w:lineRule="auto"/>
        <w:ind w:left="357" w:hanging="357"/>
        <w:jc w:val="both"/>
        <w:rPr>
          <w:rFonts w:eastAsia="Arial Unicode MS"/>
        </w:rPr>
      </w:pPr>
      <w:r w:rsidRPr="00DC4A95">
        <w:rPr>
          <w:rFonts w:eastAsia="Arial Unicode MS"/>
        </w:rPr>
        <w:t>No se verifica que todos los conceptos gravados se computen a efectos del cálculo del IRPF, como las partidas primas por nacimiento y matrimonio, prenatal, asignaciones familiares y becas estudiantiles a hijos.</w:t>
      </w:r>
    </w:p>
    <w:p w:rsidR="00C41B62" w:rsidRPr="00DC4A95" w:rsidRDefault="00C41B62" w:rsidP="00C41B62">
      <w:pPr>
        <w:numPr>
          <w:ilvl w:val="0"/>
          <w:numId w:val="22"/>
        </w:numPr>
        <w:spacing w:line="360" w:lineRule="auto"/>
        <w:jc w:val="both"/>
        <w:rPr>
          <w:rFonts w:eastAsia="Times New Roman"/>
          <w:lang w:val="es-MX"/>
        </w:rPr>
      </w:pPr>
      <w:r w:rsidRPr="00DC4A95">
        <w:rPr>
          <w:rFonts w:eastAsia="Times New Roman"/>
          <w:lang w:val="es-MX"/>
        </w:rPr>
        <w:t>Si bien está establecido en el presupuesto vigente la carga horaria por escalafón, no se realizan adecuados controles de asistencia y horario a la totalidad de los funcionarios.</w:t>
      </w:r>
    </w:p>
    <w:p w:rsidR="00C41B62" w:rsidRPr="00DC4A95" w:rsidRDefault="00C41B62" w:rsidP="00C41B62">
      <w:pPr>
        <w:numPr>
          <w:ilvl w:val="0"/>
          <w:numId w:val="22"/>
        </w:numPr>
        <w:spacing w:line="360" w:lineRule="auto"/>
        <w:jc w:val="both"/>
        <w:rPr>
          <w:rFonts w:eastAsia="Times New Roman"/>
          <w:lang w:val="es-MX"/>
        </w:rPr>
      </w:pPr>
      <w:r w:rsidRPr="00DC4A95">
        <w:rPr>
          <w:rFonts w:eastAsia="Times New Roman"/>
          <w:lang w:val="es-MX"/>
        </w:rPr>
        <w:t>No se mantienen actualizados, en su totalidad, los legajos de funcionarios.</w:t>
      </w:r>
    </w:p>
    <w:p w:rsidR="00C41B62" w:rsidRPr="00DC4A95" w:rsidRDefault="00C41B62" w:rsidP="00C41B62">
      <w:pPr>
        <w:numPr>
          <w:ilvl w:val="0"/>
          <w:numId w:val="22"/>
        </w:numPr>
        <w:spacing w:line="360" w:lineRule="auto"/>
        <w:jc w:val="both"/>
        <w:rPr>
          <w:rFonts w:eastAsia="Times New Roman"/>
          <w:snapToGrid w:val="0"/>
          <w:color w:val="000000"/>
        </w:rPr>
      </w:pPr>
      <w:r w:rsidRPr="00DC4A95">
        <w:rPr>
          <w:rFonts w:eastAsia="Times New Roman"/>
          <w:lang w:val="es-MX"/>
        </w:rPr>
        <w:t xml:space="preserve">Se celebraron contratos de servicios con fecha posterior a la vigencia de los mismos, entre otros </w:t>
      </w:r>
      <w:proofErr w:type="spellStart"/>
      <w:r w:rsidRPr="00DC4A95">
        <w:rPr>
          <w:rFonts w:eastAsia="Times New Roman"/>
          <w:snapToGrid w:val="0"/>
          <w:color w:val="000000"/>
        </w:rPr>
        <w:t>Expte</w:t>
      </w:r>
      <w:proofErr w:type="spellEnd"/>
      <w:r w:rsidRPr="00DC4A95">
        <w:rPr>
          <w:rFonts w:eastAsia="Times New Roman"/>
          <w:snapToGrid w:val="0"/>
          <w:color w:val="000000"/>
        </w:rPr>
        <w:t xml:space="preserve">. 204/2017 contratación de Macarena González, fecha de la firma 24/01/2017 con vigencia a partir del 05/01/2017; </w:t>
      </w:r>
      <w:proofErr w:type="spellStart"/>
      <w:r w:rsidRPr="00DC4A95">
        <w:rPr>
          <w:rFonts w:eastAsia="Times New Roman"/>
          <w:snapToGrid w:val="0"/>
          <w:color w:val="000000"/>
        </w:rPr>
        <w:t>Expte</w:t>
      </w:r>
      <w:proofErr w:type="spellEnd"/>
      <w:r w:rsidRPr="00DC4A95">
        <w:rPr>
          <w:rFonts w:eastAsia="Times New Roman"/>
          <w:snapToGrid w:val="0"/>
          <w:color w:val="000000"/>
        </w:rPr>
        <w:t xml:space="preserve">. 2173/2017 contratación de Guillermo </w:t>
      </w:r>
      <w:proofErr w:type="spellStart"/>
      <w:r w:rsidRPr="00DC4A95">
        <w:rPr>
          <w:rFonts w:eastAsia="Times New Roman"/>
          <w:snapToGrid w:val="0"/>
          <w:color w:val="000000"/>
        </w:rPr>
        <w:t>Caitano</w:t>
      </w:r>
      <w:proofErr w:type="spellEnd"/>
      <w:r w:rsidRPr="00DC4A95">
        <w:rPr>
          <w:rFonts w:eastAsia="Times New Roman"/>
          <w:snapToGrid w:val="0"/>
          <w:color w:val="000000"/>
        </w:rPr>
        <w:t>, fecha de la firma 10/03/2017 con vigencia a partir del 01/03/2017.</w:t>
      </w:r>
    </w:p>
    <w:p w:rsidR="00C41B62" w:rsidRPr="00DC4A95" w:rsidRDefault="00C41B62" w:rsidP="00DC4A95">
      <w:pPr>
        <w:spacing w:line="360" w:lineRule="auto"/>
        <w:ind w:left="360"/>
        <w:jc w:val="both"/>
        <w:rPr>
          <w:rFonts w:eastAsia="Times New Roman"/>
          <w:lang w:val="es-MX"/>
        </w:rPr>
      </w:pPr>
    </w:p>
    <w:p w:rsidR="00C41B62" w:rsidRPr="00DC4A95" w:rsidRDefault="00C41B62" w:rsidP="00DC4A95">
      <w:pPr>
        <w:spacing w:line="360" w:lineRule="auto"/>
        <w:outlineLvl w:val="1"/>
        <w:rPr>
          <w:rFonts w:eastAsia="Times New Roman"/>
          <w:b/>
          <w:kern w:val="18"/>
          <w:szCs w:val="20"/>
        </w:rPr>
      </w:pPr>
      <w:r>
        <w:rPr>
          <w:rFonts w:eastAsia="Times New Roman"/>
          <w:b/>
          <w:kern w:val="18"/>
          <w:szCs w:val="20"/>
        </w:rPr>
        <w:t>2</w:t>
      </w:r>
      <w:r w:rsidRPr="00DC4A95">
        <w:rPr>
          <w:rFonts w:eastAsia="Times New Roman"/>
          <w:b/>
          <w:kern w:val="18"/>
          <w:szCs w:val="20"/>
        </w:rPr>
        <w:t>.</w:t>
      </w:r>
      <w:r>
        <w:rPr>
          <w:rFonts w:eastAsia="Times New Roman"/>
          <w:b/>
          <w:kern w:val="18"/>
          <w:szCs w:val="20"/>
        </w:rPr>
        <w:t>4</w:t>
      </w:r>
      <w:r w:rsidRPr="00DC4A95">
        <w:rPr>
          <w:rFonts w:eastAsia="Times New Roman"/>
          <w:b/>
          <w:kern w:val="18"/>
          <w:szCs w:val="20"/>
        </w:rPr>
        <w:t xml:space="preserve"> Respecto al Sistema de Compras</w:t>
      </w:r>
    </w:p>
    <w:p w:rsidR="00C41B62" w:rsidRPr="00DC4A95" w:rsidRDefault="00C41B62" w:rsidP="00C41B62">
      <w:pPr>
        <w:widowControl w:val="0"/>
        <w:numPr>
          <w:ilvl w:val="0"/>
          <w:numId w:val="20"/>
        </w:numPr>
        <w:tabs>
          <w:tab w:val="num" w:pos="426"/>
        </w:tabs>
        <w:autoSpaceDE w:val="0"/>
        <w:autoSpaceDN w:val="0"/>
        <w:adjustRightInd w:val="0"/>
        <w:spacing w:line="360" w:lineRule="auto"/>
        <w:ind w:left="357" w:hanging="357"/>
        <w:jc w:val="both"/>
        <w:rPr>
          <w:rFonts w:eastAsia="Times New Roman" w:cs="Arial"/>
          <w:snapToGrid w:val="0"/>
        </w:rPr>
      </w:pPr>
      <w:r w:rsidRPr="00DC4A95">
        <w:rPr>
          <w:rFonts w:eastAsia="Times New Roman" w:cs="Arial"/>
          <w:snapToGrid w:val="0"/>
        </w:rPr>
        <w:t>No existe un manual de procedimientos escrito y debidamente aprobado para las compras.</w:t>
      </w:r>
    </w:p>
    <w:p w:rsidR="00C41B62" w:rsidRPr="00DC4A95" w:rsidRDefault="00C41B62" w:rsidP="00C41B62">
      <w:pPr>
        <w:widowControl w:val="0"/>
        <w:numPr>
          <w:ilvl w:val="0"/>
          <w:numId w:val="20"/>
        </w:numPr>
        <w:tabs>
          <w:tab w:val="num" w:pos="426"/>
        </w:tabs>
        <w:autoSpaceDE w:val="0"/>
        <w:autoSpaceDN w:val="0"/>
        <w:adjustRightInd w:val="0"/>
        <w:spacing w:line="360" w:lineRule="auto"/>
        <w:ind w:left="357" w:hanging="357"/>
        <w:jc w:val="both"/>
        <w:rPr>
          <w:rFonts w:eastAsia="Times New Roman" w:cs="Arial"/>
          <w:snapToGrid w:val="0"/>
        </w:rPr>
      </w:pPr>
      <w:r w:rsidRPr="00DC4A95">
        <w:rPr>
          <w:rFonts w:eastAsia="Times New Roman" w:cs="Arial"/>
          <w:snapToGrid w:val="0"/>
        </w:rPr>
        <w:t>Los saldos contables de bienes no son cotejados con recuentos físicos.</w:t>
      </w:r>
    </w:p>
    <w:p w:rsidR="00C41B62" w:rsidRPr="00DC4A95" w:rsidRDefault="00C41B62" w:rsidP="00C41B62">
      <w:pPr>
        <w:numPr>
          <w:ilvl w:val="0"/>
          <w:numId w:val="23"/>
        </w:numPr>
        <w:spacing w:line="360" w:lineRule="auto"/>
        <w:ind w:left="357" w:hanging="357"/>
        <w:jc w:val="both"/>
        <w:rPr>
          <w:rFonts w:ascii="Times New Roman" w:eastAsia="Times New Roman" w:hAnsi="Times New Roman"/>
          <w:szCs w:val="20"/>
          <w:lang w:val="es-MX"/>
        </w:rPr>
      </w:pPr>
      <w:r w:rsidRPr="00DC4A95">
        <w:rPr>
          <w:rFonts w:eastAsia="Times New Roman"/>
          <w:lang w:val="es-MX"/>
        </w:rPr>
        <w:t xml:space="preserve">No se ha reglamentado lo dispuesto en el Artículo 5 de la Modificación Presupuestal del </w:t>
      </w:r>
      <w:r>
        <w:rPr>
          <w:rFonts w:eastAsia="Times New Roman"/>
          <w:lang w:val="es-MX"/>
        </w:rPr>
        <w:t>e</w:t>
      </w:r>
      <w:r w:rsidRPr="00DC4A95">
        <w:rPr>
          <w:rFonts w:eastAsia="Times New Roman"/>
          <w:lang w:val="es-MX"/>
        </w:rPr>
        <w:t>jercicio 2007, referente al registro de proveedores.</w:t>
      </w:r>
    </w:p>
    <w:p w:rsidR="00C41B62" w:rsidRPr="00DC4A95" w:rsidRDefault="00C41B62" w:rsidP="00C41B62">
      <w:pPr>
        <w:numPr>
          <w:ilvl w:val="0"/>
          <w:numId w:val="23"/>
        </w:numPr>
        <w:spacing w:line="360" w:lineRule="auto"/>
        <w:ind w:left="284" w:hanging="284"/>
        <w:jc w:val="both"/>
        <w:rPr>
          <w:rFonts w:eastAsia="Times New Roman"/>
          <w:snapToGrid w:val="0"/>
          <w:color w:val="000000"/>
          <w:szCs w:val="20"/>
        </w:rPr>
      </w:pPr>
      <w:r w:rsidRPr="00DC4A95">
        <w:rPr>
          <w:rFonts w:eastAsia="Times New Roman"/>
          <w:lang w:val="es-MX"/>
        </w:rPr>
        <w:t xml:space="preserve">No se utiliza un único número </w:t>
      </w:r>
      <w:proofErr w:type="spellStart"/>
      <w:r w:rsidRPr="00DC4A95">
        <w:rPr>
          <w:rFonts w:eastAsia="Times New Roman"/>
          <w:lang w:val="es-MX"/>
        </w:rPr>
        <w:t>identificatorio</w:t>
      </w:r>
      <w:proofErr w:type="spellEnd"/>
      <w:r w:rsidRPr="00DC4A95">
        <w:rPr>
          <w:rFonts w:eastAsia="Times New Roman"/>
          <w:lang w:val="es-MX"/>
        </w:rPr>
        <w:t xml:space="preserve"> de los proveedores. Tal situación dificulta la realización de controles tales como la conciliación de deudas.</w:t>
      </w:r>
    </w:p>
    <w:p w:rsidR="00C41B62" w:rsidRPr="00DC4A95" w:rsidRDefault="00C41B62" w:rsidP="00C41B62">
      <w:pPr>
        <w:numPr>
          <w:ilvl w:val="0"/>
          <w:numId w:val="23"/>
        </w:numPr>
        <w:spacing w:line="360" w:lineRule="auto"/>
        <w:ind w:left="426" w:hanging="426"/>
        <w:jc w:val="both"/>
        <w:rPr>
          <w:rFonts w:eastAsia="Times New Roman"/>
          <w:snapToGrid w:val="0"/>
          <w:color w:val="000000"/>
          <w:szCs w:val="20"/>
        </w:rPr>
      </w:pPr>
      <w:r w:rsidRPr="00DC4A95">
        <w:rPr>
          <w:rFonts w:eastAsia="Times New Roman"/>
          <w:lang w:val="es-MX"/>
        </w:rPr>
        <w:t>No se realizan conciliaciones de saldos con proveedores en forma periódica.</w:t>
      </w:r>
    </w:p>
    <w:p w:rsidR="00C41B62" w:rsidRPr="00DC4A95" w:rsidRDefault="00C41B62" w:rsidP="00C41B62">
      <w:pPr>
        <w:numPr>
          <w:ilvl w:val="0"/>
          <w:numId w:val="23"/>
        </w:numPr>
        <w:spacing w:line="360" w:lineRule="auto"/>
        <w:ind w:left="426" w:hanging="426"/>
        <w:jc w:val="both"/>
        <w:rPr>
          <w:rFonts w:eastAsia="Times New Roman"/>
          <w:snapToGrid w:val="0"/>
          <w:color w:val="000000"/>
          <w:szCs w:val="20"/>
        </w:rPr>
      </w:pPr>
      <w:r w:rsidRPr="00DC4A95">
        <w:rPr>
          <w:rFonts w:eastAsia="Times New Roman"/>
          <w:lang w:val="es-MX"/>
        </w:rPr>
        <w:t xml:space="preserve">El procedimiento establecido para las compras de gas </w:t>
      </w:r>
      <w:proofErr w:type="spellStart"/>
      <w:r w:rsidRPr="00DC4A95">
        <w:rPr>
          <w:rFonts w:eastAsia="Times New Roman"/>
          <w:lang w:val="es-MX"/>
        </w:rPr>
        <w:t>oil</w:t>
      </w:r>
      <w:proofErr w:type="spellEnd"/>
      <w:r w:rsidRPr="00DC4A95">
        <w:rPr>
          <w:rFonts w:eastAsia="Times New Roman"/>
          <w:lang w:val="es-MX"/>
        </w:rPr>
        <w:t xml:space="preserve"> a ANCAP no permite verificar la disponibilidad presupuestal al momento del pago de las facturas.</w:t>
      </w:r>
    </w:p>
    <w:p w:rsidR="00C41B62" w:rsidRPr="00DC4A95" w:rsidRDefault="00C41B62" w:rsidP="00C41B62">
      <w:pPr>
        <w:numPr>
          <w:ilvl w:val="0"/>
          <w:numId w:val="23"/>
        </w:numPr>
        <w:spacing w:line="360" w:lineRule="auto"/>
        <w:ind w:left="426" w:hanging="426"/>
        <w:jc w:val="both"/>
        <w:rPr>
          <w:rFonts w:eastAsia="Times New Roman"/>
          <w:snapToGrid w:val="0"/>
          <w:color w:val="000000"/>
          <w:szCs w:val="20"/>
          <w:highlight w:val="green"/>
        </w:rPr>
      </w:pPr>
      <w:r w:rsidRPr="00DC4A95">
        <w:rPr>
          <w:rFonts w:eastAsia="Times New Roman"/>
        </w:rPr>
        <w:t>Se autorizaron gastos con fecha posterior a la fecha de la factura del proveedor, entre otros,</w:t>
      </w:r>
      <w:r w:rsidRPr="00DC4A95">
        <w:rPr>
          <w:rFonts w:eastAsia="Times New Roman"/>
          <w:snapToGrid w:val="0"/>
          <w:color w:val="000000"/>
          <w:szCs w:val="20"/>
        </w:rPr>
        <w:t xml:space="preserve"> por concepto de combustible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xml:space="preserve">. 14239/2017 por un monto de $14.822,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xml:space="preserve">. 13964/2017 por un monto de  $75.052,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xml:space="preserve">. 12679/2017 por un monto de  $22.787,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xml:space="preserve">. 12955/2017 por un monto de  $32.847,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xml:space="preserve">. 12902/2017 por un monto de $119.806,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1591/2017 por un total $</w:t>
      </w:r>
      <w:r>
        <w:rPr>
          <w:rFonts w:eastAsia="Times New Roman"/>
          <w:snapToGrid w:val="0"/>
          <w:color w:val="000000"/>
          <w:szCs w:val="20"/>
        </w:rPr>
        <w:t xml:space="preserve"> </w:t>
      </w:r>
      <w:r w:rsidRPr="00DC4A95">
        <w:rPr>
          <w:rFonts w:eastAsia="Times New Roman"/>
          <w:snapToGrid w:val="0"/>
          <w:color w:val="000000"/>
          <w:szCs w:val="20"/>
        </w:rPr>
        <w:t xml:space="preserve">44.086,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14464/2017 totalizando $</w:t>
      </w:r>
      <w:r>
        <w:rPr>
          <w:rFonts w:eastAsia="Times New Roman"/>
          <w:snapToGrid w:val="0"/>
          <w:color w:val="000000"/>
          <w:szCs w:val="20"/>
        </w:rPr>
        <w:t xml:space="preserve"> </w:t>
      </w:r>
      <w:r w:rsidRPr="00DC4A95">
        <w:rPr>
          <w:rFonts w:eastAsia="Times New Roman"/>
          <w:snapToGrid w:val="0"/>
          <w:color w:val="000000"/>
          <w:szCs w:val="20"/>
        </w:rPr>
        <w:t xml:space="preserve">12.632, y por concepto de reparación de maquinarias  </w:t>
      </w:r>
      <w:proofErr w:type="spellStart"/>
      <w:r w:rsidRPr="00DC4A95">
        <w:rPr>
          <w:rFonts w:eastAsia="Times New Roman"/>
          <w:snapToGrid w:val="0"/>
          <w:color w:val="000000"/>
          <w:szCs w:val="20"/>
        </w:rPr>
        <w:t>Expte</w:t>
      </w:r>
      <w:proofErr w:type="spellEnd"/>
      <w:r w:rsidRPr="00DC4A95">
        <w:rPr>
          <w:rFonts w:eastAsia="Times New Roman"/>
          <w:snapToGrid w:val="0"/>
          <w:color w:val="000000"/>
          <w:szCs w:val="20"/>
        </w:rPr>
        <w:t>. 8047/2017 por un monto de $60.000.</w:t>
      </w:r>
    </w:p>
    <w:bookmarkEnd w:id="11"/>
    <w:p w:rsidR="00C41B62" w:rsidRPr="00DC4A95" w:rsidRDefault="00C41B62" w:rsidP="00C41B62">
      <w:pPr>
        <w:widowControl w:val="0"/>
        <w:numPr>
          <w:ilvl w:val="0"/>
          <w:numId w:val="24"/>
        </w:numPr>
        <w:spacing w:line="360" w:lineRule="auto"/>
        <w:ind w:left="426" w:hanging="284"/>
        <w:jc w:val="both"/>
        <w:rPr>
          <w:rFonts w:eastAsia="Times New Roman"/>
          <w:lang w:val="es-MX"/>
        </w:rPr>
      </w:pPr>
      <w:r w:rsidRPr="00DC4A95">
        <w:rPr>
          <w:rFonts w:eastAsia="Times New Roman"/>
          <w:szCs w:val="20"/>
          <w:lang w:val="es-MX"/>
        </w:rPr>
        <w:t>Se liquidaron servicios sin contrato vigente, entre otros</w:t>
      </w:r>
      <w:r w:rsidRPr="00DC4A95">
        <w:rPr>
          <w:rFonts w:eastAsia="Times New Roman"/>
          <w:snapToGrid w:val="0"/>
          <w:color w:val="000000"/>
          <w:szCs w:val="20"/>
        </w:rPr>
        <w:t xml:space="preserve">  GEOCOM Uruguay SA por un importe de $</w:t>
      </w:r>
      <w:r>
        <w:rPr>
          <w:rFonts w:eastAsia="Times New Roman"/>
          <w:snapToGrid w:val="0"/>
          <w:color w:val="000000"/>
          <w:szCs w:val="20"/>
        </w:rPr>
        <w:t xml:space="preserve"> </w:t>
      </w:r>
      <w:r w:rsidRPr="00DC4A95">
        <w:rPr>
          <w:rFonts w:eastAsia="Times New Roman"/>
          <w:snapToGrid w:val="0"/>
          <w:color w:val="000000"/>
          <w:szCs w:val="20"/>
        </w:rPr>
        <w:t>309.886 mensuales; SEGOR servicios de vigilancia en vertedero por julio y agosto de 2017 por un importe de $193.390 mensuales; SEGOR servicios de vigilancia en Terminal de buses en la ciudad de Minas correspondiente a los meses de julio y agosto de 2017 por un importe de $190.885 mensuales.</w:t>
      </w:r>
    </w:p>
    <w:p w:rsidR="00C41B62" w:rsidRPr="00DC4A95" w:rsidRDefault="00C41B62" w:rsidP="00DC4A95">
      <w:pPr>
        <w:spacing w:line="360" w:lineRule="auto"/>
        <w:jc w:val="both"/>
        <w:rPr>
          <w:rFonts w:eastAsia="Times New Roman"/>
          <w:lang w:val="es-MX"/>
        </w:rPr>
      </w:pPr>
    </w:p>
    <w:p w:rsidR="00C41B62" w:rsidRPr="00DC4A95" w:rsidRDefault="00C41B62" w:rsidP="00DC4A95">
      <w:pPr>
        <w:spacing w:line="360" w:lineRule="auto"/>
        <w:outlineLvl w:val="1"/>
        <w:rPr>
          <w:rFonts w:eastAsia="Times New Roman"/>
          <w:b/>
          <w:kern w:val="18"/>
          <w:szCs w:val="20"/>
        </w:rPr>
      </w:pPr>
      <w:r>
        <w:rPr>
          <w:rFonts w:eastAsia="Times New Roman"/>
          <w:b/>
          <w:kern w:val="18"/>
          <w:szCs w:val="20"/>
        </w:rPr>
        <w:t>2</w:t>
      </w:r>
      <w:r w:rsidRPr="00DC4A95">
        <w:rPr>
          <w:rFonts w:eastAsia="Times New Roman"/>
          <w:b/>
          <w:kern w:val="18"/>
          <w:szCs w:val="20"/>
        </w:rPr>
        <w:t>.</w:t>
      </w:r>
      <w:r>
        <w:rPr>
          <w:rFonts w:eastAsia="Times New Roman"/>
          <w:b/>
          <w:kern w:val="18"/>
          <w:szCs w:val="20"/>
        </w:rPr>
        <w:t>5</w:t>
      </w:r>
      <w:r w:rsidRPr="00DC4A95">
        <w:rPr>
          <w:rFonts w:eastAsia="Times New Roman"/>
          <w:b/>
          <w:kern w:val="18"/>
          <w:szCs w:val="20"/>
        </w:rPr>
        <w:t xml:space="preserve"> Respecto a los bienes de la Intendencia</w:t>
      </w:r>
    </w:p>
    <w:p w:rsidR="00C41B62" w:rsidRPr="00DC4A95" w:rsidRDefault="00C41B62" w:rsidP="00C41B62">
      <w:pPr>
        <w:numPr>
          <w:ilvl w:val="0"/>
          <w:numId w:val="24"/>
        </w:numPr>
        <w:spacing w:line="360" w:lineRule="auto"/>
        <w:jc w:val="both"/>
        <w:rPr>
          <w:rFonts w:eastAsia="Times New Roman"/>
          <w:szCs w:val="20"/>
          <w:lang w:val="es-MX"/>
        </w:rPr>
      </w:pPr>
      <w:r w:rsidRPr="00DC4A95">
        <w:rPr>
          <w:rFonts w:eastAsia="Times New Roman"/>
          <w:szCs w:val="20"/>
          <w:lang w:val="es-MX"/>
        </w:rPr>
        <w:t>La Intendencia no ha contratado seguros para todos</w:t>
      </w:r>
      <w:r w:rsidR="00EB7620">
        <w:rPr>
          <w:rFonts w:eastAsia="Times New Roman"/>
          <w:szCs w:val="20"/>
          <w:lang w:val="es-MX"/>
        </w:rPr>
        <w:t xml:space="preserve"> los inmuebles de su propiedad.</w:t>
      </w:r>
    </w:p>
    <w:p w:rsidR="00C41B62" w:rsidRPr="00D55839" w:rsidRDefault="00C41B62" w:rsidP="00DC4A95">
      <w:pPr>
        <w:spacing w:line="360" w:lineRule="auto"/>
        <w:outlineLvl w:val="1"/>
        <w:rPr>
          <w:rFonts w:eastAsia="Times New Roman"/>
          <w:b/>
          <w:kern w:val="18"/>
          <w:szCs w:val="20"/>
          <w:lang w:val="es-MX"/>
        </w:rPr>
      </w:pPr>
    </w:p>
    <w:p w:rsidR="00C41B62" w:rsidRPr="00D55839" w:rsidRDefault="00C41B62" w:rsidP="008349E2">
      <w:pPr>
        <w:pStyle w:val="Ttulo2"/>
        <w:numPr>
          <w:ilvl w:val="0"/>
          <w:numId w:val="16"/>
        </w:numPr>
        <w:tabs>
          <w:tab w:val="left" w:pos="426"/>
        </w:tabs>
        <w:spacing w:after="0"/>
        <w:ind w:left="0" w:firstLine="0"/>
        <w:jc w:val="both"/>
        <w:rPr>
          <w:rFonts w:cs="Arial"/>
          <w:szCs w:val="24"/>
        </w:rPr>
      </w:pPr>
      <w:r w:rsidRPr="00D55839">
        <w:rPr>
          <w:rFonts w:cs="Arial"/>
          <w:szCs w:val="24"/>
        </w:rPr>
        <w:t>Recomendaciones</w:t>
      </w:r>
    </w:p>
    <w:p w:rsidR="00C41B62" w:rsidRPr="00D55839" w:rsidRDefault="00C41B62" w:rsidP="008349E2">
      <w:pPr>
        <w:pStyle w:val="Ttulo2"/>
        <w:spacing w:after="0"/>
        <w:jc w:val="both"/>
        <w:rPr>
          <w:rFonts w:cs="Arial"/>
          <w:szCs w:val="24"/>
          <w:lang w:val="es-ES_tradnl"/>
        </w:rPr>
      </w:pPr>
      <w:r w:rsidRPr="00D55839">
        <w:rPr>
          <w:rFonts w:cs="Arial"/>
          <w:szCs w:val="24"/>
          <w:lang w:val="es-ES_tradnl"/>
        </w:rPr>
        <w:t>3.1)</w:t>
      </w:r>
      <w:r>
        <w:rPr>
          <w:rFonts w:cs="Arial"/>
          <w:szCs w:val="24"/>
          <w:lang w:val="es-ES_tradnl"/>
        </w:rPr>
        <w:t xml:space="preserve"> Recomendaciones del E</w:t>
      </w:r>
      <w:r w:rsidRPr="00D55839">
        <w:rPr>
          <w:rFonts w:cs="Arial"/>
          <w:szCs w:val="24"/>
          <w:lang w:val="es-ES_tradnl"/>
        </w:rPr>
        <w:t>jercicio anterior no cumplidas</w:t>
      </w:r>
    </w:p>
    <w:p w:rsidR="00C41B62" w:rsidRPr="00D55839" w:rsidRDefault="00C41B62" w:rsidP="008349E2">
      <w:pPr>
        <w:pStyle w:val="Ttulo2"/>
        <w:spacing w:after="0"/>
        <w:jc w:val="both"/>
        <w:rPr>
          <w:rFonts w:cs="Arial"/>
          <w:szCs w:val="24"/>
        </w:rPr>
      </w:pPr>
      <w:r w:rsidRPr="00D55839">
        <w:rPr>
          <w:rFonts w:cs="Arial"/>
          <w:szCs w:val="24"/>
        </w:rPr>
        <w:t>3.1.1) Estados de Resultado del Ejercicio, de Resultado Acumulado y de Ejecución en relación a los créditos presupuestales</w:t>
      </w:r>
    </w:p>
    <w:p w:rsidR="00C41B62" w:rsidRPr="00D55839" w:rsidRDefault="00C41B62" w:rsidP="00BC02CF">
      <w:pPr>
        <w:pStyle w:val="Textoindependiente"/>
        <w:spacing w:after="240"/>
        <w:rPr>
          <w:rFonts w:cs="Arial"/>
        </w:rPr>
      </w:pPr>
      <w:r w:rsidRPr="00D55839">
        <w:rPr>
          <w:rFonts w:cs="Arial"/>
        </w:rPr>
        <w:t>La Intendencia deberá ajustar su forma de determinación de acuerdo con lo expuesto en los numerales 1.2) a  1.5) de este informe, e incluir los conceptos que establece el Instructivo para la presentación de la Rendición de Cuentas aprobado por este Tribunal.</w:t>
      </w:r>
    </w:p>
    <w:p w:rsidR="00C41B62" w:rsidRPr="00D55839" w:rsidRDefault="00C41B62" w:rsidP="008349E2">
      <w:pPr>
        <w:pStyle w:val="Ttulo2"/>
        <w:spacing w:after="0"/>
        <w:jc w:val="both"/>
        <w:rPr>
          <w:rFonts w:cs="Arial"/>
          <w:szCs w:val="24"/>
        </w:rPr>
      </w:pPr>
      <w:r w:rsidRPr="00D55839">
        <w:rPr>
          <w:rFonts w:cs="Arial"/>
          <w:szCs w:val="24"/>
        </w:rPr>
        <w:t>3.1.2)  Inst</w:t>
      </w:r>
      <w:r w:rsidR="00EB7620">
        <w:rPr>
          <w:rFonts w:cs="Arial"/>
          <w:szCs w:val="24"/>
        </w:rPr>
        <w:t>ructivo del Tribunal de Cuentas</w:t>
      </w:r>
    </w:p>
    <w:p w:rsidR="00C41B62" w:rsidRPr="00D55839" w:rsidRDefault="00C41B62" w:rsidP="008349E2">
      <w:pPr>
        <w:pStyle w:val="Textoindependiente"/>
        <w:rPr>
          <w:rFonts w:cs="Arial"/>
        </w:rPr>
      </w:pPr>
      <w:r w:rsidRPr="00D55839">
        <w:rPr>
          <w:rFonts w:cs="Arial"/>
          <w:b/>
        </w:rPr>
        <w:t xml:space="preserve">3.1.2.1) Fondos </w:t>
      </w:r>
      <w:proofErr w:type="spellStart"/>
      <w:r w:rsidRPr="00D55839">
        <w:rPr>
          <w:rFonts w:cs="Arial"/>
          <w:b/>
        </w:rPr>
        <w:t>extrapresupuestales</w:t>
      </w:r>
      <w:proofErr w:type="spellEnd"/>
    </w:p>
    <w:p w:rsidR="00C41B62" w:rsidRPr="00D55839" w:rsidRDefault="00C41B62" w:rsidP="008349E2">
      <w:pPr>
        <w:pStyle w:val="Textoindependiente"/>
        <w:rPr>
          <w:rFonts w:cs="Arial"/>
        </w:rPr>
      </w:pPr>
      <w:r w:rsidRPr="00D55839">
        <w:rPr>
          <w:rFonts w:cs="Arial"/>
        </w:rPr>
        <w:t xml:space="preserve">El estado correspondiente a los fondos </w:t>
      </w:r>
      <w:proofErr w:type="spellStart"/>
      <w:r w:rsidRPr="00D55839">
        <w:rPr>
          <w:rFonts w:cs="Arial"/>
        </w:rPr>
        <w:t>extrapresupuestales</w:t>
      </w:r>
      <w:proofErr w:type="spellEnd"/>
      <w:r w:rsidRPr="00D55839">
        <w:rPr>
          <w:rFonts w:cs="Arial"/>
        </w:rPr>
        <w:t xml:space="preserve"> debe ser presentado en la forma establecida en el Instructivo de este Tribunal aprobado por Resolución 1235/18 en Sesión de fecha 21/03/2018, de forma que estén claramente identificadas las partidas que permanecen con saldos al cierre del ejercicio y las que, por el contrario, </w:t>
      </w:r>
      <w:r>
        <w:rPr>
          <w:rFonts w:cs="Arial"/>
        </w:rPr>
        <w:t>son afectadas al resultado del E</w:t>
      </w:r>
      <w:r w:rsidRPr="00D55839">
        <w:rPr>
          <w:rFonts w:cs="Arial"/>
        </w:rPr>
        <w:t>jercicio.</w:t>
      </w:r>
    </w:p>
    <w:p w:rsidR="00C41B62" w:rsidRDefault="00C41B62" w:rsidP="00BC02CF">
      <w:pPr>
        <w:pStyle w:val="Ttulo2"/>
        <w:tabs>
          <w:tab w:val="num" w:pos="2880"/>
        </w:tabs>
        <w:spacing w:after="240"/>
        <w:jc w:val="both"/>
        <w:rPr>
          <w:rFonts w:cs="Arial"/>
          <w:szCs w:val="24"/>
        </w:rPr>
      </w:pPr>
    </w:p>
    <w:p w:rsidR="00C41B62" w:rsidRPr="00D55839" w:rsidRDefault="00C41B62" w:rsidP="008349E2">
      <w:pPr>
        <w:pStyle w:val="Ttulo2"/>
        <w:tabs>
          <w:tab w:val="num" w:pos="2880"/>
        </w:tabs>
        <w:spacing w:after="0"/>
        <w:jc w:val="both"/>
        <w:rPr>
          <w:rFonts w:cs="Arial"/>
          <w:szCs w:val="24"/>
        </w:rPr>
      </w:pPr>
      <w:r w:rsidRPr="00D55839">
        <w:rPr>
          <w:rFonts w:cs="Arial"/>
          <w:szCs w:val="24"/>
        </w:rPr>
        <w:t>3.1.2.2) Caducidad de obligaciones presupuestales impagas</w:t>
      </w:r>
    </w:p>
    <w:p w:rsidR="00C41B62" w:rsidRPr="00D55839" w:rsidRDefault="00C41B62" w:rsidP="008349E2">
      <w:pPr>
        <w:pStyle w:val="Textoindependiente"/>
        <w:rPr>
          <w:rFonts w:cs="Arial"/>
        </w:rPr>
      </w:pPr>
      <w:r w:rsidRPr="00D55839">
        <w:rPr>
          <w:rFonts w:cs="Arial"/>
        </w:rPr>
        <w:t>Si deben darse de baja determinadas obligaciones, en razón de que no corresponde abonarlas, deberá indicarse el detalle de las mismas y el motivo por el que se dan de baja, de acuerdo con lo previsto en el Instructivo de este Tribunal</w:t>
      </w:r>
      <w:r>
        <w:rPr>
          <w:rFonts w:cs="Arial"/>
        </w:rPr>
        <w:t>.</w:t>
      </w:r>
    </w:p>
    <w:p w:rsidR="00C41B62" w:rsidRDefault="00C41B62" w:rsidP="008349E2">
      <w:pPr>
        <w:pStyle w:val="Ttulo2"/>
        <w:tabs>
          <w:tab w:val="num" w:pos="2880"/>
        </w:tabs>
        <w:spacing w:after="0"/>
        <w:jc w:val="both"/>
        <w:rPr>
          <w:rFonts w:cs="Arial"/>
          <w:szCs w:val="24"/>
        </w:rPr>
      </w:pPr>
    </w:p>
    <w:p w:rsidR="00C41B62" w:rsidRPr="00D55839" w:rsidRDefault="00EB7620" w:rsidP="008349E2">
      <w:pPr>
        <w:pStyle w:val="Ttulo2"/>
        <w:tabs>
          <w:tab w:val="num" w:pos="2880"/>
        </w:tabs>
        <w:spacing w:after="0"/>
        <w:jc w:val="both"/>
        <w:rPr>
          <w:rFonts w:cs="Arial"/>
          <w:szCs w:val="24"/>
        </w:rPr>
      </w:pPr>
      <w:r>
        <w:rPr>
          <w:rFonts w:cs="Arial"/>
          <w:szCs w:val="24"/>
        </w:rPr>
        <w:t>3.1.3) Control Interno</w:t>
      </w:r>
    </w:p>
    <w:p w:rsidR="00C41B62" w:rsidRPr="00D55839" w:rsidRDefault="00C41B62" w:rsidP="008349E2">
      <w:pPr>
        <w:pStyle w:val="Textoindependiente"/>
        <w:rPr>
          <w:rFonts w:cs="Arial"/>
        </w:rPr>
      </w:pPr>
      <w:r w:rsidRPr="00D55839">
        <w:rPr>
          <w:rFonts w:cs="Arial"/>
        </w:rPr>
        <w:t>La Intendencia deberá arbitrar los mecanismos a fin de superar las debilidades de control interno señaladas en el numeral 2) del presente Informe.</w:t>
      </w:r>
    </w:p>
    <w:p w:rsidR="00C41B62" w:rsidRDefault="00C41B62" w:rsidP="008349E2">
      <w:pPr>
        <w:pStyle w:val="Ttulo2"/>
        <w:spacing w:after="0"/>
        <w:jc w:val="both"/>
        <w:rPr>
          <w:rFonts w:cs="Arial"/>
          <w:szCs w:val="24"/>
        </w:rPr>
      </w:pPr>
      <w:bookmarkStart w:id="12" w:name="_Toc207699455"/>
      <w:bookmarkStart w:id="13" w:name="_Toc343587290"/>
      <w:bookmarkStart w:id="14" w:name="_Toc407008335"/>
    </w:p>
    <w:p w:rsidR="00C41B62" w:rsidRPr="00D55839" w:rsidRDefault="00C41B62" w:rsidP="008349E2">
      <w:pPr>
        <w:pStyle w:val="Ttulo2"/>
        <w:spacing w:after="0"/>
        <w:jc w:val="both"/>
        <w:rPr>
          <w:rFonts w:cs="Arial"/>
          <w:szCs w:val="24"/>
        </w:rPr>
      </w:pPr>
      <w:r w:rsidRPr="00D55839">
        <w:rPr>
          <w:rFonts w:cs="Arial"/>
          <w:szCs w:val="24"/>
        </w:rPr>
        <w:t>3.2)</w:t>
      </w:r>
      <w:r>
        <w:rPr>
          <w:rFonts w:cs="Arial"/>
          <w:szCs w:val="24"/>
        </w:rPr>
        <w:t xml:space="preserve"> Recomendaciones del E</w:t>
      </w:r>
      <w:r w:rsidRPr="00D55839">
        <w:rPr>
          <w:rFonts w:cs="Arial"/>
          <w:szCs w:val="24"/>
        </w:rPr>
        <w:t>jercicio</w:t>
      </w:r>
      <w:bookmarkEnd w:id="12"/>
      <w:bookmarkEnd w:id="13"/>
      <w:bookmarkEnd w:id="14"/>
    </w:p>
    <w:p w:rsidR="00C41B62" w:rsidRDefault="00C41B62" w:rsidP="008349E2">
      <w:pPr>
        <w:pStyle w:val="Textoindependiente"/>
        <w:widowControl w:val="0"/>
        <w:rPr>
          <w:rFonts w:cs="Arial"/>
        </w:rPr>
      </w:pPr>
      <w:r w:rsidRPr="00D55839">
        <w:rPr>
          <w:rFonts w:cs="Arial"/>
        </w:rPr>
        <w:t>Se reiteran las recomendaciones señaladas en el Numera</w:t>
      </w:r>
      <w:r w:rsidR="00EB7620">
        <w:rPr>
          <w:rFonts w:cs="Arial"/>
        </w:rPr>
        <w:t>l 3.1 y se agrega la siguiente:</w:t>
      </w:r>
    </w:p>
    <w:p w:rsidR="00C41B62" w:rsidRPr="00D55839" w:rsidRDefault="00C41B62" w:rsidP="008349E2">
      <w:pPr>
        <w:pStyle w:val="Textoindependiente"/>
        <w:widowControl w:val="0"/>
        <w:rPr>
          <w:rFonts w:cs="Arial"/>
        </w:rPr>
      </w:pPr>
    </w:p>
    <w:p w:rsidR="00C41B62" w:rsidRPr="00D55839" w:rsidRDefault="00C41B62" w:rsidP="008349E2">
      <w:pPr>
        <w:pStyle w:val="Textoindependiente"/>
        <w:widowControl w:val="0"/>
        <w:rPr>
          <w:rFonts w:cs="Arial"/>
          <w:b/>
          <w:bCs w:val="0"/>
        </w:rPr>
      </w:pPr>
      <w:r w:rsidRPr="00D55839">
        <w:rPr>
          <w:rFonts w:cs="Arial"/>
          <w:b/>
          <w:spacing w:val="-3"/>
        </w:rPr>
        <w:t>3.2.1) Modificaciones de recursos</w:t>
      </w:r>
    </w:p>
    <w:p w:rsidR="00C41B62" w:rsidRPr="00D55839" w:rsidRDefault="00C41B62" w:rsidP="008349E2">
      <w:pPr>
        <w:suppressAutoHyphens/>
        <w:spacing w:line="360" w:lineRule="auto"/>
        <w:jc w:val="both"/>
        <w:rPr>
          <w:rFonts w:cs="Arial"/>
          <w:bCs/>
          <w:spacing w:val="-3"/>
        </w:rPr>
      </w:pPr>
      <w:r w:rsidRPr="00D55839">
        <w:rPr>
          <w:rFonts w:cs="Arial"/>
          <w:bCs/>
          <w:spacing w:val="-3"/>
        </w:rPr>
        <w:t>En cumplimiento de la Ordenanza Nº 62 de este Tribunal, toda creación o modificación de recursos que aplique la Intendencia, debe ser sometida a dictamen de este Tribunal</w:t>
      </w:r>
      <w:r>
        <w:rPr>
          <w:rFonts w:cs="Arial"/>
          <w:bCs/>
          <w:spacing w:val="-3"/>
        </w:rPr>
        <w:t xml:space="preserve"> </w:t>
      </w:r>
      <w:r w:rsidRPr="00D55839">
        <w:rPr>
          <w:rFonts w:cs="Arial"/>
          <w:bCs/>
          <w:spacing w:val="-3"/>
        </w:rPr>
        <w:t xml:space="preserve"> por la respectiva Junta Departamental, previamente a su aprobación.</w:t>
      </w:r>
    </w:p>
    <w:p w:rsidR="00C41B62" w:rsidRDefault="00C41B62" w:rsidP="00C675FB">
      <w:pPr>
        <w:pStyle w:val="Sangra3detindependiente"/>
        <w:spacing w:after="240"/>
        <w:jc w:val="right"/>
        <w:rPr>
          <w:rFonts w:cs="Arial"/>
          <w:szCs w:val="24"/>
        </w:rPr>
      </w:pPr>
      <w:r w:rsidRPr="0023661F">
        <w:rPr>
          <w:rFonts w:cs="Arial"/>
          <w:szCs w:val="24"/>
        </w:rPr>
        <w:t>Montevideo,</w:t>
      </w:r>
      <w:r>
        <w:rPr>
          <w:rFonts w:cs="Arial"/>
          <w:szCs w:val="24"/>
        </w:rPr>
        <w:t xml:space="preserve"> 17 de diciembre de 2018</w:t>
      </w:r>
      <w:bookmarkEnd w:id="6"/>
      <w:bookmarkEnd w:id="7"/>
    </w:p>
    <w:p w:rsidR="00C41B62" w:rsidRDefault="00C41B62" w:rsidP="00C675FB">
      <w:pPr>
        <w:pStyle w:val="Sangra3detindependiente"/>
        <w:spacing w:after="240"/>
        <w:jc w:val="right"/>
        <w:rPr>
          <w:rFonts w:cs="Arial"/>
          <w:szCs w:val="24"/>
        </w:rPr>
      </w:pPr>
    </w:p>
    <w:p w:rsidR="00C41B62" w:rsidRDefault="00C41B62" w:rsidP="00C675FB">
      <w:pPr>
        <w:pStyle w:val="Sangra3detindependiente"/>
        <w:spacing w:after="240"/>
        <w:jc w:val="right"/>
        <w:rPr>
          <w:rFonts w:cs="Arial"/>
          <w:szCs w:val="24"/>
        </w:rPr>
      </w:pPr>
    </w:p>
    <w:p w:rsidR="00C41B62" w:rsidRPr="00C41B62" w:rsidRDefault="00C41B62" w:rsidP="00C41B62">
      <w:pPr>
        <w:pStyle w:val="Sangra3detindependiente"/>
        <w:spacing w:after="240"/>
        <w:ind w:hanging="284"/>
        <w:jc w:val="left"/>
        <w:rPr>
          <w:rFonts w:cs="Arial"/>
          <w:color w:val="000000"/>
        </w:rPr>
      </w:pPr>
      <w:proofErr w:type="gramStart"/>
      <w:r>
        <w:rPr>
          <w:rFonts w:cs="Arial"/>
          <w:szCs w:val="24"/>
        </w:rPr>
        <w:t>dc</w:t>
      </w:r>
      <w:proofErr w:type="gramEnd"/>
    </w:p>
    <w:sectPr w:rsidR="00C41B62" w:rsidRPr="00C41B62" w:rsidSect="00C86D28">
      <w:footerReference w:type="even" r:id="rId9"/>
      <w:footerReference w:type="default" r:id="rId10"/>
      <w:pgSz w:w="11906" w:h="16838" w:code="9"/>
      <w:pgMar w:top="3119" w:right="1701" w:bottom="1701"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44E" w:rsidRDefault="0038044E">
      <w:r>
        <w:separator/>
      </w:r>
    </w:p>
  </w:endnote>
  <w:endnote w:type="continuationSeparator" w:id="0">
    <w:p w:rsidR="0038044E" w:rsidRDefault="0038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B1" w:rsidRDefault="00AB61B1">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B61B1" w:rsidRDefault="00AB61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1B1" w:rsidRDefault="00AB61B1">
    <w:pPr>
      <w:pStyle w:val="Piedepgina"/>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3AFE">
      <w:rPr>
        <w:rStyle w:val="Nmerodepgina"/>
        <w:noProof/>
      </w:rPr>
      <w:t>1</w:t>
    </w:r>
    <w:r>
      <w:rPr>
        <w:rStyle w:val="Nmerodepgina"/>
      </w:rPr>
      <w:fldChar w:fldCharType="end"/>
    </w:r>
  </w:p>
  <w:p w:rsidR="00AB61B1" w:rsidRDefault="00AB61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44E" w:rsidRDefault="0038044E">
      <w:r>
        <w:separator/>
      </w:r>
    </w:p>
  </w:footnote>
  <w:footnote w:type="continuationSeparator" w:id="0">
    <w:p w:rsidR="0038044E" w:rsidRDefault="00380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07C0"/>
    <w:multiLevelType w:val="hybridMultilevel"/>
    <w:tmpl w:val="E2A8D05C"/>
    <w:lvl w:ilvl="0" w:tplc="AAFCFD2A">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0CA7E40"/>
    <w:multiLevelType w:val="hybridMultilevel"/>
    <w:tmpl w:val="D30E78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086C5018"/>
    <w:multiLevelType w:val="hybridMultilevel"/>
    <w:tmpl w:val="8ED0586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179B4B82"/>
    <w:multiLevelType w:val="hybridMultilevel"/>
    <w:tmpl w:val="2096A064"/>
    <w:lvl w:ilvl="0" w:tplc="380A000F">
      <w:start w:val="1"/>
      <w:numFmt w:val="decimal"/>
      <w:lvlText w:val="%1."/>
      <w:lvlJc w:val="left"/>
      <w:pPr>
        <w:tabs>
          <w:tab w:val="num" w:pos="720"/>
        </w:tabs>
        <w:ind w:left="720" w:hanging="360"/>
      </w:pPr>
      <w:rPr>
        <w:rFont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1AA97C00"/>
    <w:multiLevelType w:val="hybridMultilevel"/>
    <w:tmpl w:val="B728E93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247C6E94"/>
    <w:multiLevelType w:val="hybridMultilevel"/>
    <w:tmpl w:val="DCB47D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F464076"/>
    <w:multiLevelType w:val="singleLevel"/>
    <w:tmpl w:val="D20EF798"/>
    <w:lvl w:ilvl="0">
      <w:start w:val="1"/>
      <w:numFmt w:val="decimal"/>
      <w:lvlText w:val="%1)"/>
      <w:lvlJc w:val="left"/>
      <w:pPr>
        <w:tabs>
          <w:tab w:val="num" w:pos="360"/>
        </w:tabs>
        <w:ind w:left="360" w:hanging="360"/>
      </w:pPr>
      <w:rPr>
        <w:rFonts w:hint="default"/>
        <w:b/>
        <w:sz w:val="24"/>
        <w:szCs w:val="24"/>
      </w:rPr>
    </w:lvl>
  </w:abstractNum>
  <w:abstractNum w:abstractNumId="7">
    <w:nsid w:val="3D0E0A51"/>
    <w:multiLevelType w:val="hybridMultilevel"/>
    <w:tmpl w:val="5FF2616E"/>
    <w:lvl w:ilvl="0" w:tplc="F3A6EFF6">
      <w:start w:val="3"/>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415E0599"/>
    <w:multiLevelType w:val="singleLevel"/>
    <w:tmpl w:val="5ADABD36"/>
    <w:lvl w:ilvl="0">
      <w:start w:val="3"/>
      <w:numFmt w:val="bullet"/>
      <w:lvlText w:val="-"/>
      <w:lvlJc w:val="left"/>
      <w:pPr>
        <w:tabs>
          <w:tab w:val="num" w:pos="360"/>
        </w:tabs>
        <w:ind w:left="360" w:hanging="360"/>
      </w:pPr>
      <w:rPr>
        <w:rFonts w:ascii="Times New Roman" w:hAnsi="Times New Roman" w:hint="default"/>
      </w:rPr>
    </w:lvl>
  </w:abstractNum>
  <w:abstractNum w:abstractNumId="9">
    <w:nsid w:val="455B05F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nsid w:val="4597025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46846BEF"/>
    <w:multiLevelType w:val="singleLevel"/>
    <w:tmpl w:val="0C0A0001"/>
    <w:lvl w:ilvl="0">
      <w:start w:val="1"/>
      <w:numFmt w:val="bullet"/>
      <w:lvlText w:val=""/>
      <w:lvlJc w:val="left"/>
      <w:pPr>
        <w:ind w:left="720" w:hanging="360"/>
      </w:pPr>
      <w:rPr>
        <w:rFonts w:ascii="Symbol" w:hAnsi="Symbol" w:hint="default"/>
      </w:rPr>
    </w:lvl>
  </w:abstractNum>
  <w:abstractNum w:abstractNumId="12">
    <w:nsid w:val="47AE236C"/>
    <w:multiLevelType w:val="hybridMultilevel"/>
    <w:tmpl w:val="498CEB6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88568B5"/>
    <w:multiLevelType w:val="multilevel"/>
    <w:tmpl w:val="54085096"/>
    <w:lvl w:ilvl="0">
      <w:start w:val="1"/>
      <w:numFmt w:val="decimal"/>
      <w:lvlText w:val="%1."/>
      <w:lvlJc w:val="left"/>
      <w:pPr>
        <w:ind w:left="405" w:hanging="405"/>
      </w:pPr>
      <w:rPr>
        <w:rFonts w:hint="default"/>
        <w:b/>
      </w:rPr>
    </w:lvl>
    <w:lvl w:ilvl="1">
      <w:start w:val="8"/>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14">
    <w:nsid w:val="4FC04BF8"/>
    <w:multiLevelType w:val="hybridMultilevel"/>
    <w:tmpl w:val="7528F4FC"/>
    <w:lvl w:ilvl="0" w:tplc="0C0A0011">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5">
    <w:nsid w:val="51B56694"/>
    <w:multiLevelType w:val="singleLevel"/>
    <w:tmpl w:val="5ADABD36"/>
    <w:lvl w:ilvl="0">
      <w:numFmt w:val="bullet"/>
      <w:lvlText w:val="-"/>
      <w:lvlJc w:val="left"/>
      <w:pPr>
        <w:tabs>
          <w:tab w:val="num" w:pos="360"/>
        </w:tabs>
        <w:ind w:left="360" w:hanging="360"/>
      </w:pPr>
      <w:rPr>
        <w:rFonts w:ascii="Times New Roman" w:hAnsi="Times New Roman" w:hint="default"/>
      </w:rPr>
    </w:lvl>
  </w:abstractNum>
  <w:abstractNum w:abstractNumId="16">
    <w:nsid w:val="57B63764"/>
    <w:multiLevelType w:val="hybridMultilevel"/>
    <w:tmpl w:val="90C65F40"/>
    <w:lvl w:ilvl="0" w:tplc="6D166090">
      <w:start w:val="1"/>
      <w:numFmt w:val="decimal"/>
      <w:lvlText w:val="%1)"/>
      <w:lvlJc w:val="left"/>
      <w:pPr>
        <w:tabs>
          <w:tab w:val="num" w:pos="360"/>
        </w:tabs>
        <w:ind w:left="340" w:hanging="34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nsid w:val="5A524B56"/>
    <w:multiLevelType w:val="hybridMultilevel"/>
    <w:tmpl w:val="A146749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8">
    <w:nsid w:val="5DB536AF"/>
    <w:multiLevelType w:val="singleLevel"/>
    <w:tmpl w:val="F716D1AE"/>
    <w:lvl w:ilvl="0">
      <w:start w:val="1"/>
      <w:numFmt w:val="bullet"/>
      <w:lvlText w:val=""/>
      <w:lvlJc w:val="left"/>
      <w:pPr>
        <w:ind w:left="720" w:hanging="360"/>
      </w:pPr>
      <w:rPr>
        <w:rFonts w:ascii="Symbol" w:hAnsi="Symbol" w:hint="default"/>
        <w:color w:val="auto"/>
      </w:rPr>
    </w:lvl>
  </w:abstractNum>
  <w:abstractNum w:abstractNumId="19">
    <w:nsid w:val="5DFC5887"/>
    <w:multiLevelType w:val="hybridMultilevel"/>
    <w:tmpl w:val="9F6A2EAE"/>
    <w:lvl w:ilvl="0" w:tplc="FFFFFFFF">
      <w:start w:val="1"/>
      <w:numFmt w:val="decimal"/>
      <w:lvlText w:val="%1)"/>
      <w:lvlJc w:val="left"/>
      <w:pPr>
        <w:tabs>
          <w:tab w:val="num" w:pos="360"/>
        </w:tabs>
        <w:ind w:left="340" w:hanging="34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nsid w:val="5EF527B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nsid w:val="60764B5E"/>
    <w:multiLevelType w:val="multilevel"/>
    <w:tmpl w:val="47FCFB16"/>
    <w:lvl w:ilvl="0">
      <w:start w:val="1"/>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3">
    <w:nsid w:val="700E2441"/>
    <w:multiLevelType w:val="hybridMultilevel"/>
    <w:tmpl w:val="05FCF546"/>
    <w:lvl w:ilvl="0" w:tplc="75407342">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7DD10451"/>
    <w:multiLevelType w:val="hybridMultilevel"/>
    <w:tmpl w:val="F8A09E6A"/>
    <w:lvl w:ilvl="0" w:tplc="3C0CE606">
      <w:start w:val="5"/>
      <w:numFmt w:val="decimal"/>
      <w:lvlText w:val="%1)"/>
      <w:lvlJc w:val="left"/>
      <w:pPr>
        <w:ind w:left="720" w:hanging="360"/>
      </w:pPr>
      <w:rPr>
        <w:rFonts w:cs="Times New Roman" w:hint="default"/>
        <w:b/>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abstractNumId w:val="19"/>
  </w:num>
  <w:num w:numId="2">
    <w:abstractNumId w:val="16"/>
  </w:num>
  <w:num w:numId="3">
    <w:abstractNumId w:val="2"/>
  </w:num>
  <w:num w:numId="4">
    <w:abstractNumId w:val="1"/>
  </w:num>
  <w:num w:numId="5">
    <w:abstractNumId w:val="14"/>
  </w:num>
  <w:num w:numId="6">
    <w:abstractNumId w:val="21"/>
  </w:num>
  <w:num w:numId="7">
    <w:abstractNumId w:val="24"/>
  </w:num>
  <w:num w:numId="8">
    <w:abstractNumId w:val="3"/>
  </w:num>
  <w:num w:numId="9">
    <w:abstractNumId w:val="12"/>
  </w:num>
  <w:num w:numId="10">
    <w:abstractNumId w:val="22"/>
  </w:num>
  <w:num w:numId="11">
    <w:abstractNumId w:val="2"/>
  </w:num>
  <w:num w:numId="12">
    <w:abstractNumId w:val="1"/>
  </w:num>
  <w:num w:numId="13">
    <w:abstractNumId w:val="0"/>
  </w:num>
  <w:num w:numId="14">
    <w:abstractNumId w:val="23"/>
  </w:num>
  <w:num w:numId="15">
    <w:abstractNumId w:val="6"/>
  </w:num>
  <w:num w:numId="16">
    <w:abstractNumId w:val="7"/>
  </w:num>
  <w:num w:numId="17">
    <w:abstractNumId w:val="8"/>
  </w:num>
  <w:num w:numId="18">
    <w:abstractNumId w:val="13"/>
  </w:num>
  <w:num w:numId="19">
    <w:abstractNumId w:val="4"/>
  </w:num>
  <w:num w:numId="20">
    <w:abstractNumId w:val="5"/>
  </w:num>
  <w:num w:numId="21">
    <w:abstractNumId w:val="20"/>
  </w:num>
  <w:num w:numId="22">
    <w:abstractNumId w:val="10"/>
  </w:num>
  <w:num w:numId="23">
    <w:abstractNumId w:val="18"/>
  </w:num>
  <w:num w:numId="24">
    <w:abstractNumId w:val="11"/>
  </w:num>
  <w:num w:numId="25">
    <w:abstractNumId w:val="15"/>
  </w:num>
  <w:num w:numId="26">
    <w:abstractNumId w:val="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58"/>
    <w:rsid w:val="00001144"/>
    <w:rsid w:val="000053CD"/>
    <w:rsid w:val="00023D58"/>
    <w:rsid w:val="00024987"/>
    <w:rsid w:val="000470D7"/>
    <w:rsid w:val="000531E1"/>
    <w:rsid w:val="00065E05"/>
    <w:rsid w:val="00097A84"/>
    <w:rsid w:val="000C54CB"/>
    <w:rsid w:val="000D022F"/>
    <w:rsid w:val="000D5986"/>
    <w:rsid w:val="000F2535"/>
    <w:rsid w:val="00110884"/>
    <w:rsid w:val="00116613"/>
    <w:rsid w:val="00126EEC"/>
    <w:rsid w:val="00157202"/>
    <w:rsid w:val="00162056"/>
    <w:rsid w:val="00165727"/>
    <w:rsid w:val="001759C9"/>
    <w:rsid w:val="00181613"/>
    <w:rsid w:val="001825FE"/>
    <w:rsid w:val="001B7595"/>
    <w:rsid w:val="001D3490"/>
    <w:rsid w:val="001F3E88"/>
    <w:rsid w:val="001F43D6"/>
    <w:rsid w:val="00213BA2"/>
    <w:rsid w:val="0023212C"/>
    <w:rsid w:val="0023661F"/>
    <w:rsid w:val="00237856"/>
    <w:rsid w:val="00244226"/>
    <w:rsid w:val="00264C41"/>
    <w:rsid w:val="0026501C"/>
    <w:rsid w:val="00270CF7"/>
    <w:rsid w:val="002B3056"/>
    <w:rsid w:val="002B4DA9"/>
    <w:rsid w:val="002C61B0"/>
    <w:rsid w:val="002D311B"/>
    <w:rsid w:val="002F2091"/>
    <w:rsid w:val="002F323D"/>
    <w:rsid w:val="00305D4A"/>
    <w:rsid w:val="003238DB"/>
    <w:rsid w:val="00336F7D"/>
    <w:rsid w:val="00360642"/>
    <w:rsid w:val="003702DF"/>
    <w:rsid w:val="00372D07"/>
    <w:rsid w:val="00376843"/>
    <w:rsid w:val="0038044E"/>
    <w:rsid w:val="00396D6A"/>
    <w:rsid w:val="003C23F3"/>
    <w:rsid w:val="003C5E0F"/>
    <w:rsid w:val="003D37E1"/>
    <w:rsid w:val="003E2D5F"/>
    <w:rsid w:val="00413C52"/>
    <w:rsid w:val="004234B3"/>
    <w:rsid w:val="004238DF"/>
    <w:rsid w:val="004242D4"/>
    <w:rsid w:val="00435E8B"/>
    <w:rsid w:val="00442358"/>
    <w:rsid w:val="00452CA7"/>
    <w:rsid w:val="00454D64"/>
    <w:rsid w:val="0048552C"/>
    <w:rsid w:val="004B168B"/>
    <w:rsid w:val="004B477B"/>
    <w:rsid w:val="004B4B18"/>
    <w:rsid w:val="004C664A"/>
    <w:rsid w:val="004E50E0"/>
    <w:rsid w:val="004F32B5"/>
    <w:rsid w:val="004F4077"/>
    <w:rsid w:val="004F50D2"/>
    <w:rsid w:val="004F59C8"/>
    <w:rsid w:val="00511E2C"/>
    <w:rsid w:val="005127D6"/>
    <w:rsid w:val="00525E49"/>
    <w:rsid w:val="0052740F"/>
    <w:rsid w:val="005446FF"/>
    <w:rsid w:val="005869EB"/>
    <w:rsid w:val="005873D9"/>
    <w:rsid w:val="005941DC"/>
    <w:rsid w:val="005A1868"/>
    <w:rsid w:val="005B27ED"/>
    <w:rsid w:val="005B30C2"/>
    <w:rsid w:val="005D19AA"/>
    <w:rsid w:val="005D450F"/>
    <w:rsid w:val="005E3AFE"/>
    <w:rsid w:val="00610A2E"/>
    <w:rsid w:val="00611BD7"/>
    <w:rsid w:val="00622A6E"/>
    <w:rsid w:val="00625FDD"/>
    <w:rsid w:val="00632661"/>
    <w:rsid w:val="00654DF8"/>
    <w:rsid w:val="00672A2A"/>
    <w:rsid w:val="00677845"/>
    <w:rsid w:val="00691488"/>
    <w:rsid w:val="006A0E49"/>
    <w:rsid w:val="006B59AA"/>
    <w:rsid w:val="006B6D60"/>
    <w:rsid w:val="006C1BC7"/>
    <w:rsid w:val="006E02B5"/>
    <w:rsid w:val="00717912"/>
    <w:rsid w:val="00720339"/>
    <w:rsid w:val="007347E7"/>
    <w:rsid w:val="00753FEC"/>
    <w:rsid w:val="0076209A"/>
    <w:rsid w:val="007753B2"/>
    <w:rsid w:val="007B7B94"/>
    <w:rsid w:val="007D41E7"/>
    <w:rsid w:val="007E0541"/>
    <w:rsid w:val="007E08BD"/>
    <w:rsid w:val="007F25E8"/>
    <w:rsid w:val="007F3F70"/>
    <w:rsid w:val="0082383D"/>
    <w:rsid w:val="00847137"/>
    <w:rsid w:val="008519D3"/>
    <w:rsid w:val="00864BCA"/>
    <w:rsid w:val="00870FC3"/>
    <w:rsid w:val="00881A74"/>
    <w:rsid w:val="008972F9"/>
    <w:rsid w:val="008A5625"/>
    <w:rsid w:val="008B387E"/>
    <w:rsid w:val="008B3CED"/>
    <w:rsid w:val="008D0124"/>
    <w:rsid w:val="008D6884"/>
    <w:rsid w:val="0090619B"/>
    <w:rsid w:val="00920DF5"/>
    <w:rsid w:val="00925C0F"/>
    <w:rsid w:val="00926777"/>
    <w:rsid w:val="009272A4"/>
    <w:rsid w:val="00927F1A"/>
    <w:rsid w:val="00930FEB"/>
    <w:rsid w:val="00937752"/>
    <w:rsid w:val="00945858"/>
    <w:rsid w:val="00975A6D"/>
    <w:rsid w:val="00994151"/>
    <w:rsid w:val="009A3E16"/>
    <w:rsid w:val="009B0B9F"/>
    <w:rsid w:val="009B39DD"/>
    <w:rsid w:val="009B686B"/>
    <w:rsid w:val="009C4B7A"/>
    <w:rsid w:val="009D52CD"/>
    <w:rsid w:val="00A06C1E"/>
    <w:rsid w:val="00A12195"/>
    <w:rsid w:val="00A15DDE"/>
    <w:rsid w:val="00A21109"/>
    <w:rsid w:val="00A25D4A"/>
    <w:rsid w:val="00A40797"/>
    <w:rsid w:val="00A4452C"/>
    <w:rsid w:val="00A44BBF"/>
    <w:rsid w:val="00A51DE1"/>
    <w:rsid w:val="00A66171"/>
    <w:rsid w:val="00A74629"/>
    <w:rsid w:val="00AA5C37"/>
    <w:rsid w:val="00AB61B1"/>
    <w:rsid w:val="00AC20BF"/>
    <w:rsid w:val="00AC5D1E"/>
    <w:rsid w:val="00AF3BEC"/>
    <w:rsid w:val="00AF4C6A"/>
    <w:rsid w:val="00B022F4"/>
    <w:rsid w:val="00B11F57"/>
    <w:rsid w:val="00B343C8"/>
    <w:rsid w:val="00B34C1E"/>
    <w:rsid w:val="00B41693"/>
    <w:rsid w:val="00B44D57"/>
    <w:rsid w:val="00B54EF8"/>
    <w:rsid w:val="00B639FE"/>
    <w:rsid w:val="00B71E05"/>
    <w:rsid w:val="00B94CF0"/>
    <w:rsid w:val="00BA7A98"/>
    <w:rsid w:val="00BB6B1D"/>
    <w:rsid w:val="00BB799C"/>
    <w:rsid w:val="00BC02CF"/>
    <w:rsid w:val="00BD3767"/>
    <w:rsid w:val="00BE332E"/>
    <w:rsid w:val="00BF6E47"/>
    <w:rsid w:val="00C40E34"/>
    <w:rsid w:val="00C41B62"/>
    <w:rsid w:val="00C52745"/>
    <w:rsid w:val="00C623D1"/>
    <w:rsid w:val="00C86D28"/>
    <w:rsid w:val="00C91345"/>
    <w:rsid w:val="00C947CB"/>
    <w:rsid w:val="00CB11DA"/>
    <w:rsid w:val="00CD5FFA"/>
    <w:rsid w:val="00CF59C1"/>
    <w:rsid w:val="00D01CC3"/>
    <w:rsid w:val="00D0616B"/>
    <w:rsid w:val="00D13470"/>
    <w:rsid w:val="00D44D65"/>
    <w:rsid w:val="00D47A43"/>
    <w:rsid w:val="00D8157E"/>
    <w:rsid w:val="00D8541B"/>
    <w:rsid w:val="00D91607"/>
    <w:rsid w:val="00D951EE"/>
    <w:rsid w:val="00DB1507"/>
    <w:rsid w:val="00DD04C9"/>
    <w:rsid w:val="00DD64B5"/>
    <w:rsid w:val="00E04776"/>
    <w:rsid w:val="00E165C3"/>
    <w:rsid w:val="00E24557"/>
    <w:rsid w:val="00E30755"/>
    <w:rsid w:val="00E4302A"/>
    <w:rsid w:val="00E45AD2"/>
    <w:rsid w:val="00E5198B"/>
    <w:rsid w:val="00E61B1A"/>
    <w:rsid w:val="00E632A9"/>
    <w:rsid w:val="00E75435"/>
    <w:rsid w:val="00E81693"/>
    <w:rsid w:val="00E93F02"/>
    <w:rsid w:val="00E94F81"/>
    <w:rsid w:val="00EA024B"/>
    <w:rsid w:val="00EA1EAF"/>
    <w:rsid w:val="00EB180E"/>
    <w:rsid w:val="00EB6B2C"/>
    <w:rsid w:val="00EB7620"/>
    <w:rsid w:val="00ED0702"/>
    <w:rsid w:val="00ED5E46"/>
    <w:rsid w:val="00ED6AAD"/>
    <w:rsid w:val="00EE5C28"/>
    <w:rsid w:val="00EF4E33"/>
    <w:rsid w:val="00F04889"/>
    <w:rsid w:val="00F11553"/>
    <w:rsid w:val="00F22988"/>
    <w:rsid w:val="00F347B4"/>
    <w:rsid w:val="00F35170"/>
    <w:rsid w:val="00F36BCF"/>
    <w:rsid w:val="00F43385"/>
    <w:rsid w:val="00F561C2"/>
    <w:rsid w:val="00F65F05"/>
    <w:rsid w:val="00FB1B57"/>
    <w:rsid w:val="00FB71CF"/>
    <w:rsid w:val="00FE55E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UY" w:eastAsia="es-UY"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List" w:locked="1"/>
    <w:lsdException w:name="Title" w:locked="1" w:qFormat="1"/>
    <w:lsdException w:name="Default Paragraph Font" w:locked="1"/>
    <w:lsdException w:name="Body Text" w:locked="1"/>
    <w:lsdException w:name="Subtitle" w:locked="1" w:qFormat="1"/>
    <w:lsdException w:name="Body Text Indent 3" w:locked="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358"/>
    <w:rPr>
      <w:rFonts w:ascii="Arial" w:hAnsi="Arial"/>
      <w:sz w:val="24"/>
      <w:szCs w:val="24"/>
      <w:lang w:val="es-ES" w:eastAsia="es-ES"/>
    </w:rPr>
  </w:style>
  <w:style w:type="paragraph" w:styleId="Ttulo1">
    <w:name w:val="heading 1"/>
    <w:basedOn w:val="Normal"/>
    <w:next w:val="Normal"/>
    <w:link w:val="Ttulo1Car"/>
    <w:qFormat/>
    <w:rsid w:val="0023661F"/>
    <w:pPr>
      <w:spacing w:after="180" w:line="360" w:lineRule="auto"/>
      <w:outlineLvl w:val="0"/>
    </w:pPr>
    <w:rPr>
      <w:b/>
      <w:caps/>
      <w:kern w:val="18"/>
      <w:szCs w:val="20"/>
    </w:rPr>
  </w:style>
  <w:style w:type="paragraph" w:styleId="Ttulo2">
    <w:name w:val="heading 2"/>
    <w:basedOn w:val="Normal"/>
    <w:next w:val="Textoindependiente"/>
    <w:link w:val="Ttulo2Car"/>
    <w:qFormat/>
    <w:rsid w:val="0023661F"/>
    <w:pPr>
      <w:spacing w:after="170" w:line="360" w:lineRule="auto"/>
      <w:outlineLvl w:val="1"/>
    </w:pPr>
    <w:rPr>
      <w:b/>
      <w:kern w:val="18"/>
      <w:szCs w:val="20"/>
    </w:rPr>
  </w:style>
  <w:style w:type="paragraph" w:styleId="Ttulo6">
    <w:name w:val="heading 6"/>
    <w:basedOn w:val="Normal"/>
    <w:next w:val="Normal"/>
    <w:link w:val="Ttulo6Car"/>
    <w:qFormat/>
    <w:rsid w:val="00442358"/>
    <w:pPr>
      <w:keepNext/>
      <w:spacing w:line="360" w:lineRule="auto"/>
      <w:jc w:val="center"/>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link w:val="Ttulo6"/>
    <w:locked/>
    <w:rsid w:val="00442358"/>
    <w:rPr>
      <w:rFonts w:ascii="Arial" w:hAnsi="Arial" w:cs="Times New Roman"/>
      <w:b/>
      <w:sz w:val="20"/>
      <w:szCs w:val="20"/>
      <w:lang w:val="es-ES" w:eastAsia="es-ES"/>
    </w:rPr>
  </w:style>
  <w:style w:type="paragraph" w:styleId="Textoindependiente">
    <w:name w:val="Body Text"/>
    <w:basedOn w:val="Normal"/>
    <w:link w:val="TextoindependienteCar"/>
    <w:rsid w:val="00442358"/>
    <w:pPr>
      <w:spacing w:line="360" w:lineRule="auto"/>
      <w:jc w:val="both"/>
    </w:pPr>
    <w:rPr>
      <w:bCs/>
    </w:rPr>
  </w:style>
  <w:style w:type="character" w:customStyle="1" w:styleId="TextoindependienteCar">
    <w:name w:val="Texto independiente Car"/>
    <w:link w:val="Textoindependiente"/>
    <w:locked/>
    <w:rsid w:val="00442358"/>
    <w:rPr>
      <w:rFonts w:ascii="Arial" w:hAnsi="Arial" w:cs="Times New Roman"/>
      <w:bCs/>
      <w:sz w:val="24"/>
      <w:szCs w:val="24"/>
      <w:lang w:val="es-ES" w:eastAsia="es-ES"/>
    </w:rPr>
  </w:style>
  <w:style w:type="paragraph" w:styleId="Piedepgina">
    <w:name w:val="footer"/>
    <w:basedOn w:val="Normal"/>
    <w:link w:val="PiedepginaCar"/>
    <w:semiHidden/>
    <w:rsid w:val="00442358"/>
    <w:pPr>
      <w:tabs>
        <w:tab w:val="center" w:pos="4252"/>
        <w:tab w:val="right" w:pos="8504"/>
      </w:tabs>
    </w:pPr>
  </w:style>
  <w:style w:type="character" w:customStyle="1" w:styleId="PiedepginaCar">
    <w:name w:val="Pie de página Car"/>
    <w:link w:val="Piedepgina"/>
    <w:semiHidden/>
    <w:locked/>
    <w:rsid w:val="00442358"/>
    <w:rPr>
      <w:rFonts w:ascii="Arial" w:hAnsi="Arial" w:cs="Times New Roman"/>
      <w:sz w:val="24"/>
      <w:szCs w:val="24"/>
      <w:lang w:val="es-ES" w:eastAsia="es-ES"/>
    </w:rPr>
  </w:style>
  <w:style w:type="character" w:styleId="Nmerodepgina">
    <w:name w:val="page number"/>
    <w:semiHidden/>
    <w:rsid w:val="00442358"/>
    <w:rPr>
      <w:rFonts w:cs="Times New Roman"/>
    </w:rPr>
  </w:style>
  <w:style w:type="paragraph" w:styleId="Lista">
    <w:name w:val="List"/>
    <w:basedOn w:val="Normal"/>
    <w:semiHidden/>
    <w:rsid w:val="00442358"/>
    <w:pPr>
      <w:spacing w:line="360" w:lineRule="auto"/>
      <w:ind w:left="283" w:hanging="283"/>
      <w:jc w:val="both"/>
    </w:pPr>
    <w:rPr>
      <w:kern w:val="18"/>
      <w:szCs w:val="20"/>
      <w:lang w:val="es-ES_tradnl"/>
    </w:rPr>
  </w:style>
  <w:style w:type="character" w:customStyle="1" w:styleId="Ttulo1Car">
    <w:name w:val="Título 1 Car"/>
    <w:link w:val="Ttulo1"/>
    <w:locked/>
    <w:rsid w:val="0023661F"/>
    <w:rPr>
      <w:rFonts w:ascii="Arial" w:hAnsi="Arial" w:cs="Times New Roman"/>
      <w:b/>
      <w:caps/>
      <w:kern w:val="18"/>
      <w:sz w:val="20"/>
      <w:szCs w:val="20"/>
      <w:lang w:val="es-ES" w:eastAsia="es-ES"/>
    </w:rPr>
  </w:style>
  <w:style w:type="character" w:customStyle="1" w:styleId="Ttulo2Car">
    <w:name w:val="Título 2 Car"/>
    <w:link w:val="Ttulo2"/>
    <w:locked/>
    <w:rsid w:val="0023661F"/>
    <w:rPr>
      <w:rFonts w:ascii="Arial" w:hAnsi="Arial" w:cs="Times New Roman"/>
      <w:b/>
      <w:kern w:val="18"/>
      <w:sz w:val="20"/>
      <w:szCs w:val="20"/>
      <w:lang w:val="es-ES" w:eastAsia="es-ES"/>
    </w:rPr>
  </w:style>
  <w:style w:type="paragraph" w:styleId="Subttulo">
    <w:name w:val="Subtitle"/>
    <w:basedOn w:val="Normal"/>
    <w:link w:val="SubttuloCar"/>
    <w:qFormat/>
    <w:rsid w:val="0023661F"/>
    <w:pPr>
      <w:spacing w:line="360" w:lineRule="auto"/>
      <w:jc w:val="both"/>
    </w:pPr>
    <w:rPr>
      <w:rFonts w:ascii="Bookman Old Style" w:hAnsi="Bookman Old Style"/>
      <w:b/>
      <w:kern w:val="18"/>
      <w:szCs w:val="20"/>
    </w:rPr>
  </w:style>
  <w:style w:type="character" w:customStyle="1" w:styleId="SubttuloCar">
    <w:name w:val="Subtítulo Car"/>
    <w:link w:val="Subttulo"/>
    <w:locked/>
    <w:rsid w:val="0023661F"/>
    <w:rPr>
      <w:rFonts w:ascii="Bookman Old Style" w:hAnsi="Bookman Old Style" w:cs="Times New Roman"/>
      <w:b/>
      <w:kern w:val="18"/>
      <w:sz w:val="20"/>
      <w:szCs w:val="20"/>
      <w:lang w:val="es-ES" w:eastAsia="es-ES"/>
    </w:rPr>
  </w:style>
  <w:style w:type="paragraph" w:styleId="NormalWeb">
    <w:name w:val="Normal (Web)"/>
    <w:basedOn w:val="Normal"/>
    <w:rsid w:val="0023661F"/>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rsid w:val="0023661F"/>
  </w:style>
  <w:style w:type="paragraph" w:styleId="Sangra3detindependiente">
    <w:name w:val="Body Text Indent 3"/>
    <w:basedOn w:val="Normal"/>
    <w:link w:val="Sangra3detindependienteCar"/>
    <w:rsid w:val="0023661F"/>
    <w:pPr>
      <w:suppressAutoHyphens/>
      <w:spacing w:line="360" w:lineRule="auto"/>
      <w:ind w:firstLine="851"/>
      <w:jc w:val="both"/>
    </w:pPr>
    <w:rPr>
      <w:kern w:val="18"/>
      <w:szCs w:val="20"/>
      <w:lang w:val="es-ES_tradnl"/>
    </w:rPr>
  </w:style>
  <w:style w:type="character" w:customStyle="1" w:styleId="Sangra3detindependienteCar">
    <w:name w:val="Sangría 3 de t. independiente Car"/>
    <w:link w:val="Sangra3detindependiente"/>
    <w:locked/>
    <w:rsid w:val="0023661F"/>
    <w:rPr>
      <w:rFonts w:ascii="Arial" w:hAnsi="Arial" w:cs="Times New Roman"/>
      <w:kern w:val="18"/>
      <w:sz w:val="20"/>
      <w:szCs w:val="20"/>
      <w:lang w:val="es-ES_tradnl" w:eastAsia="es-ES"/>
    </w:rPr>
  </w:style>
  <w:style w:type="paragraph" w:styleId="Textodeglobo">
    <w:name w:val="Balloon Text"/>
    <w:basedOn w:val="Normal"/>
    <w:link w:val="TextodegloboCar"/>
    <w:rsid w:val="00A4452C"/>
    <w:rPr>
      <w:rFonts w:ascii="Tahoma" w:hAnsi="Tahoma" w:cs="Tahoma"/>
      <w:sz w:val="16"/>
      <w:szCs w:val="16"/>
    </w:rPr>
  </w:style>
  <w:style w:type="character" w:customStyle="1" w:styleId="TextodegloboCar">
    <w:name w:val="Texto de globo Car"/>
    <w:link w:val="Textodeglobo"/>
    <w:rsid w:val="00A4452C"/>
    <w:rPr>
      <w:rFonts w:ascii="Tahoma" w:hAnsi="Tahoma" w:cs="Tahoma"/>
      <w:sz w:val="16"/>
      <w:szCs w:val="16"/>
    </w:rPr>
  </w:style>
  <w:style w:type="paragraph" w:styleId="Prrafodelista">
    <w:name w:val="List Paragraph"/>
    <w:basedOn w:val="Normal"/>
    <w:uiPriority w:val="34"/>
    <w:qFormat/>
    <w:rsid w:val="00C41B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UY" w:eastAsia="es-UY"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List" w:locked="1"/>
    <w:lsdException w:name="Title" w:locked="1" w:qFormat="1"/>
    <w:lsdException w:name="Default Paragraph Font" w:locked="1"/>
    <w:lsdException w:name="Body Text" w:locked="1"/>
    <w:lsdException w:name="Subtitle" w:locked="1" w:qFormat="1"/>
    <w:lsdException w:name="Body Text Indent 3" w:locked="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358"/>
    <w:rPr>
      <w:rFonts w:ascii="Arial" w:hAnsi="Arial"/>
      <w:sz w:val="24"/>
      <w:szCs w:val="24"/>
      <w:lang w:val="es-ES" w:eastAsia="es-ES"/>
    </w:rPr>
  </w:style>
  <w:style w:type="paragraph" w:styleId="Ttulo1">
    <w:name w:val="heading 1"/>
    <w:basedOn w:val="Normal"/>
    <w:next w:val="Normal"/>
    <w:link w:val="Ttulo1Car"/>
    <w:qFormat/>
    <w:rsid w:val="0023661F"/>
    <w:pPr>
      <w:spacing w:after="180" w:line="360" w:lineRule="auto"/>
      <w:outlineLvl w:val="0"/>
    </w:pPr>
    <w:rPr>
      <w:b/>
      <w:caps/>
      <w:kern w:val="18"/>
      <w:szCs w:val="20"/>
    </w:rPr>
  </w:style>
  <w:style w:type="paragraph" w:styleId="Ttulo2">
    <w:name w:val="heading 2"/>
    <w:basedOn w:val="Normal"/>
    <w:next w:val="Textoindependiente"/>
    <w:link w:val="Ttulo2Car"/>
    <w:qFormat/>
    <w:rsid w:val="0023661F"/>
    <w:pPr>
      <w:spacing w:after="170" w:line="360" w:lineRule="auto"/>
      <w:outlineLvl w:val="1"/>
    </w:pPr>
    <w:rPr>
      <w:b/>
      <w:kern w:val="18"/>
      <w:szCs w:val="20"/>
    </w:rPr>
  </w:style>
  <w:style w:type="paragraph" w:styleId="Ttulo6">
    <w:name w:val="heading 6"/>
    <w:basedOn w:val="Normal"/>
    <w:next w:val="Normal"/>
    <w:link w:val="Ttulo6Car"/>
    <w:qFormat/>
    <w:rsid w:val="00442358"/>
    <w:pPr>
      <w:keepNext/>
      <w:spacing w:line="360" w:lineRule="auto"/>
      <w:jc w:val="center"/>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link w:val="Ttulo6"/>
    <w:locked/>
    <w:rsid w:val="00442358"/>
    <w:rPr>
      <w:rFonts w:ascii="Arial" w:hAnsi="Arial" w:cs="Times New Roman"/>
      <w:b/>
      <w:sz w:val="20"/>
      <w:szCs w:val="20"/>
      <w:lang w:val="es-ES" w:eastAsia="es-ES"/>
    </w:rPr>
  </w:style>
  <w:style w:type="paragraph" w:styleId="Textoindependiente">
    <w:name w:val="Body Text"/>
    <w:basedOn w:val="Normal"/>
    <w:link w:val="TextoindependienteCar"/>
    <w:rsid w:val="00442358"/>
    <w:pPr>
      <w:spacing w:line="360" w:lineRule="auto"/>
      <w:jc w:val="both"/>
    </w:pPr>
    <w:rPr>
      <w:bCs/>
    </w:rPr>
  </w:style>
  <w:style w:type="character" w:customStyle="1" w:styleId="TextoindependienteCar">
    <w:name w:val="Texto independiente Car"/>
    <w:link w:val="Textoindependiente"/>
    <w:locked/>
    <w:rsid w:val="00442358"/>
    <w:rPr>
      <w:rFonts w:ascii="Arial" w:hAnsi="Arial" w:cs="Times New Roman"/>
      <w:bCs/>
      <w:sz w:val="24"/>
      <w:szCs w:val="24"/>
      <w:lang w:val="es-ES" w:eastAsia="es-ES"/>
    </w:rPr>
  </w:style>
  <w:style w:type="paragraph" w:styleId="Piedepgina">
    <w:name w:val="footer"/>
    <w:basedOn w:val="Normal"/>
    <w:link w:val="PiedepginaCar"/>
    <w:semiHidden/>
    <w:rsid w:val="00442358"/>
    <w:pPr>
      <w:tabs>
        <w:tab w:val="center" w:pos="4252"/>
        <w:tab w:val="right" w:pos="8504"/>
      </w:tabs>
    </w:pPr>
  </w:style>
  <w:style w:type="character" w:customStyle="1" w:styleId="PiedepginaCar">
    <w:name w:val="Pie de página Car"/>
    <w:link w:val="Piedepgina"/>
    <w:semiHidden/>
    <w:locked/>
    <w:rsid w:val="00442358"/>
    <w:rPr>
      <w:rFonts w:ascii="Arial" w:hAnsi="Arial" w:cs="Times New Roman"/>
      <w:sz w:val="24"/>
      <w:szCs w:val="24"/>
      <w:lang w:val="es-ES" w:eastAsia="es-ES"/>
    </w:rPr>
  </w:style>
  <w:style w:type="character" w:styleId="Nmerodepgina">
    <w:name w:val="page number"/>
    <w:semiHidden/>
    <w:rsid w:val="00442358"/>
    <w:rPr>
      <w:rFonts w:cs="Times New Roman"/>
    </w:rPr>
  </w:style>
  <w:style w:type="paragraph" w:styleId="Lista">
    <w:name w:val="List"/>
    <w:basedOn w:val="Normal"/>
    <w:semiHidden/>
    <w:rsid w:val="00442358"/>
    <w:pPr>
      <w:spacing w:line="360" w:lineRule="auto"/>
      <w:ind w:left="283" w:hanging="283"/>
      <w:jc w:val="both"/>
    </w:pPr>
    <w:rPr>
      <w:kern w:val="18"/>
      <w:szCs w:val="20"/>
      <w:lang w:val="es-ES_tradnl"/>
    </w:rPr>
  </w:style>
  <w:style w:type="character" w:customStyle="1" w:styleId="Ttulo1Car">
    <w:name w:val="Título 1 Car"/>
    <w:link w:val="Ttulo1"/>
    <w:locked/>
    <w:rsid w:val="0023661F"/>
    <w:rPr>
      <w:rFonts w:ascii="Arial" w:hAnsi="Arial" w:cs="Times New Roman"/>
      <w:b/>
      <w:caps/>
      <w:kern w:val="18"/>
      <w:sz w:val="20"/>
      <w:szCs w:val="20"/>
      <w:lang w:val="es-ES" w:eastAsia="es-ES"/>
    </w:rPr>
  </w:style>
  <w:style w:type="character" w:customStyle="1" w:styleId="Ttulo2Car">
    <w:name w:val="Título 2 Car"/>
    <w:link w:val="Ttulo2"/>
    <w:locked/>
    <w:rsid w:val="0023661F"/>
    <w:rPr>
      <w:rFonts w:ascii="Arial" w:hAnsi="Arial" w:cs="Times New Roman"/>
      <w:b/>
      <w:kern w:val="18"/>
      <w:sz w:val="20"/>
      <w:szCs w:val="20"/>
      <w:lang w:val="es-ES" w:eastAsia="es-ES"/>
    </w:rPr>
  </w:style>
  <w:style w:type="paragraph" w:styleId="Subttulo">
    <w:name w:val="Subtitle"/>
    <w:basedOn w:val="Normal"/>
    <w:link w:val="SubttuloCar"/>
    <w:qFormat/>
    <w:rsid w:val="0023661F"/>
    <w:pPr>
      <w:spacing w:line="360" w:lineRule="auto"/>
      <w:jc w:val="both"/>
    </w:pPr>
    <w:rPr>
      <w:rFonts w:ascii="Bookman Old Style" w:hAnsi="Bookman Old Style"/>
      <w:b/>
      <w:kern w:val="18"/>
      <w:szCs w:val="20"/>
    </w:rPr>
  </w:style>
  <w:style w:type="character" w:customStyle="1" w:styleId="SubttuloCar">
    <w:name w:val="Subtítulo Car"/>
    <w:link w:val="Subttulo"/>
    <w:locked/>
    <w:rsid w:val="0023661F"/>
    <w:rPr>
      <w:rFonts w:ascii="Bookman Old Style" w:hAnsi="Bookman Old Style" w:cs="Times New Roman"/>
      <w:b/>
      <w:kern w:val="18"/>
      <w:sz w:val="20"/>
      <w:szCs w:val="20"/>
      <w:lang w:val="es-ES" w:eastAsia="es-ES"/>
    </w:rPr>
  </w:style>
  <w:style w:type="paragraph" w:styleId="NormalWeb">
    <w:name w:val="Normal (Web)"/>
    <w:basedOn w:val="Normal"/>
    <w:rsid w:val="0023661F"/>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rsid w:val="0023661F"/>
  </w:style>
  <w:style w:type="paragraph" w:styleId="Sangra3detindependiente">
    <w:name w:val="Body Text Indent 3"/>
    <w:basedOn w:val="Normal"/>
    <w:link w:val="Sangra3detindependienteCar"/>
    <w:rsid w:val="0023661F"/>
    <w:pPr>
      <w:suppressAutoHyphens/>
      <w:spacing w:line="360" w:lineRule="auto"/>
      <w:ind w:firstLine="851"/>
      <w:jc w:val="both"/>
    </w:pPr>
    <w:rPr>
      <w:kern w:val="18"/>
      <w:szCs w:val="20"/>
      <w:lang w:val="es-ES_tradnl"/>
    </w:rPr>
  </w:style>
  <w:style w:type="character" w:customStyle="1" w:styleId="Sangra3detindependienteCar">
    <w:name w:val="Sangría 3 de t. independiente Car"/>
    <w:link w:val="Sangra3detindependiente"/>
    <w:locked/>
    <w:rsid w:val="0023661F"/>
    <w:rPr>
      <w:rFonts w:ascii="Arial" w:hAnsi="Arial" w:cs="Times New Roman"/>
      <w:kern w:val="18"/>
      <w:sz w:val="20"/>
      <w:szCs w:val="20"/>
      <w:lang w:val="es-ES_tradnl" w:eastAsia="es-ES"/>
    </w:rPr>
  </w:style>
  <w:style w:type="paragraph" w:styleId="Textodeglobo">
    <w:name w:val="Balloon Text"/>
    <w:basedOn w:val="Normal"/>
    <w:link w:val="TextodegloboCar"/>
    <w:rsid w:val="00A4452C"/>
    <w:rPr>
      <w:rFonts w:ascii="Tahoma" w:hAnsi="Tahoma" w:cs="Tahoma"/>
      <w:sz w:val="16"/>
      <w:szCs w:val="16"/>
    </w:rPr>
  </w:style>
  <w:style w:type="character" w:customStyle="1" w:styleId="TextodegloboCar">
    <w:name w:val="Texto de globo Car"/>
    <w:link w:val="Textodeglobo"/>
    <w:rsid w:val="00A4452C"/>
    <w:rPr>
      <w:rFonts w:ascii="Tahoma" w:hAnsi="Tahoma" w:cs="Tahoma"/>
      <w:sz w:val="16"/>
      <w:szCs w:val="16"/>
    </w:rPr>
  </w:style>
  <w:style w:type="paragraph" w:styleId="Prrafodelista">
    <w:name w:val="List Paragraph"/>
    <w:basedOn w:val="Normal"/>
    <w:uiPriority w:val="34"/>
    <w:qFormat/>
    <w:rsid w:val="00C41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55DA1-1AD9-48F0-AC22-A86F4F4F0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17</Pages>
  <Words>4201</Words>
  <Characters>22935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RESOLUCION ADOPTADA POR EL</vt:lpstr>
    </vt:vector>
  </TitlesOfParts>
  <Company/>
  <LinksUpToDate>false</LinksUpToDate>
  <CharactersWithSpaces>27082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ADOPTADA POR EL</dc:title>
  <dc:creator>Gustavo De Souza</dc:creator>
  <cp:lastModifiedBy>Tribunal1</cp:lastModifiedBy>
  <cp:revision>6</cp:revision>
  <cp:lastPrinted>2019-01-08T14:46:00Z</cp:lastPrinted>
  <dcterms:created xsi:type="dcterms:W3CDTF">2019-01-08T14:46:00Z</dcterms:created>
  <dcterms:modified xsi:type="dcterms:W3CDTF">2019-02-11T15:59:00Z</dcterms:modified>
</cp:coreProperties>
</file>