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61" w:rsidRPr="00786EEB" w:rsidRDefault="00064561"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83/19</w:t>
      </w:r>
    </w:p>
    <w:p w:rsidR="00064561" w:rsidRPr="00064561" w:rsidRDefault="00064561" w:rsidP="00064561">
      <w:pPr>
        <w:tabs>
          <w:tab w:val="center" w:pos="4253"/>
        </w:tabs>
        <w:suppressAutoHyphens/>
        <w:spacing w:after="0" w:line="240" w:lineRule="auto"/>
        <w:jc w:val="right"/>
        <w:rPr>
          <w:rFonts w:ascii="Arial" w:hAnsi="Arial" w:cs="Arial"/>
          <w:b/>
          <w:sz w:val="24"/>
          <w:szCs w:val="24"/>
          <w:lang w:val="es-ES_tradnl"/>
        </w:rPr>
      </w:pPr>
    </w:p>
    <w:p w:rsidR="00064561" w:rsidRPr="00064561" w:rsidRDefault="00064561" w:rsidP="00064561">
      <w:pPr>
        <w:tabs>
          <w:tab w:val="center" w:pos="4253"/>
        </w:tabs>
        <w:suppressAutoHyphens/>
        <w:spacing w:after="0" w:line="240" w:lineRule="auto"/>
        <w:jc w:val="center"/>
        <w:rPr>
          <w:rFonts w:ascii="Arial" w:hAnsi="Arial" w:cs="Arial"/>
          <w:b/>
          <w:sz w:val="24"/>
          <w:szCs w:val="24"/>
          <w:lang w:val="es-ES_tradnl"/>
        </w:rPr>
      </w:pPr>
      <w:r w:rsidRPr="00064561">
        <w:rPr>
          <w:rFonts w:ascii="Arial" w:hAnsi="Arial" w:cs="Arial"/>
          <w:b/>
          <w:sz w:val="24"/>
          <w:szCs w:val="24"/>
          <w:lang w:val="es-ES_tradnl"/>
        </w:rPr>
        <w:t>RESOLUCION ADOPTADA POR EL</w:t>
      </w:r>
    </w:p>
    <w:p w:rsidR="00064561" w:rsidRPr="00064561" w:rsidRDefault="00064561" w:rsidP="00064561">
      <w:pPr>
        <w:tabs>
          <w:tab w:val="left" w:pos="-720"/>
        </w:tabs>
        <w:suppressAutoHyphens/>
        <w:spacing w:after="0" w:line="240" w:lineRule="auto"/>
        <w:jc w:val="center"/>
        <w:rPr>
          <w:rFonts w:ascii="Arial" w:hAnsi="Arial" w:cs="Arial"/>
          <w:b/>
          <w:sz w:val="24"/>
          <w:szCs w:val="24"/>
          <w:lang w:val="es-ES_tradnl"/>
        </w:rPr>
      </w:pPr>
    </w:p>
    <w:p w:rsidR="00064561" w:rsidRPr="00064561" w:rsidRDefault="00064561" w:rsidP="00064561">
      <w:pPr>
        <w:tabs>
          <w:tab w:val="center" w:pos="4253"/>
        </w:tabs>
        <w:suppressAutoHyphens/>
        <w:spacing w:after="0" w:line="240" w:lineRule="auto"/>
        <w:jc w:val="center"/>
        <w:rPr>
          <w:rFonts w:ascii="Arial" w:hAnsi="Arial" w:cs="Arial"/>
          <w:b/>
          <w:sz w:val="24"/>
          <w:szCs w:val="24"/>
          <w:lang w:val="es-ES_tradnl"/>
        </w:rPr>
      </w:pPr>
      <w:r w:rsidRPr="00064561">
        <w:rPr>
          <w:rFonts w:ascii="Arial" w:hAnsi="Arial" w:cs="Arial"/>
          <w:b/>
          <w:sz w:val="24"/>
          <w:szCs w:val="24"/>
          <w:lang w:val="es-ES_tradnl"/>
        </w:rPr>
        <w:t>TRIBUNAL DE CUENTAS</w:t>
      </w:r>
    </w:p>
    <w:p w:rsidR="00064561" w:rsidRPr="00064561" w:rsidRDefault="00064561" w:rsidP="00064561">
      <w:pPr>
        <w:tabs>
          <w:tab w:val="left" w:pos="-720"/>
        </w:tabs>
        <w:suppressAutoHyphens/>
        <w:spacing w:after="0" w:line="240" w:lineRule="auto"/>
        <w:jc w:val="center"/>
        <w:rPr>
          <w:rFonts w:ascii="Arial" w:hAnsi="Arial" w:cs="Arial"/>
          <w:b/>
          <w:sz w:val="24"/>
          <w:szCs w:val="24"/>
          <w:lang w:val="es-ES_tradnl"/>
        </w:rPr>
      </w:pPr>
    </w:p>
    <w:p w:rsidR="00064561" w:rsidRPr="00064561" w:rsidRDefault="00064561" w:rsidP="00064561">
      <w:pPr>
        <w:tabs>
          <w:tab w:val="center" w:pos="4253"/>
        </w:tabs>
        <w:suppressAutoHyphens/>
        <w:spacing w:after="0" w:line="240" w:lineRule="auto"/>
        <w:jc w:val="center"/>
        <w:rPr>
          <w:rFonts w:ascii="Arial" w:hAnsi="Arial" w:cs="Arial"/>
          <w:b/>
          <w:sz w:val="24"/>
          <w:szCs w:val="24"/>
          <w:lang w:val="es-ES_tradnl"/>
        </w:rPr>
      </w:pPr>
      <w:r w:rsidRPr="00064561">
        <w:rPr>
          <w:rFonts w:ascii="Arial" w:hAnsi="Arial" w:cs="Arial"/>
          <w:b/>
          <w:sz w:val="24"/>
          <w:szCs w:val="24"/>
          <w:lang w:val="es-ES_tradnl"/>
        </w:rPr>
        <w:t xml:space="preserve">EN SESION DE FECHA 9 DE ENERO </w:t>
      </w:r>
      <w:r w:rsidRPr="00064561">
        <w:rPr>
          <w:rFonts w:ascii="Helvetica" w:hAnsi="Helvetica"/>
          <w:b/>
          <w:sz w:val="24"/>
          <w:szCs w:val="24"/>
          <w:lang w:val="es-ES_tradnl"/>
        </w:rPr>
        <w:t>DE 2019</w:t>
      </w:r>
    </w:p>
    <w:p w:rsidR="00064561" w:rsidRPr="00064561" w:rsidRDefault="00064561" w:rsidP="00064561">
      <w:pPr>
        <w:tabs>
          <w:tab w:val="center" w:pos="4253"/>
        </w:tabs>
        <w:suppressAutoHyphens/>
        <w:spacing w:after="0" w:line="240" w:lineRule="auto"/>
        <w:jc w:val="center"/>
        <w:rPr>
          <w:rFonts w:ascii="Arial" w:hAnsi="Arial" w:cs="Arial"/>
          <w:b/>
          <w:sz w:val="24"/>
          <w:szCs w:val="24"/>
          <w:lang w:val="es-ES_tradnl"/>
        </w:rPr>
      </w:pPr>
    </w:p>
    <w:p w:rsidR="00064561" w:rsidRPr="00064561" w:rsidRDefault="00064561" w:rsidP="00064561">
      <w:pPr>
        <w:tabs>
          <w:tab w:val="center" w:pos="4253"/>
        </w:tabs>
        <w:suppressAutoHyphens/>
        <w:spacing w:after="0" w:line="240" w:lineRule="auto"/>
        <w:jc w:val="center"/>
        <w:rPr>
          <w:rFonts w:ascii="Arial" w:hAnsi="Arial" w:cs="Arial"/>
          <w:b/>
          <w:sz w:val="24"/>
          <w:szCs w:val="24"/>
          <w:lang w:val="en-US"/>
        </w:rPr>
      </w:pPr>
      <w:r w:rsidRPr="00064561">
        <w:rPr>
          <w:rFonts w:ascii="Arial" w:hAnsi="Arial" w:cs="Arial"/>
          <w:b/>
          <w:sz w:val="24"/>
          <w:szCs w:val="24"/>
          <w:lang w:val="en-US"/>
        </w:rPr>
        <w:t xml:space="preserve">(E. E. Nº </w:t>
      </w:r>
      <w:r>
        <w:rPr>
          <w:rFonts w:ascii="Arial" w:hAnsi="Arial" w:cs="Arial"/>
          <w:b/>
          <w:sz w:val="24"/>
          <w:szCs w:val="24"/>
          <w:lang w:val="en-US"/>
        </w:rPr>
        <w:t>2018-17-1-0006052, Ent. Iniciada</w:t>
      </w:r>
      <w:r w:rsidRPr="00064561">
        <w:rPr>
          <w:rFonts w:ascii="Arial" w:hAnsi="Arial" w:cs="Arial"/>
          <w:b/>
          <w:sz w:val="24"/>
          <w:szCs w:val="24"/>
          <w:lang w:val="en-US"/>
        </w:rPr>
        <w:t>)</w:t>
      </w:r>
    </w:p>
    <w:p w:rsidR="00064561" w:rsidRDefault="00064561" w:rsidP="00064561">
      <w:pPr>
        <w:spacing w:after="0" w:line="360" w:lineRule="auto"/>
        <w:jc w:val="both"/>
        <w:rPr>
          <w:rFonts w:ascii="Arial" w:hAnsi="Arial" w:cs="Arial"/>
          <w:b/>
          <w:bCs/>
          <w:sz w:val="24"/>
          <w:szCs w:val="24"/>
          <w:lang w:val="es-ES"/>
        </w:rPr>
      </w:pPr>
    </w:p>
    <w:p w:rsidR="007F6BA1" w:rsidRDefault="00726DAE" w:rsidP="007F6BA1">
      <w:pPr>
        <w:spacing w:after="0" w:line="360" w:lineRule="auto"/>
        <w:ind w:firstLine="851"/>
        <w:jc w:val="both"/>
        <w:rPr>
          <w:rFonts w:ascii="Arial" w:hAnsi="Arial" w:cs="Arial"/>
          <w:sz w:val="24"/>
          <w:szCs w:val="24"/>
          <w:lang w:val="es-ES"/>
        </w:rPr>
      </w:pPr>
      <w:r w:rsidRPr="00064561">
        <w:rPr>
          <w:rFonts w:ascii="Arial" w:hAnsi="Arial" w:cs="Arial"/>
          <w:b/>
          <w:bCs/>
          <w:sz w:val="24"/>
          <w:szCs w:val="24"/>
          <w:lang w:val="es-ES"/>
        </w:rPr>
        <w:t>VISTO:</w:t>
      </w:r>
      <w:r w:rsidRPr="00064561">
        <w:rPr>
          <w:rFonts w:ascii="Arial" w:hAnsi="Arial" w:cs="Arial"/>
          <w:sz w:val="24"/>
          <w:szCs w:val="24"/>
          <w:lang w:val="es-ES"/>
        </w:rPr>
        <w:t xml:space="preserve"> la consulta remitida por la Contadora Auditora</w:t>
      </w:r>
      <w:r w:rsidR="00064561">
        <w:rPr>
          <w:rFonts w:ascii="Arial" w:hAnsi="Arial" w:cs="Arial"/>
          <w:sz w:val="24"/>
          <w:szCs w:val="24"/>
          <w:lang w:val="es-ES"/>
        </w:rPr>
        <w:t xml:space="preserve"> de este Tribunal   destacada ante</w:t>
      </w:r>
      <w:r w:rsidRPr="00064561">
        <w:rPr>
          <w:rFonts w:ascii="Arial" w:hAnsi="Arial" w:cs="Arial"/>
          <w:sz w:val="24"/>
          <w:szCs w:val="24"/>
          <w:lang w:val="es-ES"/>
        </w:rPr>
        <w:t xml:space="preserve"> el Ministerio del Interior, referida a la compra directa por excepción Nº 49/10, dispuesta en el marco del convenio de cooperación entre la Intendencia Departamental de Flores y el Ministerio del Interior, para la instalación de cámaras de video vigilancia para la Ciudad de Trinidad, Departamento de Flores;</w:t>
      </w:r>
    </w:p>
    <w:p w:rsidR="007F6BA1" w:rsidRDefault="00726DAE" w:rsidP="007F6BA1">
      <w:pPr>
        <w:spacing w:after="0" w:line="360" w:lineRule="auto"/>
        <w:ind w:firstLine="851"/>
        <w:jc w:val="both"/>
        <w:rPr>
          <w:rFonts w:ascii="Arial" w:hAnsi="Arial" w:cs="Arial"/>
          <w:sz w:val="24"/>
          <w:szCs w:val="24"/>
          <w:lang w:val="es-ES"/>
        </w:rPr>
      </w:pPr>
      <w:r w:rsidRPr="00064561">
        <w:rPr>
          <w:rFonts w:ascii="Arial" w:hAnsi="Arial" w:cs="Arial"/>
          <w:b/>
          <w:bCs/>
          <w:sz w:val="24"/>
          <w:szCs w:val="24"/>
          <w:lang w:val="es-ES"/>
        </w:rPr>
        <w:t>RESULTANDO:</w:t>
      </w:r>
      <w:r w:rsidRPr="00064561">
        <w:rPr>
          <w:rFonts w:ascii="Arial" w:hAnsi="Arial" w:cs="Arial"/>
          <w:sz w:val="24"/>
          <w:szCs w:val="24"/>
          <w:lang w:val="es-ES"/>
        </w:rPr>
        <w:t xml:space="preserve"> </w:t>
      </w:r>
      <w:r w:rsidRPr="00064561">
        <w:rPr>
          <w:rFonts w:ascii="Arial" w:hAnsi="Arial" w:cs="Arial"/>
          <w:b/>
          <w:bCs/>
          <w:sz w:val="24"/>
          <w:szCs w:val="24"/>
          <w:lang w:val="es-ES"/>
        </w:rPr>
        <w:t xml:space="preserve">1) </w:t>
      </w:r>
      <w:r w:rsidRPr="00064561">
        <w:rPr>
          <w:rFonts w:ascii="Arial" w:hAnsi="Arial" w:cs="Arial"/>
          <w:sz w:val="24"/>
          <w:szCs w:val="24"/>
          <w:lang w:val="es-ES"/>
        </w:rPr>
        <w:t>que según se señala, el Ministerio del Interior viene realizando una política estratégica, a los efectos de dotar  herramientas más eficaces para la prevención y represión del delito, siendo la seguridad y el orden público sus funciones esenciales y específicas;</w:t>
      </w:r>
    </w:p>
    <w:p w:rsidR="007F6BA1" w:rsidRDefault="00726DAE" w:rsidP="007F6BA1">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 xml:space="preserve">2) </w:t>
      </w:r>
      <w:r w:rsidRPr="00064561">
        <w:rPr>
          <w:rFonts w:ascii="Arial" w:hAnsi="Arial" w:cs="Arial"/>
          <w:sz w:val="24"/>
          <w:szCs w:val="24"/>
          <w:lang w:val="es-ES"/>
        </w:rPr>
        <w:t>que, asimism</w:t>
      </w:r>
      <w:r w:rsidR="007F6BA1">
        <w:rPr>
          <w:rFonts w:ascii="Arial" w:hAnsi="Arial" w:cs="Arial"/>
          <w:sz w:val="24"/>
          <w:szCs w:val="24"/>
          <w:lang w:val="es-ES"/>
        </w:rPr>
        <w:t>o,  el Ministerio del Interior -</w:t>
      </w:r>
      <w:r w:rsidRPr="00064561">
        <w:rPr>
          <w:rFonts w:ascii="Arial" w:hAnsi="Arial" w:cs="Arial"/>
          <w:sz w:val="24"/>
          <w:szCs w:val="24"/>
          <w:lang w:val="es-ES"/>
        </w:rPr>
        <w:t>Jefatura de Policía de Flores- y la Intendencia Departamental de Flores, vienen trabajando interinstitucionalmente en la planificación, desarrollo e implementa</w:t>
      </w:r>
      <w:r w:rsidR="007F6BA1">
        <w:rPr>
          <w:rFonts w:ascii="Arial" w:hAnsi="Arial" w:cs="Arial"/>
          <w:sz w:val="24"/>
          <w:szCs w:val="24"/>
          <w:lang w:val="es-ES"/>
        </w:rPr>
        <w:softHyphen/>
      </w:r>
      <w:r w:rsidRPr="00064561">
        <w:rPr>
          <w:rFonts w:ascii="Arial" w:hAnsi="Arial" w:cs="Arial"/>
          <w:sz w:val="24"/>
          <w:szCs w:val="24"/>
          <w:lang w:val="es-ES"/>
        </w:rPr>
        <w:t>ción de un Sistema de Video Vigilancia para la Ciudad de Trinidad, Departamento de Flores, que permitirá controlar y proteger a los ciudadanos de actividades ilícitas, siendo dicho sistema una herramienta necesaria con el objetivo de tener  un valor agregado en el área preventiva,  minimizando los delitos en las zonas comprendidas dentro del sistema;</w:t>
      </w:r>
    </w:p>
    <w:p w:rsidR="007F6BA1" w:rsidRDefault="00726DAE" w:rsidP="007F6BA1">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3)</w:t>
      </w:r>
      <w:r w:rsidRPr="00064561">
        <w:rPr>
          <w:rFonts w:ascii="Arial" w:hAnsi="Arial" w:cs="Arial"/>
          <w:sz w:val="24"/>
          <w:szCs w:val="24"/>
          <w:lang w:val="es-ES"/>
        </w:rPr>
        <w:t xml:space="preserve"> que a esos efectos, se remite un proyec</w:t>
      </w:r>
      <w:r w:rsidR="007F6BA1">
        <w:rPr>
          <w:rFonts w:ascii="Arial" w:hAnsi="Arial" w:cs="Arial"/>
          <w:sz w:val="24"/>
          <w:szCs w:val="24"/>
          <w:lang w:val="es-ES"/>
        </w:rPr>
        <w:t>to de convenio a suscribir por</w:t>
      </w:r>
      <w:r w:rsidRPr="00064561">
        <w:rPr>
          <w:rFonts w:ascii="Arial" w:hAnsi="Arial" w:cs="Arial"/>
          <w:sz w:val="24"/>
          <w:szCs w:val="24"/>
          <w:lang w:val="es-ES"/>
        </w:rPr>
        <w:t xml:space="preserve"> el Ministerio del Interior y la Intendencia Departamental de Flores, por intermedio del cual las partes acuerdan que el referido proyecto </w:t>
      </w:r>
      <w:r w:rsidRPr="00064561">
        <w:rPr>
          <w:rFonts w:ascii="Arial" w:hAnsi="Arial" w:cs="Arial"/>
          <w:sz w:val="24"/>
          <w:szCs w:val="24"/>
          <w:lang w:val="es-ES"/>
        </w:rPr>
        <w:lastRenderedPageBreak/>
        <w:t xml:space="preserve">de video vigilancia, se llevará a cabo en las siguientes etapas: </w:t>
      </w:r>
      <w:r w:rsidRPr="00064561">
        <w:rPr>
          <w:rFonts w:ascii="Arial" w:hAnsi="Arial" w:cs="Arial"/>
          <w:b/>
          <w:sz w:val="24"/>
          <w:szCs w:val="24"/>
          <w:lang w:val="es-ES"/>
        </w:rPr>
        <w:t>a)</w:t>
      </w:r>
      <w:r w:rsidRPr="00064561">
        <w:rPr>
          <w:rFonts w:ascii="Arial" w:hAnsi="Arial" w:cs="Arial"/>
          <w:sz w:val="24"/>
          <w:szCs w:val="24"/>
          <w:lang w:val="es-ES"/>
        </w:rPr>
        <w:t xml:space="preserve"> en la fase inicial la Intendencia Departamental de Flores adquirirá un total de 22 cámaras fijas y 4 cámaras domo PTZ,  cantidad que podrá ser incrementada y cuyo costo total será asumido por la Intendencia mencionada, </w:t>
      </w:r>
      <w:r w:rsidRPr="00064561">
        <w:rPr>
          <w:rFonts w:ascii="Arial" w:hAnsi="Arial" w:cs="Arial"/>
          <w:b/>
          <w:sz w:val="24"/>
          <w:szCs w:val="24"/>
          <w:lang w:val="es-ES"/>
        </w:rPr>
        <w:t>b)</w:t>
      </w:r>
      <w:r w:rsidRPr="00064561">
        <w:rPr>
          <w:rFonts w:ascii="Arial" w:hAnsi="Arial" w:cs="Arial"/>
          <w:sz w:val="24"/>
          <w:szCs w:val="24"/>
          <w:lang w:val="es-ES"/>
        </w:rPr>
        <w:t xml:space="preserve"> en una segunda etapa el Ministerio del Interior comprará a la Intendencia Departamental de Flores la mitad de los equipos inicialmente adquiridos por ésta, </w:t>
      </w:r>
      <w:r w:rsidRPr="00064561">
        <w:rPr>
          <w:rFonts w:ascii="Arial" w:hAnsi="Arial" w:cs="Arial"/>
          <w:b/>
          <w:sz w:val="24"/>
          <w:szCs w:val="24"/>
          <w:lang w:val="es-ES"/>
        </w:rPr>
        <w:t>c)</w:t>
      </w:r>
      <w:r w:rsidRPr="00064561">
        <w:rPr>
          <w:rFonts w:ascii="Arial" w:hAnsi="Arial" w:cs="Arial"/>
          <w:sz w:val="24"/>
          <w:szCs w:val="24"/>
          <w:lang w:val="es-ES"/>
        </w:rPr>
        <w:t xml:space="preserve"> como etapa final, la Intendencia Departamental de Flores donará al Ministerio del Interior la mitad restante de los equipos por ella adquiridos;</w:t>
      </w:r>
    </w:p>
    <w:p w:rsidR="007F6BA1" w:rsidRDefault="00726DAE" w:rsidP="007F6BA1">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4)</w:t>
      </w:r>
      <w:r w:rsidRPr="00064561">
        <w:rPr>
          <w:rFonts w:ascii="Arial" w:hAnsi="Arial" w:cs="Arial"/>
          <w:sz w:val="24"/>
          <w:szCs w:val="24"/>
          <w:lang w:val="es-ES"/>
        </w:rPr>
        <w:t xml:space="preserve"> que de acuerdo con las previsiones del Convenio, el Centro de Control o Monitoreo estará instalado en la Mesa Central de Operaciones de la Jefatura de Policía de Flores, que será la encargada y responsable de todo el sistema operativo;</w:t>
      </w:r>
    </w:p>
    <w:p w:rsidR="006C3318" w:rsidRDefault="00726DAE" w:rsidP="006C3318">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 xml:space="preserve">5) </w:t>
      </w:r>
      <w:r w:rsidRPr="00064561">
        <w:rPr>
          <w:rFonts w:ascii="Arial" w:hAnsi="Arial" w:cs="Arial"/>
          <w:sz w:val="24"/>
          <w:szCs w:val="24"/>
          <w:lang w:val="es-ES"/>
        </w:rPr>
        <w:t xml:space="preserve">que la Intendencia Departamental de Flores, implementó </w:t>
      </w:r>
      <w:r w:rsidR="007F6BA1">
        <w:rPr>
          <w:rFonts w:ascii="Arial" w:hAnsi="Arial" w:cs="Arial"/>
          <w:sz w:val="24"/>
          <w:szCs w:val="24"/>
          <w:lang w:val="es-ES"/>
        </w:rPr>
        <w:t>el procedimiento de Licitación A</w:t>
      </w:r>
      <w:r w:rsidRPr="00064561">
        <w:rPr>
          <w:rFonts w:ascii="Arial" w:hAnsi="Arial" w:cs="Arial"/>
          <w:sz w:val="24"/>
          <w:szCs w:val="24"/>
          <w:lang w:val="es-ES"/>
        </w:rPr>
        <w:t>breviada Nº 23/2017, con el objeto de adquirir las cámaras de vigilancia para implementar el sistema de video vigilancia urbana en  la Ciudad de Trinidad, Departamento de Flores. Dicha licitación fue adjudicada a la firma LIDEFOX S.A., para adquirir 22 cámaras DAHUA tipo fijas, 4 cámara DAHUA tipo PTZ, 27 VMS –ISS- Premium por cámara, 1 server –para el VMS, 1 Storage, 12 bahías con 48 TB, 3 equipos PC para monitoreo, 1 licenciamiento para video Wall, suministro e instalación de equipamiento en sala de monitoreo e instalación urbana, a un precio total de U$S 86.805,44 impuestos incluidos y mantenimiento preventivo y correctivo por 36 meses, a un precio de U$S 8.804,20 impuestos incluidos;</w:t>
      </w:r>
    </w:p>
    <w:p w:rsidR="006C3318" w:rsidRDefault="00726DAE" w:rsidP="006C3318">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6)</w:t>
      </w:r>
      <w:r w:rsidRPr="00064561">
        <w:rPr>
          <w:rFonts w:ascii="Arial" w:hAnsi="Arial" w:cs="Arial"/>
          <w:sz w:val="24"/>
          <w:szCs w:val="24"/>
          <w:lang w:val="es-ES"/>
        </w:rPr>
        <w:t xml:space="preserve"> que se adjunta Resolución del Director General de Secretaría del Ministerio del Interior dictada en ejercicio de atribuciones delegadas el 3 de setiembre de 2018, por la cual, en el marco del convenio mencionado ut supra,  se autoriza, ad referendum de la intervención de este Tribunal, la compra directa por excepción Nº 49/18 a la Intendencia </w:t>
      </w:r>
      <w:r w:rsidR="006C3318">
        <w:rPr>
          <w:rFonts w:ascii="Arial" w:hAnsi="Arial" w:cs="Arial"/>
          <w:sz w:val="24"/>
          <w:szCs w:val="24"/>
          <w:lang w:val="es-ES"/>
        </w:rPr>
        <w:lastRenderedPageBreak/>
        <w:t>Departamental de Flores, del 50%  de los i</w:t>
      </w:r>
      <w:r w:rsidRPr="00064561">
        <w:rPr>
          <w:rFonts w:ascii="Arial" w:hAnsi="Arial" w:cs="Arial"/>
          <w:sz w:val="24"/>
          <w:szCs w:val="24"/>
          <w:lang w:val="es-ES"/>
        </w:rPr>
        <w:t>tems adquiridos por ésta  a través del procedimiento licitatorio  mencionado,  por un monto total de U$S 47.805;</w:t>
      </w:r>
    </w:p>
    <w:p w:rsidR="00726DAE" w:rsidRPr="00064561" w:rsidRDefault="00726DAE" w:rsidP="006C3318">
      <w:pPr>
        <w:spacing w:after="0" w:line="360" w:lineRule="auto"/>
        <w:ind w:firstLine="2694"/>
        <w:jc w:val="both"/>
        <w:rPr>
          <w:rFonts w:ascii="Arial" w:hAnsi="Arial" w:cs="Arial"/>
          <w:sz w:val="24"/>
          <w:szCs w:val="24"/>
          <w:lang w:val="es-ES"/>
        </w:rPr>
      </w:pPr>
      <w:r w:rsidRPr="00064561">
        <w:rPr>
          <w:rFonts w:ascii="Arial" w:hAnsi="Arial" w:cs="Arial"/>
          <w:b/>
          <w:sz w:val="24"/>
          <w:szCs w:val="24"/>
          <w:lang w:val="es-ES"/>
        </w:rPr>
        <w:t xml:space="preserve">7) </w:t>
      </w:r>
      <w:r w:rsidRPr="00064561">
        <w:rPr>
          <w:rFonts w:ascii="Arial" w:hAnsi="Arial" w:cs="Arial"/>
          <w:sz w:val="24"/>
          <w:szCs w:val="24"/>
          <w:lang w:val="es-ES"/>
        </w:rPr>
        <w:t xml:space="preserve">que remitidos los antecedentes para la intervención del gasto, la Contadora Auditora de este Tribunal destacada ante el Ministerio del Interior dispuso consultar al Tribunal respecto del convenio mencionado, si la Intendencia puede vender los equipos, y consecuentemente si debería acompañar una factura, así como si está jurídicamente facultada a efectuar una donación; </w:t>
      </w:r>
    </w:p>
    <w:p w:rsidR="006C3318" w:rsidRDefault="00726DAE" w:rsidP="006C3318">
      <w:pPr>
        <w:spacing w:after="0" w:line="360" w:lineRule="auto"/>
        <w:ind w:firstLine="851"/>
        <w:jc w:val="both"/>
        <w:rPr>
          <w:rFonts w:ascii="Arial" w:hAnsi="Arial" w:cs="Arial"/>
          <w:sz w:val="24"/>
          <w:szCs w:val="24"/>
        </w:rPr>
      </w:pPr>
      <w:r w:rsidRPr="00064561">
        <w:rPr>
          <w:rFonts w:ascii="Arial" w:hAnsi="Arial" w:cs="Arial"/>
          <w:b/>
          <w:sz w:val="24"/>
          <w:szCs w:val="24"/>
          <w:lang w:val="es-ES"/>
        </w:rPr>
        <w:t>CONSIDERANDO</w:t>
      </w:r>
      <w:r w:rsidRPr="00064561">
        <w:rPr>
          <w:rFonts w:ascii="Arial" w:hAnsi="Arial" w:cs="Arial"/>
          <w:sz w:val="24"/>
          <w:szCs w:val="24"/>
          <w:lang w:val="es-ES"/>
        </w:rPr>
        <w:t xml:space="preserve">: </w:t>
      </w:r>
      <w:r w:rsidRPr="006C3318">
        <w:rPr>
          <w:rFonts w:ascii="Arial" w:hAnsi="Arial" w:cs="Arial"/>
          <w:b/>
          <w:sz w:val="24"/>
          <w:szCs w:val="24"/>
          <w:lang w:val="es-ES"/>
        </w:rPr>
        <w:t>1)</w:t>
      </w:r>
      <w:r w:rsidRPr="00064561">
        <w:rPr>
          <w:rFonts w:ascii="Arial" w:hAnsi="Arial" w:cs="Arial"/>
          <w:sz w:val="24"/>
          <w:szCs w:val="24"/>
          <w:lang w:val="es-ES"/>
        </w:rPr>
        <w:t xml:space="preserve"> </w:t>
      </w:r>
      <w:r w:rsidR="00CF4C2F" w:rsidRPr="00064561">
        <w:rPr>
          <w:rFonts w:ascii="Arial" w:hAnsi="Arial" w:cs="Arial"/>
          <w:sz w:val="24"/>
          <w:szCs w:val="24"/>
          <w:lang w:val="es-ES"/>
        </w:rPr>
        <w:t xml:space="preserve"> que el </w:t>
      </w:r>
      <w:r w:rsidR="006C3318">
        <w:rPr>
          <w:rFonts w:ascii="Arial" w:hAnsi="Arial" w:cs="Arial"/>
          <w:sz w:val="24"/>
          <w:szCs w:val="24"/>
        </w:rPr>
        <w:t>A</w:t>
      </w:r>
      <w:r w:rsidR="00CF4C2F" w:rsidRPr="00064561">
        <w:rPr>
          <w:rFonts w:ascii="Arial" w:hAnsi="Arial" w:cs="Arial"/>
          <w:sz w:val="24"/>
          <w:szCs w:val="24"/>
        </w:rPr>
        <w:t>rtículo 262 de la Constitución de la República refiere al ejercicio efectivo de competencias de gobierno y de administración de los Gobiernos Departamentales (“serán ejercidos”), de lo cual excluye los servicios de seguridad pública. En la medida que el Gobierno Departamental de Flores no va a ejercer ninguna competencia relativa a la seguridad pública, compró cámaras de video, revende la mitad al mismo precio al Ministerio del Interior y dona la otra mitad, dicha norma no constituye un impedimento. Como surge de las actuaciones las referidas cámaras van a ser monitoreadas por la Policía, desde un centro de control en la Mesa Central de Operaciones de la Jefatura de Policía de Flores (no por la Intendencia);</w:t>
      </w:r>
    </w:p>
    <w:p w:rsidR="006C3318" w:rsidRDefault="00CF4C2F" w:rsidP="006C3318">
      <w:pPr>
        <w:spacing w:after="0" w:line="360" w:lineRule="auto"/>
        <w:ind w:firstLine="2835"/>
        <w:jc w:val="both"/>
        <w:rPr>
          <w:rFonts w:ascii="Arial" w:hAnsi="Arial" w:cs="Arial"/>
          <w:sz w:val="24"/>
          <w:szCs w:val="24"/>
        </w:rPr>
      </w:pPr>
      <w:r w:rsidRPr="006C3318">
        <w:rPr>
          <w:rFonts w:ascii="Arial" w:hAnsi="Arial" w:cs="Arial"/>
          <w:b/>
          <w:sz w:val="24"/>
          <w:szCs w:val="24"/>
        </w:rPr>
        <w:t>2)</w:t>
      </w:r>
      <w:r w:rsidRPr="00064561">
        <w:rPr>
          <w:rFonts w:ascii="Arial" w:hAnsi="Arial" w:cs="Arial"/>
          <w:sz w:val="24"/>
          <w:szCs w:val="24"/>
        </w:rPr>
        <w:t xml:space="preserve"> que </w:t>
      </w:r>
      <w:r w:rsidR="006C3318">
        <w:rPr>
          <w:rFonts w:ascii="Arial" w:hAnsi="Arial" w:cs="Arial"/>
          <w:sz w:val="24"/>
          <w:szCs w:val="24"/>
        </w:rPr>
        <w:t>los A</w:t>
      </w:r>
      <w:r w:rsidRPr="00064561">
        <w:rPr>
          <w:rFonts w:ascii="Arial" w:hAnsi="Arial" w:cs="Arial"/>
          <w:sz w:val="24"/>
          <w:szCs w:val="24"/>
        </w:rPr>
        <w:t>rt</w:t>
      </w:r>
      <w:r w:rsidR="006C3318">
        <w:rPr>
          <w:rFonts w:ascii="Arial" w:hAnsi="Arial" w:cs="Arial"/>
          <w:sz w:val="24"/>
          <w:szCs w:val="24"/>
        </w:rPr>
        <w:t>ículos</w:t>
      </w:r>
      <w:r w:rsidRPr="00064561">
        <w:rPr>
          <w:rFonts w:ascii="Arial" w:hAnsi="Arial" w:cs="Arial"/>
          <w:sz w:val="24"/>
          <w:szCs w:val="24"/>
        </w:rPr>
        <w:t xml:space="preserve"> 273 y 275 de la Constitución de la República sobre cometidos del legislativo y ejecutivo comunal,</w:t>
      </w:r>
      <w:r w:rsidR="006C3318">
        <w:rPr>
          <w:rFonts w:ascii="Arial" w:hAnsi="Arial" w:cs="Arial"/>
          <w:sz w:val="24"/>
          <w:szCs w:val="24"/>
        </w:rPr>
        <w:t xml:space="preserve"> hacen la misma salvedad: “</w:t>
      </w:r>
      <w:r w:rsidRPr="00064561">
        <w:rPr>
          <w:rFonts w:ascii="Arial" w:hAnsi="Arial" w:cs="Arial"/>
          <w:sz w:val="24"/>
          <w:szCs w:val="24"/>
        </w:rPr>
        <w:t xml:space="preserve">Además de las que la ley determine”. En tal sentido, la Ley No 9.515 del 28.10/35 (Ley </w:t>
      </w:r>
      <w:r w:rsidR="006C3318">
        <w:rPr>
          <w:rFonts w:ascii="Arial" w:hAnsi="Arial" w:cs="Arial"/>
          <w:sz w:val="24"/>
          <w:szCs w:val="24"/>
        </w:rPr>
        <w:t>Orgánica Municipal-LOM), en su Artí</w:t>
      </w:r>
      <w:r w:rsidRPr="00064561">
        <w:rPr>
          <w:rFonts w:ascii="Arial" w:hAnsi="Arial" w:cs="Arial"/>
          <w:sz w:val="24"/>
          <w:szCs w:val="24"/>
        </w:rPr>
        <w:t>culo 35 prescribe que compete al Intendente, Nral.12) “Requerir el apoyo de la policía siempre que lo crea necesario para el cumplimiento de sus funciones” (en redacción similar al artículo 306 de la Constitución de la República), y en Nral. 15) “Velar, del mismo modo que la Junta, y por los mismos medios, por la conservación de los derechos individuales de los habitantes del Departamento” (normas consideradas vigentes en trabajo exegético del Dr. Martins, “El Gobierno y la Administración de los Departamentos”, Mdeo,</w:t>
      </w:r>
      <w:r w:rsidR="006C3318">
        <w:rPr>
          <w:rFonts w:ascii="Arial" w:hAnsi="Arial" w:cs="Arial"/>
          <w:sz w:val="24"/>
          <w:szCs w:val="24"/>
        </w:rPr>
        <w:t xml:space="preserve"> </w:t>
      </w:r>
      <w:r w:rsidRPr="00064561">
        <w:rPr>
          <w:rFonts w:ascii="Arial" w:hAnsi="Arial" w:cs="Arial"/>
          <w:sz w:val="24"/>
          <w:szCs w:val="24"/>
        </w:rPr>
        <w:t>1999, pág.161);</w:t>
      </w:r>
    </w:p>
    <w:p w:rsidR="006C3318" w:rsidRDefault="00CF4C2F" w:rsidP="006C3318">
      <w:pPr>
        <w:spacing w:after="0" w:line="360" w:lineRule="auto"/>
        <w:ind w:firstLine="2835"/>
        <w:jc w:val="both"/>
        <w:rPr>
          <w:rFonts w:ascii="Arial" w:hAnsi="Arial" w:cs="Arial"/>
          <w:sz w:val="24"/>
          <w:szCs w:val="24"/>
        </w:rPr>
      </w:pPr>
      <w:r w:rsidRPr="006C3318">
        <w:rPr>
          <w:rFonts w:ascii="Arial" w:hAnsi="Arial" w:cs="Arial"/>
          <w:b/>
          <w:sz w:val="24"/>
          <w:szCs w:val="24"/>
        </w:rPr>
        <w:lastRenderedPageBreak/>
        <w:t>3)</w:t>
      </w:r>
      <w:r w:rsidRPr="00064561">
        <w:rPr>
          <w:rFonts w:ascii="Arial" w:hAnsi="Arial" w:cs="Arial"/>
          <w:sz w:val="24"/>
          <w:szCs w:val="24"/>
        </w:rPr>
        <w:t xml:space="preserve"> que dado que el gasto deriva de un Convenio entre la Intendencia y el propio Ministerio del Interior (que tiene a su cargo el servicio de seguridad pública), el mismo encuadra en lo dispuesto por art. 262 inc</w:t>
      </w:r>
      <w:r w:rsidR="006C3318">
        <w:rPr>
          <w:rFonts w:ascii="Arial" w:hAnsi="Arial" w:cs="Arial"/>
          <w:sz w:val="24"/>
          <w:szCs w:val="24"/>
        </w:rPr>
        <w:t>iso final de la Constitución, “</w:t>
      </w:r>
      <w:r w:rsidRPr="00064561">
        <w:rPr>
          <w:rFonts w:ascii="Arial" w:hAnsi="Arial" w:cs="Arial"/>
          <w:sz w:val="24"/>
          <w:szCs w:val="24"/>
        </w:rPr>
        <w:t>Los Gobiernos Departamentales podrán acordar entre sí y con el Poder Ejecutivo</w:t>
      </w:r>
      <w:r w:rsidR="006C3318">
        <w:rPr>
          <w:rFonts w:ascii="Arial" w:hAnsi="Arial" w:cs="Arial"/>
          <w:sz w:val="24"/>
          <w:szCs w:val="24"/>
        </w:rPr>
        <w:t>.</w:t>
      </w:r>
      <w:r w:rsidRPr="00064561">
        <w:rPr>
          <w:rFonts w:ascii="Arial" w:hAnsi="Arial" w:cs="Arial"/>
          <w:sz w:val="24"/>
          <w:szCs w:val="24"/>
        </w:rPr>
        <w:t>…</w:t>
      </w:r>
      <w:r w:rsidR="006C3318">
        <w:rPr>
          <w:rFonts w:ascii="Arial" w:hAnsi="Arial" w:cs="Arial"/>
          <w:sz w:val="24"/>
          <w:szCs w:val="24"/>
        </w:rPr>
        <w:t xml:space="preserve"> </w:t>
      </w:r>
      <w:r w:rsidRPr="00064561">
        <w:rPr>
          <w:rFonts w:ascii="Arial" w:hAnsi="Arial" w:cs="Arial"/>
          <w:sz w:val="24"/>
          <w:szCs w:val="24"/>
        </w:rPr>
        <w:t>la organización y prestación de servicios y</w:t>
      </w:r>
      <w:r w:rsidR="006C3318">
        <w:rPr>
          <w:rFonts w:ascii="Arial" w:hAnsi="Arial" w:cs="Arial"/>
          <w:sz w:val="24"/>
          <w:szCs w:val="24"/>
        </w:rPr>
        <w:t xml:space="preserve"> actividades propias o comunes</w:t>
      </w:r>
      <w:r w:rsidRPr="00064561">
        <w:rPr>
          <w:rFonts w:ascii="Arial" w:hAnsi="Arial" w:cs="Arial"/>
          <w:sz w:val="24"/>
          <w:szCs w:val="24"/>
        </w:rPr>
        <w:t>, tanto en sus respectivos territorios como en forma regional o interdepartamental”;</w:t>
      </w:r>
    </w:p>
    <w:p w:rsidR="006C3318" w:rsidRDefault="00CF4C2F" w:rsidP="006C3318">
      <w:pPr>
        <w:spacing w:after="0" w:line="360" w:lineRule="auto"/>
        <w:ind w:firstLine="2835"/>
        <w:jc w:val="both"/>
        <w:rPr>
          <w:rFonts w:ascii="Arial" w:hAnsi="Arial" w:cs="Arial"/>
          <w:sz w:val="24"/>
          <w:szCs w:val="24"/>
        </w:rPr>
      </w:pPr>
      <w:r w:rsidRPr="006C3318">
        <w:rPr>
          <w:rFonts w:ascii="Arial" w:hAnsi="Arial" w:cs="Arial"/>
          <w:b/>
          <w:sz w:val="24"/>
          <w:szCs w:val="24"/>
        </w:rPr>
        <w:t>4)</w:t>
      </w:r>
      <w:r w:rsidRPr="00064561">
        <w:rPr>
          <w:rFonts w:ascii="Arial" w:hAnsi="Arial" w:cs="Arial"/>
          <w:sz w:val="24"/>
          <w:szCs w:val="24"/>
        </w:rPr>
        <w:t xml:space="preserve"> que el concepto de “servicio de seguridad pública”, que tiende a salvaguardar la integridad de las personas y sus bienes, así como mantener el orden público, ha sido estudiado dentro del concepto de policía que incluye represión, prevención, disuasión, y  observación, pero esto último no es un rol exclusivo ni tampoco limitado al concepto de seguridad pública. De todas formas </w:t>
      </w:r>
      <w:r w:rsidR="00D42134" w:rsidRPr="00064561">
        <w:rPr>
          <w:rFonts w:ascii="Arial" w:hAnsi="Arial" w:cs="Arial"/>
          <w:sz w:val="24"/>
          <w:szCs w:val="24"/>
        </w:rPr>
        <w:t>ni</w:t>
      </w:r>
      <w:r w:rsidRPr="00064561">
        <w:rPr>
          <w:rFonts w:ascii="Arial" w:hAnsi="Arial" w:cs="Arial"/>
          <w:sz w:val="24"/>
          <w:szCs w:val="24"/>
        </w:rPr>
        <w:t>nguna de esas funciones va a ser ejercida por la Intendencia de Flores</w:t>
      </w:r>
      <w:r w:rsidR="00D42134" w:rsidRPr="00064561">
        <w:rPr>
          <w:rFonts w:ascii="Arial" w:hAnsi="Arial" w:cs="Arial"/>
          <w:sz w:val="24"/>
          <w:szCs w:val="24"/>
        </w:rPr>
        <w:t>;</w:t>
      </w:r>
    </w:p>
    <w:p w:rsidR="006C3318" w:rsidRDefault="00D42134" w:rsidP="006C3318">
      <w:pPr>
        <w:spacing w:after="0" w:line="360" w:lineRule="auto"/>
        <w:ind w:firstLine="2835"/>
        <w:jc w:val="both"/>
        <w:rPr>
          <w:rFonts w:ascii="Arial" w:hAnsi="Arial" w:cs="Arial"/>
          <w:sz w:val="24"/>
          <w:szCs w:val="24"/>
        </w:rPr>
      </w:pPr>
      <w:r w:rsidRPr="006C3318">
        <w:rPr>
          <w:rFonts w:ascii="Arial" w:hAnsi="Arial" w:cs="Arial"/>
          <w:b/>
          <w:sz w:val="24"/>
          <w:szCs w:val="24"/>
        </w:rPr>
        <w:t>5)</w:t>
      </w:r>
      <w:r w:rsidRPr="00064561">
        <w:rPr>
          <w:rFonts w:ascii="Arial" w:hAnsi="Arial" w:cs="Arial"/>
          <w:sz w:val="24"/>
          <w:szCs w:val="24"/>
        </w:rPr>
        <w:t xml:space="preserve"> que un criterio amplio del concepto de seguridad pública llevaría a cuestionar potestades implícitas a todo organismo público, y en particular a las Intendencias, en cuanto a la contratación de servicios de seguridad durante el desarrollo de espectáculos públicos, vigilancia de edificios públicos</w:t>
      </w:r>
      <w:r w:rsidR="00942CD1" w:rsidRPr="00064561">
        <w:rPr>
          <w:rFonts w:ascii="Arial" w:hAnsi="Arial" w:cs="Arial"/>
          <w:sz w:val="24"/>
          <w:szCs w:val="24"/>
        </w:rPr>
        <w:t>, del tránsito, de los implementos urbanos</w:t>
      </w:r>
      <w:r w:rsidRPr="00064561">
        <w:rPr>
          <w:rFonts w:ascii="Arial" w:hAnsi="Arial" w:cs="Arial"/>
          <w:sz w:val="24"/>
          <w:szCs w:val="24"/>
        </w:rPr>
        <w:t xml:space="preserve"> etc. Es decir que es normal que en ejercicio de sus competencias tenga cámaras de video y pueda adquirirlas, y  convenio mediante les asigne un uso a ejercer por el organismo competente para ello;</w:t>
      </w:r>
    </w:p>
    <w:p w:rsidR="006C3318" w:rsidRDefault="00D42134" w:rsidP="006C3318">
      <w:pPr>
        <w:spacing w:after="0" w:line="360" w:lineRule="auto"/>
        <w:ind w:firstLine="2835"/>
        <w:jc w:val="both"/>
        <w:rPr>
          <w:rFonts w:ascii="Arial" w:hAnsi="Arial" w:cs="Arial"/>
          <w:sz w:val="24"/>
          <w:szCs w:val="24"/>
        </w:rPr>
      </w:pPr>
      <w:r w:rsidRPr="006C3318">
        <w:rPr>
          <w:rFonts w:ascii="Arial" w:hAnsi="Arial" w:cs="Arial"/>
          <w:b/>
          <w:sz w:val="24"/>
          <w:szCs w:val="24"/>
        </w:rPr>
        <w:t>6)</w:t>
      </w:r>
      <w:r w:rsidRPr="00064561">
        <w:rPr>
          <w:rFonts w:ascii="Arial" w:hAnsi="Arial" w:cs="Arial"/>
          <w:sz w:val="24"/>
          <w:szCs w:val="24"/>
        </w:rPr>
        <w:t xml:space="preserve"> que como surge del informe de la Jefatura de Policía de Flores, de 12.8.15, existen antecedentes de planes pilotos de video vigilancia con equipamiento adquirido por la Intendencia, monitoreado por personal policial, para eventos deportivos de mediano y alto riesgo, festivales artísticos y musicales con gran aglomeración de personas, preexistiendo a estas actuaciones cinco cámaras, cuyo número convenio mediante se incrementa.</w:t>
      </w:r>
      <w:r w:rsidR="006C3318">
        <w:rPr>
          <w:rFonts w:ascii="Arial" w:hAnsi="Arial" w:cs="Arial"/>
          <w:sz w:val="24"/>
          <w:szCs w:val="24"/>
        </w:rPr>
        <w:t xml:space="preserve"> </w:t>
      </w:r>
      <w:r w:rsidRPr="00064561">
        <w:rPr>
          <w:rFonts w:ascii="Arial" w:hAnsi="Arial" w:cs="Arial"/>
          <w:sz w:val="24"/>
          <w:szCs w:val="24"/>
        </w:rPr>
        <w:t xml:space="preserve">Consta el “Proyecto de Video Vigilancia para la Ciudad de </w:t>
      </w:r>
      <w:r w:rsidRPr="00064561">
        <w:rPr>
          <w:rFonts w:ascii="Arial" w:hAnsi="Arial" w:cs="Arial"/>
          <w:sz w:val="24"/>
          <w:szCs w:val="24"/>
        </w:rPr>
        <w:lastRenderedPageBreak/>
        <w:t>Trinidad”, que incluye su descripción, beneficio esperado, detalle del centro de monitoreo y control, y detalles técnicos del equipamiento con pautas elaboradas por el Comando Unificado del Ministerio del Interior;</w:t>
      </w:r>
    </w:p>
    <w:p w:rsidR="00865A8B" w:rsidRDefault="00D42134" w:rsidP="00865A8B">
      <w:pPr>
        <w:spacing w:after="0" w:line="360" w:lineRule="auto"/>
        <w:ind w:firstLine="2835"/>
        <w:jc w:val="both"/>
        <w:rPr>
          <w:rFonts w:ascii="Arial" w:hAnsi="Arial" w:cs="Arial"/>
          <w:sz w:val="24"/>
          <w:szCs w:val="24"/>
        </w:rPr>
      </w:pPr>
      <w:r w:rsidRPr="006C3318">
        <w:rPr>
          <w:rFonts w:ascii="Arial" w:hAnsi="Arial" w:cs="Arial"/>
          <w:b/>
          <w:sz w:val="24"/>
          <w:szCs w:val="24"/>
        </w:rPr>
        <w:t>7)</w:t>
      </w:r>
      <w:r w:rsidRPr="00064561">
        <w:rPr>
          <w:rFonts w:ascii="Arial" w:hAnsi="Arial" w:cs="Arial"/>
          <w:sz w:val="24"/>
          <w:szCs w:val="24"/>
        </w:rPr>
        <w:t xml:space="preserve"> que en cuanto a la potestad de la Intendencia actuante para donar la otra mitad del equipamiento al Ministerio del Interior, en principio no existe norma alguna que lo impida (máxime que también puede disponer donaciones a privados y a instituciones sin fines de lucro, contando para ello con partidas presupuestales aprobadas por la Junta Departamental). Asimismo debe tenerse presente lo establecido en artículo 83 del TOCAF, cuya parte final autoriza cumpliéndose el requisito de “sin destino administrativo útil</w:t>
      </w:r>
      <w:r w:rsidR="00794A19" w:rsidRPr="00064561">
        <w:rPr>
          <w:rFonts w:ascii="Arial" w:hAnsi="Arial" w:cs="Arial"/>
          <w:sz w:val="24"/>
          <w:szCs w:val="24"/>
        </w:rPr>
        <w:t>” a transferir los bienes muebles en cuestión;</w:t>
      </w:r>
    </w:p>
    <w:p w:rsidR="00CF4C2F" w:rsidRPr="00064561" w:rsidRDefault="00794A19" w:rsidP="00865A8B">
      <w:pPr>
        <w:spacing w:after="0" w:line="360" w:lineRule="auto"/>
        <w:ind w:firstLine="2835"/>
        <w:jc w:val="both"/>
        <w:rPr>
          <w:rFonts w:ascii="Arial" w:hAnsi="Arial" w:cs="Arial"/>
          <w:sz w:val="24"/>
          <w:szCs w:val="24"/>
        </w:rPr>
      </w:pPr>
      <w:r w:rsidRPr="00865A8B">
        <w:rPr>
          <w:rFonts w:ascii="Arial" w:hAnsi="Arial" w:cs="Arial"/>
          <w:b/>
          <w:sz w:val="24"/>
          <w:szCs w:val="24"/>
        </w:rPr>
        <w:t>8)</w:t>
      </w:r>
      <w:r w:rsidRPr="00064561">
        <w:rPr>
          <w:rFonts w:ascii="Arial" w:hAnsi="Arial" w:cs="Arial"/>
          <w:sz w:val="24"/>
          <w:szCs w:val="24"/>
        </w:rPr>
        <w:t xml:space="preserve"> que existen antecedentes de colaboraciones con el Ministerio del Interior y de adquisición de cámaras de vigilancia por parte de otros Gobiernos Departamentales;</w:t>
      </w:r>
    </w:p>
    <w:p w:rsidR="00794A19" w:rsidRPr="00064561" w:rsidRDefault="00794A19" w:rsidP="00865A8B">
      <w:pPr>
        <w:spacing w:after="0" w:line="360" w:lineRule="auto"/>
        <w:ind w:firstLine="851"/>
        <w:jc w:val="both"/>
        <w:rPr>
          <w:rFonts w:ascii="Arial" w:hAnsi="Arial" w:cs="Arial"/>
          <w:sz w:val="24"/>
          <w:szCs w:val="24"/>
        </w:rPr>
      </w:pPr>
      <w:r w:rsidRPr="00064561">
        <w:rPr>
          <w:rFonts w:ascii="Arial" w:hAnsi="Arial" w:cs="Arial"/>
          <w:b/>
          <w:sz w:val="24"/>
          <w:szCs w:val="24"/>
        </w:rPr>
        <w:t>ATENTO</w:t>
      </w:r>
      <w:r w:rsidRPr="00064561">
        <w:rPr>
          <w:rFonts w:ascii="Arial" w:hAnsi="Arial" w:cs="Arial"/>
          <w:sz w:val="24"/>
          <w:szCs w:val="24"/>
        </w:rPr>
        <w:t>: a lo precedentemente expu</w:t>
      </w:r>
      <w:r w:rsidR="00865A8B">
        <w:rPr>
          <w:rFonts w:ascii="Arial" w:hAnsi="Arial" w:cs="Arial"/>
          <w:sz w:val="24"/>
          <w:szCs w:val="24"/>
        </w:rPr>
        <w:t xml:space="preserve">esto y a lo establecido por el Artículo 15 de la Ordenanza N° </w:t>
      </w:r>
      <w:r w:rsidRPr="00064561">
        <w:rPr>
          <w:rFonts w:ascii="Arial" w:hAnsi="Arial" w:cs="Arial"/>
          <w:sz w:val="24"/>
          <w:szCs w:val="24"/>
        </w:rPr>
        <w:t>64 y Resolución de 15.12.2004;</w:t>
      </w:r>
    </w:p>
    <w:p w:rsidR="00794A19" w:rsidRPr="00064561" w:rsidRDefault="00794A19" w:rsidP="00865A8B">
      <w:pPr>
        <w:spacing w:after="0" w:line="360" w:lineRule="auto"/>
        <w:jc w:val="center"/>
        <w:rPr>
          <w:rFonts w:ascii="Arial" w:hAnsi="Arial" w:cs="Arial"/>
          <w:b/>
          <w:sz w:val="24"/>
          <w:szCs w:val="24"/>
        </w:rPr>
      </w:pPr>
      <w:r w:rsidRPr="00064561">
        <w:rPr>
          <w:rFonts w:ascii="Arial" w:hAnsi="Arial" w:cs="Arial"/>
          <w:b/>
          <w:sz w:val="24"/>
          <w:szCs w:val="24"/>
        </w:rPr>
        <w:t>EL TRIBUNAL ACUERDA</w:t>
      </w:r>
    </w:p>
    <w:p w:rsidR="00794A19" w:rsidRPr="00064561" w:rsidRDefault="00794A19" w:rsidP="00865A8B">
      <w:pPr>
        <w:pStyle w:val="Prrafodelista"/>
        <w:numPr>
          <w:ilvl w:val="0"/>
          <w:numId w:val="1"/>
        </w:numPr>
        <w:tabs>
          <w:tab w:val="left" w:pos="284"/>
        </w:tabs>
        <w:spacing w:after="0" w:line="360" w:lineRule="auto"/>
        <w:ind w:left="0" w:firstLine="0"/>
        <w:jc w:val="both"/>
        <w:rPr>
          <w:rFonts w:ascii="Arial" w:hAnsi="Arial" w:cs="Arial"/>
          <w:sz w:val="24"/>
          <w:szCs w:val="24"/>
        </w:rPr>
      </w:pPr>
      <w:r w:rsidRPr="00064561">
        <w:rPr>
          <w:rFonts w:ascii="Arial" w:hAnsi="Arial" w:cs="Arial"/>
          <w:sz w:val="24"/>
          <w:szCs w:val="24"/>
        </w:rPr>
        <w:t>Evacuar la consulta en los términos de los precedentes Considerandos;</w:t>
      </w:r>
    </w:p>
    <w:p w:rsidR="00794A19" w:rsidRPr="00064561" w:rsidRDefault="00794A19" w:rsidP="00865A8B">
      <w:pPr>
        <w:pStyle w:val="Prrafodelista"/>
        <w:numPr>
          <w:ilvl w:val="0"/>
          <w:numId w:val="1"/>
        </w:numPr>
        <w:tabs>
          <w:tab w:val="left" w:pos="284"/>
        </w:tabs>
        <w:spacing w:after="0" w:line="360" w:lineRule="auto"/>
        <w:ind w:left="0" w:firstLine="0"/>
        <w:jc w:val="both"/>
        <w:rPr>
          <w:rFonts w:ascii="Arial" w:hAnsi="Arial" w:cs="Arial"/>
          <w:sz w:val="24"/>
          <w:szCs w:val="24"/>
        </w:rPr>
      </w:pPr>
      <w:r w:rsidRPr="00064561">
        <w:rPr>
          <w:rFonts w:ascii="Arial" w:hAnsi="Arial" w:cs="Arial"/>
          <w:sz w:val="24"/>
          <w:szCs w:val="24"/>
        </w:rPr>
        <w:t>Comunicar a la Contadora Auditora destacada</w:t>
      </w:r>
      <w:r w:rsidR="00865A8B">
        <w:rPr>
          <w:rFonts w:ascii="Arial" w:hAnsi="Arial" w:cs="Arial"/>
          <w:sz w:val="24"/>
          <w:szCs w:val="24"/>
        </w:rPr>
        <w:t xml:space="preserve"> ante</w:t>
      </w:r>
      <w:r w:rsidR="00942CD1" w:rsidRPr="00064561">
        <w:rPr>
          <w:rFonts w:ascii="Arial" w:hAnsi="Arial" w:cs="Arial"/>
          <w:sz w:val="24"/>
          <w:szCs w:val="24"/>
        </w:rPr>
        <w:t xml:space="preserve"> el Ministerio del Interior;</w:t>
      </w:r>
    </w:p>
    <w:p w:rsidR="00942CD1" w:rsidRDefault="00865A8B" w:rsidP="00865A8B">
      <w:pPr>
        <w:pStyle w:val="Prrafodelista"/>
        <w:numPr>
          <w:ilvl w:val="0"/>
          <w:numId w:val="1"/>
        </w:numPr>
        <w:tabs>
          <w:tab w:val="left" w:pos="284"/>
        </w:tabs>
        <w:spacing w:after="0" w:line="360" w:lineRule="auto"/>
        <w:ind w:left="0" w:firstLine="0"/>
        <w:jc w:val="both"/>
        <w:rPr>
          <w:rFonts w:ascii="Arial" w:hAnsi="Arial" w:cs="Arial"/>
          <w:sz w:val="24"/>
          <w:szCs w:val="24"/>
        </w:rPr>
      </w:pPr>
      <w:r>
        <w:rPr>
          <w:rFonts w:ascii="Arial" w:hAnsi="Arial" w:cs="Arial"/>
          <w:sz w:val="24"/>
          <w:szCs w:val="24"/>
        </w:rPr>
        <w:t>Devolver las actuaciones.</w:t>
      </w:r>
    </w:p>
    <w:p w:rsidR="00865A8B" w:rsidRDefault="00865A8B" w:rsidP="00865A8B">
      <w:pPr>
        <w:tabs>
          <w:tab w:val="left" w:pos="284"/>
        </w:tabs>
        <w:spacing w:after="0" w:line="360" w:lineRule="auto"/>
        <w:jc w:val="both"/>
        <w:rPr>
          <w:rFonts w:ascii="Arial" w:hAnsi="Arial" w:cs="Arial"/>
          <w:sz w:val="24"/>
          <w:szCs w:val="24"/>
        </w:rPr>
      </w:pPr>
    </w:p>
    <w:p w:rsidR="00865A8B" w:rsidRDefault="00865A8B" w:rsidP="00865A8B">
      <w:pPr>
        <w:tabs>
          <w:tab w:val="left" w:pos="284"/>
        </w:tabs>
        <w:spacing w:after="0" w:line="360" w:lineRule="auto"/>
        <w:jc w:val="both"/>
        <w:rPr>
          <w:rFonts w:ascii="Arial" w:hAnsi="Arial" w:cs="Arial"/>
          <w:sz w:val="24"/>
          <w:szCs w:val="24"/>
        </w:rPr>
      </w:pPr>
    </w:p>
    <w:p w:rsidR="00865A8B" w:rsidRDefault="00865A8B" w:rsidP="00865A8B">
      <w:pPr>
        <w:tabs>
          <w:tab w:val="left" w:pos="284"/>
        </w:tabs>
        <w:spacing w:after="0" w:line="360" w:lineRule="auto"/>
        <w:jc w:val="both"/>
        <w:rPr>
          <w:rFonts w:ascii="Arial" w:hAnsi="Arial" w:cs="Arial"/>
          <w:sz w:val="24"/>
          <w:szCs w:val="24"/>
        </w:rPr>
      </w:pPr>
    </w:p>
    <w:p w:rsidR="00865A8B" w:rsidRDefault="00865A8B" w:rsidP="00865A8B">
      <w:pPr>
        <w:tabs>
          <w:tab w:val="left" w:pos="284"/>
        </w:tabs>
        <w:spacing w:after="0" w:line="360" w:lineRule="auto"/>
        <w:jc w:val="both"/>
        <w:rPr>
          <w:rFonts w:ascii="Arial" w:hAnsi="Arial" w:cs="Arial"/>
          <w:sz w:val="24"/>
          <w:szCs w:val="24"/>
        </w:rPr>
      </w:pPr>
    </w:p>
    <w:p w:rsidR="00865A8B" w:rsidRDefault="00865A8B" w:rsidP="00865A8B">
      <w:pPr>
        <w:tabs>
          <w:tab w:val="left" w:pos="284"/>
        </w:tabs>
        <w:spacing w:after="0" w:line="360" w:lineRule="auto"/>
        <w:jc w:val="both"/>
        <w:rPr>
          <w:rFonts w:ascii="Arial" w:hAnsi="Arial" w:cs="Arial"/>
          <w:sz w:val="24"/>
          <w:szCs w:val="24"/>
        </w:rPr>
      </w:pPr>
    </w:p>
    <w:p w:rsidR="00865A8B" w:rsidRDefault="00865A8B" w:rsidP="00865A8B">
      <w:pPr>
        <w:tabs>
          <w:tab w:val="left" w:pos="284"/>
        </w:tabs>
        <w:spacing w:after="0" w:line="360" w:lineRule="auto"/>
        <w:jc w:val="both"/>
        <w:rPr>
          <w:rFonts w:ascii="Arial" w:hAnsi="Arial" w:cs="Arial"/>
          <w:sz w:val="24"/>
          <w:szCs w:val="24"/>
        </w:rPr>
      </w:pPr>
    </w:p>
    <w:p w:rsidR="00EC7B88" w:rsidRDefault="00EC7B88" w:rsidP="00865A8B">
      <w:pPr>
        <w:spacing w:after="0" w:line="360" w:lineRule="auto"/>
        <w:jc w:val="both"/>
        <w:rPr>
          <w:rFonts w:ascii="Arial" w:hAnsi="Arial" w:cs="Arial"/>
          <w:b/>
          <w:sz w:val="24"/>
          <w:szCs w:val="24"/>
        </w:rPr>
      </w:pPr>
    </w:p>
    <w:p w:rsidR="00865A8B" w:rsidRPr="00865A8B" w:rsidRDefault="00865A8B" w:rsidP="00865A8B">
      <w:pPr>
        <w:spacing w:after="0" w:line="360" w:lineRule="auto"/>
        <w:jc w:val="both"/>
        <w:rPr>
          <w:rFonts w:ascii="Arial" w:hAnsi="Arial" w:cs="Arial"/>
          <w:sz w:val="24"/>
          <w:szCs w:val="24"/>
        </w:rPr>
      </w:pPr>
      <w:bookmarkStart w:id="0" w:name="_GoBack"/>
      <w:bookmarkEnd w:id="0"/>
      <w:r w:rsidRPr="00865A8B">
        <w:rPr>
          <w:rFonts w:ascii="Arial" w:hAnsi="Arial" w:cs="Arial"/>
          <w:b/>
          <w:sz w:val="24"/>
          <w:szCs w:val="24"/>
        </w:rPr>
        <w:t>CONSTANCIA DE FUNDAMENTO DE VOTO DISCORDE DE LA MINIST</w:t>
      </w:r>
      <w:r>
        <w:rPr>
          <w:rFonts w:ascii="Arial" w:hAnsi="Arial" w:cs="Arial"/>
          <w:b/>
          <w:sz w:val="24"/>
          <w:szCs w:val="24"/>
        </w:rPr>
        <w:t>RA             CRA. MARÍA ELISA ETCHEMENDY</w:t>
      </w:r>
      <w:r w:rsidRPr="00865A8B">
        <w:rPr>
          <w:rFonts w:ascii="Arial" w:hAnsi="Arial" w:cs="Arial"/>
          <w:b/>
          <w:sz w:val="24"/>
          <w:szCs w:val="24"/>
        </w:rPr>
        <w:t>:</w:t>
      </w:r>
      <w:r w:rsidRPr="00865A8B">
        <w:t xml:space="preserve"> </w:t>
      </w:r>
      <w:r>
        <w:t xml:space="preserve"> </w:t>
      </w:r>
      <w:r w:rsidRPr="00865A8B">
        <w:rPr>
          <w:rFonts w:ascii="Arial" w:hAnsi="Arial" w:cs="Arial"/>
          <w:sz w:val="24"/>
          <w:szCs w:val="24"/>
        </w:rPr>
        <w:t>“</w:t>
      </w:r>
      <w:r w:rsidRPr="00865A8B">
        <w:rPr>
          <w:rFonts w:ascii="Arial" w:hAnsi="Arial" w:cs="Arial"/>
          <w:sz w:val="24"/>
          <w:szCs w:val="24"/>
        </w:rPr>
        <w:t xml:space="preserve">Voto discorde el proyecto de convenio a </w:t>
      </w:r>
      <w:r w:rsidRPr="00865A8B">
        <w:rPr>
          <w:rFonts w:ascii="Arial" w:hAnsi="Arial" w:cs="Arial"/>
          <w:sz w:val="24"/>
          <w:szCs w:val="24"/>
        </w:rPr>
        <w:lastRenderedPageBreak/>
        <w:t>suscribir entre el Ministerio del Interior y la Intendencia Departamental de Flores referido a un Sistema de Video Vigilancia para la ciudad de Trinidad.</w:t>
      </w:r>
    </w:p>
    <w:p w:rsidR="00865A8B" w:rsidRPr="00865A8B" w:rsidRDefault="00865A8B" w:rsidP="00865A8B">
      <w:pPr>
        <w:spacing w:after="0" w:line="360" w:lineRule="auto"/>
        <w:jc w:val="both"/>
        <w:rPr>
          <w:rFonts w:ascii="Arial" w:hAnsi="Arial" w:cs="Arial"/>
          <w:sz w:val="24"/>
          <w:szCs w:val="24"/>
        </w:rPr>
      </w:pPr>
      <w:r w:rsidRPr="00865A8B">
        <w:rPr>
          <w:rFonts w:ascii="Arial" w:hAnsi="Arial" w:cs="Arial"/>
          <w:sz w:val="24"/>
          <w:szCs w:val="24"/>
        </w:rPr>
        <w:t>Fundamento mi voto en las siguientes consideraciones:</w:t>
      </w:r>
    </w:p>
    <w:p w:rsidR="00865A8B" w:rsidRPr="00865A8B" w:rsidRDefault="00865A8B" w:rsidP="00EC7B88">
      <w:pPr>
        <w:pStyle w:val="Prrafodelista"/>
        <w:numPr>
          <w:ilvl w:val="0"/>
          <w:numId w:val="2"/>
        </w:numPr>
        <w:spacing w:after="0" w:line="360" w:lineRule="auto"/>
        <w:ind w:left="0" w:firstLine="0"/>
        <w:jc w:val="both"/>
        <w:rPr>
          <w:rFonts w:ascii="Arial" w:hAnsi="Arial" w:cs="Arial"/>
          <w:sz w:val="24"/>
          <w:szCs w:val="24"/>
        </w:rPr>
      </w:pPr>
      <w:r w:rsidRPr="00865A8B">
        <w:rPr>
          <w:rFonts w:ascii="Arial" w:hAnsi="Arial" w:cs="Arial"/>
          <w:sz w:val="24"/>
          <w:szCs w:val="24"/>
        </w:rPr>
        <w:t>El Art. 262 de la Constitución excluye el ejercicio de los Servicios de Seguridad Pública del ámbito Competencial de los Gobiernos Departamentales. Esto inhibe a los Gobiernos referidos a asignar recursos presupuestales a la prestación de esos servicios.</w:t>
      </w:r>
    </w:p>
    <w:p w:rsidR="00865A8B" w:rsidRPr="00865A8B" w:rsidRDefault="00865A8B" w:rsidP="00EC7B88">
      <w:pPr>
        <w:pStyle w:val="Prrafodelista"/>
        <w:numPr>
          <w:ilvl w:val="0"/>
          <w:numId w:val="2"/>
        </w:numPr>
        <w:spacing w:after="0" w:line="360" w:lineRule="auto"/>
        <w:ind w:left="0" w:firstLine="0"/>
        <w:jc w:val="both"/>
        <w:rPr>
          <w:rFonts w:ascii="Arial" w:hAnsi="Arial" w:cs="Arial"/>
          <w:sz w:val="24"/>
          <w:szCs w:val="24"/>
        </w:rPr>
      </w:pPr>
      <w:r w:rsidRPr="00865A8B">
        <w:rPr>
          <w:rFonts w:ascii="Arial" w:hAnsi="Arial" w:cs="Arial"/>
          <w:sz w:val="24"/>
          <w:szCs w:val="24"/>
        </w:rPr>
        <w:t>Por otro lado, la potestad de “velar por la conservación de los derechos individuales de los habitantes del departamento”, no está establecida con carácter general, sino que la propia norma establece taxativamente el modo y los medios de los que dispone la autoridad para cumplir con ese precepto, que están detallados en los literales A a E del numeral 29 del Art. 19 de la Ley N° 9.515 de 28/10/1935 y que nada tienen que ver con el desarrollo e implementación de un Sistema de Video Vigilancia. O sea, no se cuestiona la facultad de las entidades intervinientes para celebrar un convenio, sino la materia objeto del mismo.</w:t>
      </w:r>
    </w:p>
    <w:p w:rsidR="00865A8B" w:rsidRDefault="00865A8B" w:rsidP="00EC7B88">
      <w:pPr>
        <w:pStyle w:val="Prrafodelista"/>
        <w:numPr>
          <w:ilvl w:val="0"/>
          <w:numId w:val="2"/>
        </w:numPr>
        <w:spacing w:after="0" w:line="360" w:lineRule="auto"/>
        <w:ind w:left="0" w:firstLine="0"/>
        <w:jc w:val="both"/>
        <w:rPr>
          <w:rFonts w:ascii="Arial" w:hAnsi="Arial" w:cs="Arial"/>
          <w:sz w:val="24"/>
          <w:szCs w:val="24"/>
        </w:rPr>
      </w:pPr>
      <w:r w:rsidRPr="00865A8B">
        <w:rPr>
          <w:rFonts w:ascii="Arial" w:hAnsi="Arial" w:cs="Arial"/>
          <w:sz w:val="24"/>
          <w:szCs w:val="24"/>
        </w:rPr>
        <w:t>Por último, la operativa prevista en el Convenio comprende la adquisición de bienes a los solos efectos de donarlos y dicha donación no encuadra en las previsiones del Art. 83 del TOCAF</w:t>
      </w:r>
      <w:r w:rsidR="00EC7B88">
        <w:rPr>
          <w:rFonts w:ascii="Arial" w:hAnsi="Arial" w:cs="Arial"/>
          <w:sz w:val="24"/>
          <w:szCs w:val="24"/>
        </w:rPr>
        <w:t>”</w:t>
      </w:r>
      <w:r w:rsidRPr="00865A8B">
        <w:rPr>
          <w:rFonts w:ascii="Arial" w:hAnsi="Arial" w:cs="Arial"/>
          <w:sz w:val="24"/>
          <w:szCs w:val="24"/>
        </w:rPr>
        <w:t>.</w:t>
      </w:r>
    </w:p>
    <w:p w:rsidR="00EC7B88" w:rsidRDefault="00EC7B88" w:rsidP="00EC7B88">
      <w:pPr>
        <w:spacing w:after="0" w:line="360" w:lineRule="auto"/>
        <w:jc w:val="both"/>
        <w:rPr>
          <w:rFonts w:ascii="Arial" w:hAnsi="Arial" w:cs="Arial"/>
          <w:sz w:val="24"/>
          <w:szCs w:val="24"/>
        </w:rPr>
      </w:pPr>
    </w:p>
    <w:p w:rsidR="00EC7B88" w:rsidRDefault="00EC7B88" w:rsidP="00EC7B88">
      <w:pPr>
        <w:spacing w:after="0" w:line="360" w:lineRule="auto"/>
        <w:jc w:val="both"/>
        <w:rPr>
          <w:rFonts w:ascii="Arial" w:hAnsi="Arial" w:cs="Arial"/>
          <w:sz w:val="24"/>
          <w:szCs w:val="24"/>
        </w:rPr>
      </w:pPr>
    </w:p>
    <w:p w:rsidR="00EC7B88" w:rsidRDefault="00EC7B88" w:rsidP="00EC7B88">
      <w:pPr>
        <w:spacing w:after="0" w:line="360" w:lineRule="auto"/>
        <w:jc w:val="both"/>
        <w:rPr>
          <w:rFonts w:ascii="Arial" w:hAnsi="Arial" w:cs="Arial"/>
          <w:sz w:val="24"/>
          <w:szCs w:val="24"/>
        </w:rPr>
      </w:pPr>
    </w:p>
    <w:p w:rsidR="00EC7B88" w:rsidRDefault="00EC7B88" w:rsidP="00EC7B88">
      <w:pPr>
        <w:spacing w:after="0" w:line="360" w:lineRule="auto"/>
        <w:jc w:val="both"/>
        <w:rPr>
          <w:rFonts w:ascii="Arial" w:hAnsi="Arial" w:cs="Arial"/>
          <w:sz w:val="24"/>
          <w:szCs w:val="24"/>
        </w:rPr>
      </w:pPr>
    </w:p>
    <w:p w:rsidR="00865A8B" w:rsidRPr="006A2B03" w:rsidRDefault="00EC7B88" w:rsidP="00EC7B88">
      <w:pPr>
        <w:spacing w:after="0" w:line="360" w:lineRule="auto"/>
        <w:ind w:hanging="426"/>
        <w:jc w:val="both"/>
      </w:pPr>
      <w:r>
        <w:rPr>
          <w:rFonts w:ascii="Arial" w:hAnsi="Arial" w:cs="Arial"/>
          <w:sz w:val="24"/>
          <w:szCs w:val="24"/>
        </w:rPr>
        <w:t>dc</w:t>
      </w:r>
    </w:p>
    <w:p w:rsidR="00865A8B" w:rsidRPr="00865A8B" w:rsidRDefault="00865A8B" w:rsidP="00865A8B">
      <w:pPr>
        <w:tabs>
          <w:tab w:val="left" w:pos="284"/>
        </w:tabs>
        <w:spacing w:after="0" w:line="360" w:lineRule="auto"/>
        <w:jc w:val="both"/>
        <w:rPr>
          <w:rFonts w:ascii="Arial" w:hAnsi="Arial" w:cs="Arial"/>
          <w:sz w:val="24"/>
          <w:szCs w:val="24"/>
        </w:rPr>
      </w:pPr>
    </w:p>
    <w:sectPr w:rsidR="00865A8B" w:rsidRPr="00865A8B" w:rsidSect="00064561">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5F" w:rsidRDefault="0055365F" w:rsidP="006D1389">
      <w:pPr>
        <w:spacing w:after="0" w:line="240" w:lineRule="auto"/>
      </w:pPr>
      <w:r>
        <w:separator/>
      </w:r>
    </w:p>
  </w:endnote>
  <w:endnote w:type="continuationSeparator" w:id="0">
    <w:p w:rsidR="0055365F" w:rsidRDefault="0055365F" w:rsidP="006D1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457182"/>
      <w:docPartObj>
        <w:docPartGallery w:val="Page Numbers (Bottom of Page)"/>
        <w:docPartUnique/>
      </w:docPartObj>
    </w:sdtPr>
    <w:sdtEndPr/>
    <w:sdtContent>
      <w:p w:rsidR="006D1389" w:rsidRDefault="006D1389">
        <w:pPr>
          <w:pStyle w:val="Piedepgina"/>
          <w:jc w:val="center"/>
        </w:pPr>
        <w:r>
          <w:fldChar w:fldCharType="begin"/>
        </w:r>
        <w:r>
          <w:instrText>PAGE   \* MERGEFORMAT</w:instrText>
        </w:r>
        <w:r>
          <w:fldChar w:fldCharType="separate"/>
        </w:r>
        <w:r w:rsidR="00EC7B88" w:rsidRPr="00EC7B88">
          <w:rPr>
            <w:noProof/>
            <w:lang w:val="es-ES"/>
          </w:rPr>
          <w:t>6</w:t>
        </w:r>
        <w:r>
          <w:fldChar w:fldCharType="end"/>
        </w:r>
      </w:p>
    </w:sdtContent>
  </w:sdt>
  <w:p w:rsidR="006D1389" w:rsidRDefault="006D13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5F" w:rsidRDefault="0055365F" w:rsidP="006D1389">
      <w:pPr>
        <w:spacing w:after="0" w:line="240" w:lineRule="auto"/>
      </w:pPr>
      <w:r>
        <w:separator/>
      </w:r>
    </w:p>
  </w:footnote>
  <w:footnote w:type="continuationSeparator" w:id="0">
    <w:p w:rsidR="0055365F" w:rsidRDefault="0055365F" w:rsidP="006D13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00A72"/>
    <w:multiLevelType w:val="hybridMultilevel"/>
    <w:tmpl w:val="AF527B6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ABF4727"/>
    <w:multiLevelType w:val="hybridMultilevel"/>
    <w:tmpl w:val="F2A4013C"/>
    <w:lvl w:ilvl="0" w:tplc="DB445E16">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63"/>
    <w:rsid w:val="0000266F"/>
    <w:rsid w:val="00064561"/>
    <w:rsid w:val="000B754C"/>
    <w:rsid w:val="000D1F8E"/>
    <w:rsid w:val="00141793"/>
    <w:rsid w:val="00211233"/>
    <w:rsid w:val="00211834"/>
    <w:rsid w:val="002540FC"/>
    <w:rsid w:val="002A0881"/>
    <w:rsid w:val="002A402F"/>
    <w:rsid w:val="002A78EA"/>
    <w:rsid w:val="00364587"/>
    <w:rsid w:val="003D2869"/>
    <w:rsid w:val="00455287"/>
    <w:rsid w:val="004B7673"/>
    <w:rsid w:val="0055365F"/>
    <w:rsid w:val="005D4E4D"/>
    <w:rsid w:val="005D7DBC"/>
    <w:rsid w:val="006C3318"/>
    <w:rsid w:val="006D1389"/>
    <w:rsid w:val="007055DE"/>
    <w:rsid w:val="00726DAE"/>
    <w:rsid w:val="0074580D"/>
    <w:rsid w:val="00794A19"/>
    <w:rsid w:val="007F6BA1"/>
    <w:rsid w:val="00865A8B"/>
    <w:rsid w:val="008E0749"/>
    <w:rsid w:val="00935246"/>
    <w:rsid w:val="00942CD1"/>
    <w:rsid w:val="00984D9F"/>
    <w:rsid w:val="009C7A63"/>
    <w:rsid w:val="00A57E9A"/>
    <w:rsid w:val="00B42634"/>
    <w:rsid w:val="00B865A5"/>
    <w:rsid w:val="00C51536"/>
    <w:rsid w:val="00CF4C2F"/>
    <w:rsid w:val="00D42134"/>
    <w:rsid w:val="00E77A30"/>
    <w:rsid w:val="00EC7B88"/>
    <w:rsid w:val="00EF0EA8"/>
    <w:rsid w:val="00FD639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3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389"/>
  </w:style>
  <w:style w:type="paragraph" w:styleId="Piedepgina">
    <w:name w:val="footer"/>
    <w:basedOn w:val="Normal"/>
    <w:link w:val="PiedepginaCar"/>
    <w:uiPriority w:val="99"/>
    <w:unhideWhenUsed/>
    <w:rsid w:val="006D13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389"/>
  </w:style>
  <w:style w:type="paragraph" w:styleId="Prrafodelista">
    <w:name w:val="List Paragraph"/>
    <w:basedOn w:val="Normal"/>
    <w:uiPriority w:val="34"/>
    <w:qFormat/>
    <w:rsid w:val="00794A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13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1389"/>
  </w:style>
  <w:style w:type="paragraph" w:styleId="Piedepgina">
    <w:name w:val="footer"/>
    <w:basedOn w:val="Normal"/>
    <w:link w:val="PiedepginaCar"/>
    <w:uiPriority w:val="99"/>
    <w:unhideWhenUsed/>
    <w:rsid w:val="006D13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1389"/>
  </w:style>
  <w:style w:type="paragraph" w:styleId="Prrafodelista">
    <w:name w:val="List Paragraph"/>
    <w:basedOn w:val="Normal"/>
    <w:uiPriority w:val="34"/>
    <w:qFormat/>
    <w:rsid w:val="00794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1585</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Vera Izeta</dc:creator>
  <cp:lastModifiedBy>tribunal1</cp:lastModifiedBy>
  <cp:revision>2</cp:revision>
  <cp:lastPrinted>2019-01-14T15:30:00Z</cp:lastPrinted>
  <dcterms:created xsi:type="dcterms:W3CDTF">2019-01-14T15:31:00Z</dcterms:created>
  <dcterms:modified xsi:type="dcterms:W3CDTF">2019-01-14T15:31:00Z</dcterms:modified>
</cp:coreProperties>
</file>