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B1" w:rsidRPr="00786EEB" w:rsidRDefault="009F23B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FA1E59">
        <w:rPr>
          <w:rFonts w:cs="Arial"/>
          <w:b/>
          <w:sz w:val="28"/>
          <w:szCs w:val="28"/>
          <w:lang w:val="es-ES_tradnl"/>
        </w:rPr>
        <w:t>3982/18</w:t>
      </w:r>
      <w:bookmarkStart w:id="0" w:name="_GoBack"/>
      <w:bookmarkEnd w:id="0"/>
    </w:p>
    <w:p w:rsidR="009F23B1" w:rsidRDefault="009F23B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F23B1" w:rsidRPr="00762B34" w:rsidRDefault="009F23B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F23B1" w:rsidRPr="00762B34" w:rsidRDefault="009F23B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F23B1" w:rsidRPr="00762B34" w:rsidRDefault="009F23B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F23B1" w:rsidRPr="00762B34" w:rsidRDefault="009F23B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F23B1" w:rsidRPr="00762B34" w:rsidRDefault="009F23B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26 DE DICIEMBRE </w:t>
      </w:r>
      <w:r>
        <w:rPr>
          <w:rFonts w:ascii="Helvetica" w:hAnsi="Helvetica"/>
          <w:b/>
          <w:lang w:val="es-ES_tradnl"/>
        </w:rPr>
        <w:t>DE 2018</w:t>
      </w:r>
    </w:p>
    <w:p w:rsidR="009F23B1" w:rsidRPr="00762B34" w:rsidRDefault="009F23B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F23B1" w:rsidRPr="00FA1E59" w:rsidRDefault="009F23B1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FA1E59">
        <w:rPr>
          <w:rFonts w:cs="Arial"/>
          <w:b/>
          <w:lang w:val="es-UY"/>
        </w:rPr>
        <w:t xml:space="preserve">(E. E. Nº 2018-17-1-0007069, </w:t>
      </w:r>
      <w:proofErr w:type="spellStart"/>
      <w:r w:rsidRPr="00FA1E59">
        <w:rPr>
          <w:rFonts w:cs="Arial"/>
          <w:b/>
          <w:lang w:val="es-UY"/>
        </w:rPr>
        <w:t>Ent</w:t>
      </w:r>
      <w:proofErr w:type="spellEnd"/>
      <w:r w:rsidRPr="00FA1E59">
        <w:rPr>
          <w:rFonts w:cs="Arial"/>
          <w:b/>
          <w:lang w:val="es-UY"/>
        </w:rPr>
        <w:t>. N° 5461/18)</w:t>
      </w:r>
    </w:p>
    <w:p w:rsidR="009F23B1" w:rsidRPr="00FA1E59" w:rsidRDefault="009F23B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BF6609" w:rsidRDefault="00BF6609" w:rsidP="00BF6609"/>
    <w:p w:rsidR="00BF6609" w:rsidRDefault="00BF6609" w:rsidP="009F23B1">
      <w:pPr>
        <w:spacing w:line="360" w:lineRule="auto"/>
        <w:ind w:firstLine="708"/>
        <w:jc w:val="both"/>
      </w:pPr>
      <w:r>
        <w:rPr>
          <w:b/>
          <w:bCs/>
        </w:rPr>
        <w:t xml:space="preserve">VISTO: </w:t>
      </w:r>
      <w:r>
        <w:t>las actuaciones remitidas por el Ministerio de Industria, Energía y Minería</w:t>
      </w:r>
      <w:r>
        <w:rPr>
          <w:rFonts w:cs="Arial"/>
        </w:rPr>
        <w:t xml:space="preserve"> (MIEM)</w:t>
      </w:r>
      <w:r w:rsidR="0059763F">
        <w:rPr>
          <w:rFonts w:cs="Arial"/>
        </w:rPr>
        <w:t>,</w:t>
      </w:r>
      <w:r>
        <w:rPr>
          <w:rFonts w:cs="Arial"/>
        </w:rPr>
        <w:t xml:space="preserve"> </w:t>
      </w:r>
      <w:r>
        <w:t>relacionadas con el Memorando de Entendimiento a celebrar con el Ministerio de Ciencia, Tecnología y Medio Ambiente de la República de C</w:t>
      </w:r>
      <w:r w:rsidR="00023563">
        <w:t>uba</w:t>
      </w:r>
      <w:r w:rsidR="00CE2AAC">
        <w:t xml:space="preserve"> (CITMA)</w:t>
      </w:r>
      <w:r>
        <w:t>;</w:t>
      </w:r>
    </w:p>
    <w:p w:rsidR="004B5B9A" w:rsidRDefault="00BF6609" w:rsidP="009F23B1">
      <w:pPr>
        <w:spacing w:line="360" w:lineRule="auto"/>
        <w:ind w:firstLine="708"/>
        <w:jc w:val="both"/>
        <w:rPr>
          <w:rFonts w:cs="Arial"/>
        </w:rPr>
      </w:pPr>
      <w:r>
        <w:rPr>
          <w:b/>
          <w:bCs/>
        </w:rPr>
        <w:t xml:space="preserve">RESULTANDO: 1) </w:t>
      </w:r>
      <w:r w:rsidR="00CE2AAC">
        <w:rPr>
          <w:rFonts w:cs="Arial"/>
        </w:rPr>
        <w:t xml:space="preserve">que se remite un proyecto de Memorando de Entendimiento a celebrarse  entre el MIEM y el CITMA, cuyo objeto es </w:t>
      </w:r>
      <w:r w:rsidR="00E94223">
        <w:rPr>
          <w:rFonts w:cs="Arial"/>
        </w:rPr>
        <w:t>formalizar</w:t>
      </w:r>
      <w:r w:rsidR="00CE2AAC">
        <w:rPr>
          <w:rFonts w:cs="Arial"/>
        </w:rPr>
        <w:t xml:space="preserve"> las </w:t>
      </w:r>
      <w:r w:rsidR="00E94223">
        <w:rPr>
          <w:rFonts w:cs="Arial"/>
        </w:rPr>
        <w:t>relaciones</w:t>
      </w:r>
      <w:r w:rsidR="00CE2AAC">
        <w:rPr>
          <w:rFonts w:cs="Arial"/>
        </w:rPr>
        <w:t xml:space="preserve"> bilaterales entre ambas Secretaria de </w:t>
      </w:r>
      <w:r w:rsidR="004B5B9A">
        <w:rPr>
          <w:rFonts w:cs="Arial"/>
        </w:rPr>
        <w:t>E</w:t>
      </w:r>
      <w:r w:rsidR="00CE2AAC">
        <w:rPr>
          <w:rFonts w:cs="Arial"/>
        </w:rPr>
        <w:t>stado</w:t>
      </w:r>
      <w:r w:rsidR="004B5B9A">
        <w:rPr>
          <w:rFonts w:cs="Arial"/>
        </w:rPr>
        <w:t xml:space="preserve"> con el fin de desarrollar la </w:t>
      </w:r>
      <w:r w:rsidR="00E94223">
        <w:rPr>
          <w:rFonts w:cs="Arial"/>
        </w:rPr>
        <w:t>cooperación</w:t>
      </w:r>
      <w:r w:rsidR="000A3E5B">
        <w:rPr>
          <w:rFonts w:cs="Arial"/>
        </w:rPr>
        <w:t xml:space="preserve">, </w:t>
      </w:r>
      <w:r w:rsidR="004B5B9A">
        <w:rPr>
          <w:rFonts w:cs="Arial"/>
        </w:rPr>
        <w:t xml:space="preserve">sobre la base del </w:t>
      </w:r>
      <w:r w:rsidR="00E94223">
        <w:rPr>
          <w:rFonts w:cs="Arial"/>
        </w:rPr>
        <w:t>intercambio</w:t>
      </w:r>
      <w:r w:rsidR="004B5B9A">
        <w:rPr>
          <w:rFonts w:cs="Arial"/>
        </w:rPr>
        <w:t xml:space="preserve"> de información y la colaboración </w:t>
      </w:r>
      <w:r w:rsidR="00E94223">
        <w:rPr>
          <w:rFonts w:cs="Arial"/>
        </w:rPr>
        <w:t>académica</w:t>
      </w:r>
      <w:r w:rsidR="004B5B9A">
        <w:rPr>
          <w:rFonts w:cs="Arial"/>
        </w:rPr>
        <w:t xml:space="preserve">, en </w:t>
      </w:r>
      <w:r w:rsidR="00E94223">
        <w:rPr>
          <w:rFonts w:cs="Arial"/>
        </w:rPr>
        <w:t>materia</w:t>
      </w:r>
      <w:r w:rsidR="004B5B9A">
        <w:rPr>
          <w:rFonts w:cs="Arial"/>
        </w:rPr>
        <w:t xml:space="preserve"> de propiedad industrial;</w:t>
      </w:r>
    </w:p>
    <w:p w:rsidR="004B5B9A" w:rsidRDefault="004B5B9A" w:rsidP="00BF660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             </w:t>
      </w:r>
      <w:r w:rsidR="00E94223">
        <w:rPr>
          <w:rFonts w:cs="Arial"/>
        </w:rPr>
        <w:t xml:space="preserve">     </w:t>
      </w:r>
      <w:r w:rsidR="006F59AD">
        <w:rPr>
          <w:rFonts w:cs="Arial"/>
        </w:rPr>
        <w:t xml:space="preserve"> </w:t>
      </w:r>
      <w:r w:rsidR="009F23B1">
        <w:rPr>
          <w:rFonts w:cs="Arial"/>
        </w:rPr>
        <w:t xml:space="preserve">     </w:t>
      </w:r>
      <w:r w:rsidRPr="00E94223">
        <w:rPr>
          <w:rFonts w:cs="Arial"/>
          <w:b/>
        </w:rPr>
        <w:t>2)</w:t>
      </w:r>
      <w:r>
        <w:rPr>
          <w:rFonts w:cs="Arial"/>
        </w:rPr>
        <w:t xml:space="preserve"> que se establece que</w:t>
      </w:r>
      <w:r w:rsidR="0059763F">
        <w:rPr>
          <w:rFonts w:cs="Arial"/>
        </w:rPr>
        <w:t>,</w:t>
      </w:r>
      <w:r>
        <w:rPr>
          <w:rFonts w:cs="Arial"/>
        </w:rPr>
        <w:t xml:space="preserve"> por</w:t>
      </w:r>
      <w:r w:rsidR="000A3E5B">
        <w:rPr>
          <w:rFonts w:cs="Arial"/>
        </w:rPr>
        <w:t xml:space="preserve"> parte d</w:t>
      </w:r>
      <w:r>
        <w:rPr>
          <w:rFonts w:cs="Arial"/>
        </w:rPr>
        <w:t xml:space="preserve">el CITMA, la autoridad ejecutora del convenio será la </w:t>
      </w:r>
      <w:r w:rsidR="00E94223">
        <w:rPr>
          <w:rFonts w:cs="Arial"/>
        </w:rPr>
        <w:t>Oficina</w:t>
      </w:r>
      <w:r>
        <w:rPr>
          <w:rFonts w:cs="Arial"/>
        </w:rPr>
        <w:t xml:space="preserve"> Cubana de la Propiedad Industrial (OCPI) cuya misión es</w:t>
      </w:r>
      <w:r w:rsidR="000A3E5B">
        <w:rPr>
          <w:rFonts w:cs="Arial"/>
        </w:rPr>
        <w:t>:</w:t>
      </w:r>
      <w:r>
        <w:rPr>
          <w:rFonts w:cs="Arial"/>
        </w:rPr>
        <w:t xml:space="preserve"> </w:t>
      </w:r>
      <w:r w:rsidR="000A3E5B">
        <w:rPr>
          <w:rFonts w:cs="Arial"/>
        </w:rPr>
        <w:t xml:space="preserve">a) </w:t>
      </w:r>
      <w:r>
        <w:rPr>
          <w:rFonts w:cs="Arial"/>
        </w:rPr>
        <w:t xml:space="preserve">conferir y registrar los derechos exclusivos de Propiedad </w:t>
      </w:r>
      <w:r w:rsidR="00E94223">
        <w:rPr>
          <w:rFonts w:cs="Arial"/>
        </w:rPr>
        <w:t>Industrial</w:t>
      </w:r>
      <w:r>
        <w:rPr>
          <w:rFonts w:cs="Arial"/>
        </w:rPr>
        <w:t xml:space="preserve">, </w:t>
      </w:r>
      <w:r w:rsidR="000A3E5B">
        <w:rPr>
          <w:rFonts w:cs="Arial"/>
        </w:rPr>
        <w:t xml:space="preserve">b) </w:t>
      </w:r>
      <w:r>
        <w:rPr>
          <w:rFonts w:cs="Arial"/>
        </w:rPr>
        <w:t xml:space="preserve">establecer el régimen legal y la política al </w:t>
      </w:r>
      <w:r w:rsidR="00E94223">
        <w:rPr>
          <w:rFonts w:cs="Arial"/>
        </w:rPr>
        <w:t>respecto</w:t>
      </w:r>
      <w:r>
        <w:rPr>
          <w:rFonts w:cs="Arial"/>
        </w:rPr>
        <w:t>,</w:t>
      </w:r>
      <w:r w:rsidR="0059763F">
        <w:rPr>
          <w:rFonts w:cs="Arial"/>
        </w:rPr>
        <w:t xml:space="preserve"> y</w:t>
      </w:r>
      <w:r>
        <w:rPr>
          <w:rFonts w:cs="Arial"/>
        </w:rPr>
        <w:t xml:space="preserve"> </w:t>
      </w:r>
      <w:r w:rsidR="000A3E5B">
        <w:rPr>
          <w:rFonts w:cs="Arial"/>
        </w:rPr>
        <w:t xml:space="preserve">c) </w:t>
      </w:r>
      <w:r>
        <w:rPr>
          <w:rFonts w:cs="Arial"/>
        </w:rPr>
        <w:t xml:space="preserve">promover,  desarrollar y supervisar esta actividad, </w:t>
      </w:r>
      <w:r w:rsidR="00E94223">
        <w:rPr>
          <w:rFonts w:cs="Arial"/>
        </w:rPr>
        <w:t>así</w:t>
      </w:r>
      <w:r>
        <w:rPr>
          <w:rFonts w:cs="Arial"/>
        </w:rPr>
        <w:t xml:space="preserve"> como, brindar otros </w:t>
      </w:r>
      <w:r w:rsidR="00E94223">
        <w:rPr>
          <w:rFonts w:cs="Arial"/>
        </w:rPr>
        <w:t>servicios</w:t>
      </w:r>
      <w:r>
        <w:rPr>
          <w:rFonts w:cs="Arial"/>
        </w:rPr>
        <w:t xml:space="preserve"> </w:t>
      </w:r>
      <w:r w:rsidR="00E94223">
        <w:rPr>
          <w:rFonts w:cs="Arial"/>
        </w:rPr>
        <w:t>especializados</w:t>
      </w:r>
      <w:r>
        <w:rPr>
          <w:rFonts w:cs="Arial"/>
        </w:rPr>
        <w:t>;</w:t>
      </w:r>
    </w:p>
    <w:p w:rsidR="00442CAB" w:rsidRDefault="00E94223" w:rsidP="00BF6609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</w:t>
      </w:r>
      <w:r w:rsidR="009F23B1">
        <w:rPr>
          <w:bCs/>
        </w:rPr>
        <w:t xml:space="preserve">     </w:t>
      </w:r>
      <w:r w:rsidR="004B5B9A" w:rsidRPr="00E94223">
        <w:rPr>
          <w:b/>
          <w:bCs/>
        </w:rPr>
        <w:t>3)</w:t>
      </w:r>
      <w:r w:rsidR="004B5B9A">
        <w:rPr>
          <w:bCs/>
        </w:rPr>
        <w:t xml:space="preserve"> que por</w:t>
      </w:r>
      <w:r w:rsidR="005C099D">
        <w:rPr>
          <w:bCs/>
        </w:rPr>
        <w:t xml:space="preserve"> su parte, se acuerda que</w:t>
      </w:r>
      <w:r w:rsidR="0059763F">
        <w:rPr>
          <w:bCs/>
        </w:rPr>
        <w:t>,</w:t>
      </w:r>
      <w:r w:rsidR="005C099D">
        <w:rPr>
          <w:bCs/>
        </w:rPr>
        <w:t xml:space="preserve"> por</w:t>
      </w:r>
      <w:r w:rsidR="004B5B9A">
        <w:rPr>
          <w:bCs/>
        </w:rPr>
        <w:t xml:space="preserve"> el </w:t>
      </w:r>
      <w:r w:rsidR="000A3E5B">
        <w:rPr>
          <w:bCs/>
        </w:rPr>
        <w:t>MIEM</w:t>
      </w:r>
      <w:r w:rsidR="00442CAB">
        <w:rPr>
          <w:bCs/>
        </w:rPr>
        <w:t xml:space="preserve">, la autoridad ejecutora del </w:t>
      </w:r>
      <w:r>
        <w:rPr>
          <w:bCs/>
        </w:rPr>
        <w:t>convenio</w:t>
      </w:r>
      <w:r w:rsidR="00442CAB">
        <w:rPr>
          <w:bCs/>
        </w:rPr>
        <w:t xml:space="preserve"> será la </w:t>
      </w:r>
      <w:r>
        <w:rPr>
          <w:bCs/>
        </w:rPr>
        <w:t>Dirección</w:t>
      </w:r>
      <w:r w:rsidR="00442CAB">
        <w:rPr>
          <w:bCs/>
        </w:rPr>
        <w:t xml:space="preserve"> Nacional de la </w:t>
      </w:r>
      <w:r>
        <w:rPr>
          <w:bCs/>
        </w:rPr>
        <w:t>Propiedad</w:t>
      </w:r>
      <w:r w:rsidR="00442CAB">
        <w:rPr>
          <w:bCs/>
        </w:rPr>
        <w:t xml:space="preserve"> </w:t>
      </w:r>
      <w:r>
        <w:rPr>
          <w:bCs/>
        </w:rPr>
        <w:t>Industrial</w:t>
      </w:r>
      <w:r w:rsidR="00442CAB">
        <w:rPr>
          <w:bCs/>
        </w:rPr>
        <w:t xml:space="preserve"> (DNPI), cuyo cometido sustantivo es administrar y proteger los </w:t>
      </w:r>
      <w:r>
        <w:rPr>
          <w:bCs/>
        </w:rPr>
        <w:t>derechos</w:t>
      </w:r>
      <w:r w:rsidR="00442CAB">
        <w:rPr>
          <w:bCs/>
        </w:rPr>
        <w:t xml:space="preserve"> de </w:t>
      </w:r>
      <w:r>
        <w:rPr>
          <w:bCs/>
        </w:rPr>
        <w:t>Propiedad</w:t>
      </w:r>
      <w:r w:rsidR="00442CAB">
        <w:rPr>
          <w:bCs/>
        </w:rPr>
        <w:t xml:space="preserve"> </w:t>
      </w:r>
      <w:r>
        <w:rPr>
          <w:bCs/>
        </w:rPr>
        <w:t>Industrial</w:t>
      </w:r>
      <w:r w:rsidR="00442CAB">
        <w:rPr>
          <w:bCs/>
        </w:rPr>
        <w:t xml:space="preserve">, </w:t>
      </w:r>
      <w:r>
        <w:rPr>
          <w:bCs/>
        </w:rPr>
        <w:t>suministrando</w:t>
      </w:r>
      <w:r w:rsidR="00442CAB">
        <w:rPr>
          <w:bCs/>
        </w:rPr>
        <w:t xml:space="preserve"> servicios </w:t>
      </w:r>
      <w:r>
        <w:rPr>
          <w:bCs/>
        </w:rPr>
        <w:t>eficientes</w:t>
      </w:r>
      <w:r w:rsidR="00442CAB">
        <w:rPr>
          <w:bCs/>
        </w:rPr>
        <w:t xml:space="preserve"> y confiables como elemento clave de la infraestructura nacional para </w:t>
      </w:r>
      <w:r>
        <w:rPr>
          <w:bCs/>
        </w:rPr>
        <w:t>favorecer</w:t>
      </w:r>
      <w:r w:rsidR="00442CAB">
        <w:rPr>
          <w:bCs/>
        </w:rPr>
        <w:t xml:space="preserve"> el desarrollo  industrial, </w:t>
      </w:r>
      <w:r w:rsidR="0059763F">
        <w:rPr>
          <w:bCs/>
        </w:rPr>
        <w:t>económico</w:t>
      </w:r>
      <w:r w:rsidR="00442CAB">
        <w:rPr>
          <w:bCs/>
        </w:rPr>
        <w:t xml:space="preserve"> y social;</w:t>
      </w:r>
    </w:p>
    <w:p w:rsidR="009F23B1" w:rsidRDefault="00E94223" w:rsidP="00BF6609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                              </w:t>
      </w:r>
      <w:r w:rsidR="009F23B1">
        <w:rPr>
          <w:bCs/>
        </w:rPr>
        <w:t xml:space="preserve">      </w:t>
      </w:r>
      <w:r w:rsidR="00442CAB" w:rsidRPr="00E94223">
        <w:rPr>
          <w:b/>
          <w:bCs/>
        </w:rPr>
        <w:t>4)</w:t>
      </w:r>
      <w:r w:rsidR="00442CAB">
        <w:rPr>
          <w:bCs/>
        </w:rPr>
        <w:t xml:space="preserve"> que la cooperación técnica en el campo de la </w:t>
      </w:r>
      <w:r>
        <w:rPr>
          <w:bCs/>
        </w:rPr>
        <w:t>Propiedad</w:t>
      </w:r>
      <w:r w:rsidR="00442CAB">
        <w:rPr>
          <w:bCs/>
        </w:rPr>
        <w:t xml:space="preserve"> Industrial se concentra</w:t>
      </w:r>
      <w:r w:rsidR="005C099D">
        <w:rPr>
          <w:bCs/>
        </w:rPr>
        <w:t>rá</w:t>
      </w:r>
      <w:r w:rsidR="00442CAB">
        <w:rPr>
          <w:bCs/>
        </w:rPr>
        <w:t xml:space="preserve"> en las siguientes actividades: </w:t>
      </w:r>
    </w:p>
    <w:p w:rsidR="004E2B4B" w:rsidRDefault="00442CAB" w:rsidP="00BF6609">
      <w:pPr>
        <w:spacing w:line="360" w:lineRule="auto"/>
        <w:jc w:val="both"/>
        <w:rPr>
          <w:bCs/>
        </w:rPr>
      </w:pPr>
      <w:r>
        <w:rPr>
          <w:bCs/>
        </w:rPr>
        <w:t xml:space="preserve">a) intercambio de información sobre nuevos desarrollos y avances en el sistema de protección de la propiedad industrial en los dos </w:t>
      </w:r>
      <w:r w:rsidR="00E94223">
        <w:rPr>
          <w:bCs/>
        </w:rPr>
        <w:t>países</w:t>
      </w:r>
      <w:r>
        <w:rPr>
          <w:bCs/>
        </w:rPr>
        <w:t xml:space="preserve">, en la medida que dicha </w:t>
      </w:r>
      <w:r w:rsidR="00E94223">
        <w:rPr>
          <w:bCs/>
        </w:rPr>
        <w:t>información</w:t>
      </w:r>
      <w:r>
        <w:rPr>
          <w:bCs/>
        </w:rPr>
        <w:t xml:space="preserve"> se </w:t>
      </w:r>
      <w:r w:rsidR="00E94223">
        <w:rPr>
          <w:bCs/>
        </w:rPr>
        <w:t>encuentre</w:t>
      </w:r>
      <w:r>
        <w:rPr>
          <w:bCs/>
        </w:rPr>
        <w:t xml:space="preserve"> disponible</w:t>
      </w:r>
      <w:r w:rsidR="004E2B4B">
        <w:rPr>
          <w:bCs/>
        </w:rPr>
        <w:t xml:space="preserve">, b) intercambio de experiencias y </w:t>
      </w:r>
      <w:r w:rsidR="00E94223">
        <w:rPr>
          <w:bCs/>
        </w:rPr>
        <w:t>conocimientos</w:t>
      </w:r>
      <w:r w:rsidR="004E2B4B">
        <w:rPr>
          <w:bCs/>
        </w:rPr>
        <w:t xml:space="preserve"> sobre el pa</w:t>
      </w:r>
      <w:r w:rsidR="005C099D">
        <w:rPr>
          <w:bCs/>
        </w:rPr>
        <w:t>pel</w:t>
      </w:r>
      <w:r w:rsidR="004E2B4B">
        <w:rPr>
          <w:bCs/>
        </w:rPr>
        <w:t xml:space="preserve"> de la OCPI y de la DNPI como entidades gubernamentales </w:t>
      </w:r>
      <w:r w:rsidR="00E94223">
        <w:rPr>
          <w:bCs/>
        </w:rPr>
        <w:t>promotoras</w:t>
      </w:r>
      <w:r w:rsidR="004E2B4B">
        <w:rPr>
          <w:bCs/>
        </w:rPr>
        <w:t xml:space="preserve"> de políticas de Propiedad </w:t>
      </w:r>
      <w:r w:rsidR="00E94223">
        <w:rPr>
          <w:bCs/>
        </w:rPr>
        <w:t>Industrial</w:t>
      </w:r>
      <w:r w:rsidR="004E2B4B">
        <w:rPr>
          <w:bCs/>
        </w:rPr>
        <w:t xml:space="preserve"> </w:t>
      </w:r>
      <w:r w:rsidR="00E94223">
        <w:rPr>
          <w:bCs/>
        </w:rPr>
        <w:t>insertada</w:t>
      </w:r>
      <w:r w:rsidR="004E2B4B">
        <w:rPr>
          <w:bCs/>
        </w:rPr>
        <w:t xml:space="preserve"> a las políticas </w:t>
      </w:r>
      <w:r w:rsidR="00E94223">
        <w:rPr>
          <w:bCs/>
        </w:rPr>
        <w:t>públicas</w:t>
      </w:r>
      <w:r w:rsidR="004E2B4B">
        <w:rPr>
          <w:bCs/>
        </w:rPr>
        <w:t xml:space="preserve"> de desarrollo, c) intercambio de experiencias y habilidades en la </w:t>
      </w:r>
      <w:r w:rsidR="00E94223">
        <w:rPr>
          <w:bCs/>
        </w:rPr>
        <w:t>administración</w:t>
      </w:r>
      <w:r w:rsidR="004E2B4B">
        <w:rPr>
          <w:bCs/>
        </w:rPr>
        <w:t xml:space="preserve"> </w:t>
      </w:r>
      <w:r w:rsidR="00E94223">
        <w:rPr>
          <w:bCs/>
        </w:rPr>
        <w:t>general</w:t>
      </w:r>
      <w:r w:rsidR="004E2B4B">
        <w:rPr>
          <w:bCs/>
        </w:rPr>
        <w:t xml:space="preserve"> de la OCPI y de la DNPI, incluyendo </w:t>
      </w:r>
      <w:r w:rsidR="00E94223">
        <w:rPr>
          <w:bCs/>
        </w:rPr>
        <w:t>recursos</w:t>
      </w:r>
      <w:r w:rsidR="004E2B4B">
        <w:rPr>
          <w:bCs/>
        </w:rPr>
        <w:t xml:space="preserve"> humanos, </w:t>
      </w:r>
      <w:r w:rsidR="00E94223">
        <w:rPr>
          <w:bCs/>
        </w:rPr>
        <w:t>capacitación</w:t>
      </w:r>
      <w:r w:rsidR="004E2B4B">
        <w:rPr>
          <w:bCs/>
        </w:rPr>
        <w:t xml:space="preserve"> y calidad de los procesos </w:t>
      </w:r>
      <w:r w:rsidR="00E94223">
        <w:rPr>
          <w:bCs/>
        </w:rPr>
        <w:t>administrativos</w:t>
      </w:r>
      <w:r w:rsidR="004E2B4B">
        <w:rPr>
          <w:bCs/>
        </w:rPr>
        <w:t xml:space="preserve">, </w:t>
      </w:r>
      <w:r w:rsidR="005C099D">
        <w:rPr>
          <w:bCs/>
        </w:rPr>
        <w:t>d</w:t>
      </w:r>
      <w:r w:rsidR="004E2B4B">
        <w:rPr>
          <w:bCs/>
        </w:rPr>
        <w:t>)</w:t>
      </w:r>
      <w:r w:rsidR="005C099D">
        <w:rPr>
          <w:bCs/>
        </w:rPr>
        <w:t xml:space="preserve"> </w:t>
      </w:r>
      <w:r w:rsidR="004E2B4B">
        <w:rPr>
          <w:bCs/>
        </w:rPr>
        <w:t>intercambio d</w:t>
      </w:r>
      <w:r w:rsidR="005C099D">
        <w:rPr>
          <w:bCs/>
        </w:rPr>
        <w:t>e</w:t>
      </w:r>
      <w:r w:rsidR="004E2B4B">
        <w:rPr>
          <w:bCs/>
        </w:rPr>
        <w:t xml:space="preserve"> experiencia y </w:t>
      </w:r>
      <w:r w:rsidR="00E94223">
        <w:rPr>
          <w:bCs/>
        </w:rPr>
        <w:t>conocimientos</w:t>
      </w:r>
      <w:r w:rsidR="004E2B4B">
        <w:rPr>
          <w:bCs/>
        </w:rPr>
        <w:t xml:space="preserve"> sobre l</w:t>
      </w:r>
      <w:r w:rsidR="00E94223">
        <w:rPr>
          <w:bCs/>
        </w:rPr>
        <w:t>a</w:t>
      </w:r>
      <w:r w:rsidR="004E2B4B">
        <w:rPr>
          <w:bCs/>
        </w:rPr>
        <w:t xml:space="preserve"> </w:t>
      </w:r>
      <w:r w:rsidR="00E94223">
        <w:rPr>
          <w:bCs/>
        </w:rPr>
        <w:t>provisión</w:t>
      </w:r>
      <w:r w:rsidR="004E2B4B">
        <w:rPr>
          <w:bCs/>
        </w:rPr>
        <w:t xml:space="preserve"> de información tecnológica par</w:t>
      </w:r>
      <w:r w:rsidR="00E94223">
        <w:rPr>
          <w:bCs/>
        </w:rPr>
        <w:t>a</w:t>
      </w:r>
      <w:r w:rsidR="004E2B4B">
        <w:rPr>
          <w:bCs/>
        </w:rPr>
        <w:t xml:space="preserve"> el desarrollo económico, </w:t>
      </w:r>
      <w:r w:rsidR="005C099D">
        <w:rPr>
          <w:bCs/>
        </w:rPr>
        <w:t>e</w:t>
      </w:r>
      <w:r w:rsidR="004E2B4B">
        <w:rPr>
          <w:bCs/>
        </w:rPr>
        <w:t xml:space="preserve">) </w:t>
      </w:r>
      <w:r w:rsidR="00E94223">
        <w:rPr>
          <w:bCs/>
        </w:rPr>
        <w:t>ejecución</w:t>
      </w:r>
      <w:r w:rsidR="004E2B4B">
        <w:rPr>
          <w:bCs/>
        </w:rPr>
        <w:t xml:space="preserve"> de proyectos conjuntos que estimulen el uso de las herramientas de la propiedad industrial, </w:t>
      </w:r>
      <w:r w:rsidR="00E94223">
        <w:rPr>
          <w:bCs/>
        </w:rPr>
        <w:t>especialmente</w:t>
      </w:r>
      <w:r w:rsidR="004E2B4B">
        <w:rPr>
          <w:bCs/>
        </w:rPr>
        <w:t xml:space="preserve"> en el área </w:t>
      </w:r>
      <w:r w:rsidR="00E94223">
        <w:rPr>
          <w:bCs/>
        </w:rPr>
        <w:t>Información</w:t>
      </w:r>
      <w:r w:rsidR="004E2B4B">
        <w:rPr>
          <w:bCs/>
        </w:rPr>
        <w:t xml:space="preserve"> </w:t>
      </w:r>
      <w:r w:rsidR="00E94223">
        <w:rPr>
          <w:bCs/>
        </w:rPr>
        <w:t>Tecnológica</w:t>
      </w:r>
      <w:r w:rsidR="004E2B4B">
        <w:rPr>
          <w:bCs/>
        </w:rPr>
        <w:t xml:space="preserve">, </w:t>
      </w:r>
      <w:r w:rsidR="005C099D">
        <w:rPr>
          <w:bCs/>
        </w:rPr>
        <w:t>f</w:t>
      </w:r>
      <w:r w:rsidR="004E2B4B">
        <w:rPr>
          <w:bCs/>
        </w:rPr>
        <w:t xml:space="preserve">) intercambio de experiencias y expertos, involucrados en proyectos de </w:t>
      </w:r>
      <w:r w:rsidR="00E94223">
        <w:rPr>
          <w:bCs/>
        </w:rPr>
        <w:t>enseñanza</w:t>
      </w:r>
      <w:r w:rsidR="004E2B4B">
        <w:rPr>
          <w:bCs/>
        </w:rPr>
        <w:t xml:space="preserve"> de la Propiedad Industrial;</w:t>
      </w:r>
    </w:p>
    <w:p w:rsidR="007005DD" w:rsidRDefault="00E94223" w:rsidP="00BF6609">
      <w:pPr>
        <w:spacing w:line="360" w:lineRule="auto"/>
        <w:jc w:val="both"/>
        <w:rPr>
          <w:bCs/>
        </w:rPr>
      </w:pPr>
      <w:r>
        <w:rPr>
          <w:bCs/>
        </w:rPr>
        <w:t xml:space="preserve">              </w:t>
      </w:r>
      <w:r w:rsidR="005C099D">
        <w:rPr>
          <w:bCs/>
        </w:rPr>
        <w:t xml:space="preserve">              </w:t>
      </w:r>
      <w:r w:rsidR="009F23B1">
        <w:rPr>
          <w:bCs/>
        </w:rPr>
        <w:t xml:space="preserve">             </w:t>
      </w:r>
      <w:r w:rsidR="004E2B4B" w:rsidRPr="00E94223">
        <w:rPr>
          <w:b/>
          <w:bCs/>
        </w:rPr>
        <w:t>5)</w:t>
      </w:r>
      <w:r w:rsidR="004E2B4B">
        <w:rPr>
          <w:bCs/>
        </w:rPr>
        <w:t xml:space="preserve"> que las partes </w:t>
      </w:r>
      <w:r>
        <w:rPr>
          <w:bCs/>
        </w:rPr>
        <w:t>financiarán</w:t>
      </w:r>
      <w:r w:rsidR="004E2B4B">
        <w:rPr>
          <w:bCs/>
        </w:rPr>
        <w:t xml:space="preserve"> las actividades de cooperación en el </w:t>
      </w:r>
      <w:r>
        <w:rPr>
          <w:bCs/>
        </w:rPr>
        <w:t>marco</w:t>
      </w:r>
      <w:r w:rsidR="004E2B4B">
        <w:rPr>
          <w:bCs/>
        </w:rPr>
        <w:t xml:space="preserve"> del Memorando referido, con los recur</w:t>
      </w:r>
      <w:r w:rsidR="007005DD">
        <w:rPr>
          <w:bCs/>
        </w:rPr>
        <w:t>sos financieros asignados en sus respe</w:t>
      </w:r>
      <w:r>
        <w:rPr>
          <w:bCs/>
        </w:rPr>
        <w:t>c</w:t>
      </w:r>
      <w:r w:rsidR="007005DD">
        <w:rPr>
          <w:bCs/>
        </w:rPr>
        <w:t>tivo</w:t>
      </w:r>
      <w:r>
        <w:rPr>
          <w:bCs/>
        </w:rPr>
        <w:t>s</w:t>
      </w:r>
      <w:r w:rsidR="007005DD">
        <w:rPr>
          <w:bCs/>
        </w:rPr>
        <w:t xml:space="preserve"> </w:t>
      </w:r>
      <w:r>
        <w:rPr>
          <w:bCs/>
        </w:rPr>
        <w:t>presupuestos</w:t>
      </w:r>
      <w:r w:rsidR="007005DD">
        <w:rPr>
          <w:bCs/>
        </w:rPr>
        <w:t xml:space="preserve">, de conformidad con su </w:t>
      </w:r>
      <w:r>
        <w:rPr>
          <w:bCs/>
        </w:rPr>
        <w:t>disponibilidad</w:t>
      </w:r>
      <w:r w:rsidR="007005DD">
        <w:rPr>
          <w:bCs/>
        </w:rPr>
        <w:t xml:space="preserve">, afectación </w:t>
      </w:r>
      <w:r>
        <w:rPr>
          <w:bCs/>
        </w:rPr>
        <w:t>presupuestal</w:t>
      </w:r>
      <w:r w:rsidR="007005DD">
        <w:rPr>
          <w:bCs/>
        </w:rPr>
        <w:t xml:space="preserve"> y lo </w:t>
      </w:r>
      <w:r>
        <w:rPr>
          <w:bCs/>
        </w:rPr>
        <w:t>dispuesto</w:t>
      </w:r>
      <w:r w:rsidR="007005DD">
        <w:rPr>
          <w:bCs/>
        </w:rPr>
        <w:t xml:space="preserve"> por su legislación nacional. Las partes se obligan a que los gastos </w:t>
      </w:r>
      <w:r>
        <w:rPr>
          <w:bCs/>
        </w:rPr>
        <w:t>resultantes</w:t>
      </w:r>
      <w:r w:rsidR="007005DD">
        <w:rPr>
          <w:bCs/>
        </w:rPr>
        <w:t xml:space="preserve"> de las actividades, emanadas del </w:t>
      </w:r>
      <w:r>
        <w:rPr>
          <w:bCs/>
        </w:rPr>
        <w:t>presente</w:t>
      </w:r>
      <w:r w:rsidR="007005DD">
        <w:rPr>
          <w:bCs/>
        </w:rPr>
        <w:t xml:space="preserve"> Me</w:t>
      </w:r>
      <w:r>
        <w:rPr>
          <w:bCs/>
        </w:rPr>
        <w:t>m</w:t>
      </w:r>
      <w:r w:rsidR="007005DD">
        <w:rPr>
          <w:bCs/>
        </w:rPr>
        <w:t xml:space="preserve">orando, sean </w:t>
      </w:r>
      <w:r>
        <w:rPr>
          <w:bCs/>
        </w:rPr>
        <w:t>financia</w:t>
      </w:r>
      <w:r w:rsidR="005C099D">
        <w:rPr>
          <w:bCs/>
        </w:rPr>
        <w:t>dos</w:t>
      </w:r>
      <w:r w:rsidR="007005DD">
        <w:rPr>
          <w:bCs/>
        </w:rPr>
        <w:t xml:space="preserve"> por la p</w:t>
      </w:r>
      <w:r>
        <w:rPr>
          <w:bCs/>
        </w:rPr>
        <w:t>a</w:t>
      </w:r>
      <w:r w:rsidR="007005DD">
        <w:rPr>
          <w:bCs/>
        </w:rPr>
        <w:t>rte que incurra en éstos, exceptuando los casos en que existan mecanis</w:t>
      </w:r>
      <w:r>
        <w:rPr>
          <w:bCs/>
        </w:rPr>
        <w:t>m</w:t>
      </w:r>
      <w:r w:rsidR="007005DD">
        <w:rPr>
          <w:bCs/>
        </w:rPr>
        <w:t>os de fin</w:t>
      </w:r>
      <w:r>
        <w:rPr>
          <w:bCs/>
        </w:rPr>
        <w:t>ancia</w:t>
      </w:r>
      <w:r w:rsidR="007005DD">
        <w:rPr>
          <w:bCs/>
        </w:rPr>
        <w:t>mi</w:t>
      </w:r>
      <w:r>
        <w:rPr>
          <w:bCs/>
        </w:rPr>
        <w:t>e</w:t>
      </w:r>
      <w:r w:rsidR="007005DD">
        <w:rPr>
          <w:bCs/>
        </w:rPr>
        <w:t>n</w:t>
      </w:r>
      <w:r>
        <w:rPr>
          <w:bCs/>
        </w:rPr>
        <w:t>t</w:t>
      </w:r>
      <w:r w:rsidR="007005DD">
        <w:rPr>
          <w:bCs/>
        </w:rPr>
        <w:t xml:space="preserve">o alternos para actividades </w:t>
      </w:r>
      <w:r>
        <w:rPr>
          <w:bCs/>
        </w:rPr>
        <w:t>específicas</w:t>
      </w:r>
      <w:r w:rsidR="007005DD">
        <w:rPr>
          <w:bCs/>
        </w:rPr>
        <w:t xml:space="preserve">, siempre y </w:t>
      </w:r>
      <w:r>
        <w:rPr>
          <w:bCs/>
        </w:rPr>
        <w:t>cuando</w:t>
      </w:r>
      <w:r w:rsidR="007005DD">
        <w:rPr>
          <w:bCs/>
        </w:rPr>
        <w:t xml:space="preserve"> las partes lo consideren </w:t>
      </w:r>
      <w:r>
        <w:rPr>
          <w:bCs/>
        </w:rPr>
        <w:t>apropiado</w:t>
      </w:r>
      <w:r w:rsidR="007005DD">
        <w:rPr>
          <w:bCs/>
        </w:rPr>
        <w:t xml:space="preserve">. En el caso </w:t>
      </w:r>
      <w:r>
        <w:rPr>
          <w:bCs/>
        </w:rPr>
        <w:t>específico</w:t>
      </w:r>
      <w:r w:rsidR="007005DD">
        <w:rPr>
          <w:bCs/>
        </w:rPr>
        <w:t xml:space="preserve"> de </w:t>
      </w:r>
      <w:r>
        <w:rPr>
          <w:bCs/>
        </w:rPr>
        <w:t>intercambio</w:t>
      </w:r>
      <w:r w:rsidR="007005DD">
        <w:rPr>
          <w:bCs/>
        </w:rPr>
        <w:t xml:space="preserve"> de personal, las partes </w:t>
      </w:r>
      <w:r>
        <w:rPr>
          <w:bCs/>
        </w:rPr>
        <w:t>formularán</w:t>
      </w:r>
      <w:r w:rsidR="007005DD">
        <w:rPr>
          <w:bCs/>
        </w:rPr>
        <w:t xml:space="preserve"> los términos y condi</w:t>
      </w:r>
      <w:r>
        <w:rPr>
          <w:bCs/>
        </w:rPr>
        <w:t>cio</w:t>
      </w:r>
      <w:r w:rsidR="007005DD">
        <w:rPr>
          <w:bCs/>
        </w:rPr>
        <w:t xml:space="preserve">nes </w:t>
      </w:r>
      <w:r>
        <w:rPr>
          <w:bCs/>
        </w:rPr>
        <w:t>financieras</w:t>
      </w:r>
      <w:r w:rsidR="007005DD">
        <w:rPr>
          <w:bCs/>
        </w:rPr>
        <w:t xml:space="preserve"> aplicables, de</w:t>
      </w:r>
      <w:r>
        <w:rPr>
          <w:bCs/>
        </w:rPr>
        <w:t xml:space="preserve"> </w:t>
      </w:r>
      <w:r w:rsidR="007005DD">
        <w:rPr>
          <w:bCs/>
        </w:rPr>
        <w:t>manera previa y por escrit</w:t>
      </w:r>
      <w:r>
        <w:rPr>
          <w:bCs/>
        </w:rPr>
        <w:t>o</w:t>
      </w:r>
      <w:r w:rsidR="007005DD">
        <w:rPr>
          <w:bCs/>
        </w:rPr>
        <w:t>;</w:t>
      </w:r>
    </w:p>
    <w:p w:rsidR="007005DD" w:rsidRDefault="00E94223" w:rsidP="00BF6609">
      <w:pPr>
        <w:spacing w:line="360" w:lineRule="auto"/>
        <w:jc w:val="both"/>
        <w:rPr>
          <w:bCs/>
        </w:rPr>
      </w:pPr>
      <w:r>
        <w:rPr>
          <w:bCs/>
        </w:rPr>
        <w:t xml:space="preserve">              </w:t>
      </w:r>
      <w:r w:rsidR="005C099D">
        <w:rPr>
          <w:bCs/>
        </w:rPr>
        <w:t xml:space="preserve">           </w:t>
      </w:r>
      <w:r>
        <w:rPr>
          <w:bCs/>
        </w:rPr>
        <w:t xml:space="preserve"> </w:t>
      </w:r>
      <w:r w:rsidR="006F59AD">
        <w:rPr>
          <w:bCs/>
        </w:rPr>
        <w:t xml:space="preserve"> </w:t>
      </w:r>
      <w:r w:rsidR="009F23B1">
        <w:rPr>
          <w:bCs/>
        </w:rPr>
        <w:t xml:space="preserve">              </w:t>
      </w:r>
      <w:r w:rsidR="007005DD" w:rsidRPr="00E94223">
        <w:rPr>
          <w:b/>
          <w:bCs/>
        </w:rPr>
        <w:t>6)</w:t>
      </w:r>
      <w:r w:rsidR="007005DD">
        <w:rPr>
          <w:bCs/>
        </w:rPr>
        <w:t xml:space="preserve"> que los detalles para la </w:t>
      </w:r>
      <w:r>
        <w:rPr>
          <w:bCs/>
        </w:rPr>
        <w:t>implementación</w:t>
      </w:r>
      <w:r w:rsidR="007005DD">
        <w:rPr>
          <w:bCs/>
        </w:rPr>
        <w:t xml:space="preserve"> del Memorando serán definidos de acuerdo a lo q</w:t>
      </w:r>
      <w:r>
        <w:rPr>
          <w:bCs/>
        </w:rPr>
        <w:t>u</w:t>
      </w:r>
      <w:r w:rsidR="007005DD">
        <w:rPr>
          <w:bCs/>
        </w:rPr>
        <w:t>e dispongan las autoridad</w:t>
      </w:r>
      <w:r>
        <w:rPr>
          <w:bCs/>
        </w:rPr>
        <w:t>e</w:t>
      </w:r>
      <w:r w:rsidR="007005DD">
        <w:rPr>
          <w:bCs/>
        </w:rPr>
        <w:t xml:space="preserve">s de </w:t>
      </w:r>
      <w:r w:rsidR="007005DD">
        <w:rPr>
          <w:bCs/>
        </w:rPr>
        <w:lastRenderedPageBreak/>
        <w:t xml:space="preserve">las instituciones que suscriben, con el </w:t>
      </w:r>
      <w:r>
        <w:rPr>
          <w:bCs/>
        </w:rPr>
        <w:t>asesoramiento</w:t>
      </w:r>
      <w:r w:rsidR="007005DD">
        <w:rPr>
          <w:bCs/>
        </w:rPr>
        <w:t xml:space="preserve"> de las áreas institucional</w:t>
      </w:r>
      <w:r w:rsidR="0059763F">
        <w:rPr>
          <w:bCs/>
        </w:rPr>
        <w:t>es</w:t>
      </w:r>
      <w:r w:rsidR="007005DD">
        <w:rPr>
          <w:bCs/>
        </w:rPr>
        <w:t xml:space="preserve"> que éstos señalen;</w:t>
      </w:r>
    </w:p>
    <w:p w:rsidR="00C741AE" w:rsidRDefault="00E94223" w:rsidP="00BF6609">
      <w:pPr>
        <w:spacing w:line="360" w:lineRule="auto"/>
        <w:jc w:val="both"/>
        <w:rPr>
          <w:bCs/>
        </w:rPr>
      </w:pPr>
      <w:r>
        <w:rPr>
          <w:bCs/>
        </w:rPr>
        <w:t xml:space="preserve">               </w:t>
      </w:r>
      <w:r w:rsidR="005C099D">
        <w:rPr>
          <w:bCs/>
        </w:rPr>
        <w:t xml:space="preserve">         </w:t>
      </w:r>
      <w:r w:rsidR="00023563">
        <w:rPr>
          <w:bCs/>
        </w:rPr>
        <w:t xml:space="preserve"> </w:t>
      </w:r>
      <w:r w:rsidR="006F59AD">
        <w:rPr>
          <w:bCs/>
        </w:rPr>
        <w:t xml:space="preserve"> </w:t>
      </w:r>
      <w:r w:rsidR="005C099D">
        <w:rPr>
          <w:bCs/>
        </w:rPr>
        <w:t xml:space="preserve"> </w:t>
      </w:r>
      <w:r w:rsidR="009F23B1">
        <w:rPr>
          <w:bCs/>
        </w:rPr>
        <w:t xml:space="preserve">              </w:t>
      </w:r>
      <w:r w:rsidR="007005DD" w:rsidRPr="00E94223">
        <w:rPr>
          <w:b/>
          <w:bCs/>
        </w:rPr>
        <w:t>7)</w:t>
      </w:r>
      <w:r w:rsidR="007005DD">
        <w:rPr>
          <w:bCs/>
        </w:rPr>
        <w:t xml:space="preserve"> que las </w:t>
      </w:r>
      <w:r>
        <w:rPr>
          <w:bCs/>
        </w:rPr>
        <w:t>partes</w:t>
      </w:r>
      <w:r w:rsidR="007005DD">
        <w:rPr>
          <w:bCs/>
        </w:rPr>
        <w:t xml:space="preserve"> conviene</w:t>
      </w:r>
      <w:r w:rsidR="005C099D">
        <w:rPr>
          <w:bCs/>
        </w:rPr>
        <w:t>n</w:t>
      </w:r>
      <w:r w:rsidR="007005DD">
        <w:rPr>
          <w:bCs/>
        </w:rPr>
        <w:t xml:space="preserve"> que en los </w:t>
      </w:r>
      <w:r>
        <w:rPr>
          <w:bCs/>
        </w:rPr>
        <w:t>a</w:t>
      </w:r>
      <w:r w:rsidR="007005DD">
        <w:rPr>
          <w:bCs/>
        </w:rPr>
        <w:t xml:space="preserve">cuerdos </w:t>
      </w:r>
      <w:r>
        <w:rPr>
          <w:bCs/>
        </w:rPr>
        <w:t>específicos</w:t>
      </w:r>
      <w:r w:rsidR="007005DD">
        <w:rPr>
          <w:bCs/>
        </w:rPr>
        <w:t xml:space="preserve"> que se deriven de</w:t>
      </w:r>
      <w:r w:rsidR="005C099D">
        <w:rPr>
          <w:bCs/>
        </w:rPr>
        <w:t>l Memorando</w:t>
      </w:r>
      <w:r w:rsidR="007005DD">
        <w:rPr>
          <w:bCs/>
        </w:rPr>
        <w:t xml:space="preserve">, se establecerán las </w:t>
      </w:r>
      <w:r>
        <w:rPr>
          <w:bCs/>
        </w:rPr>
        <w:t>disposiciones</w:t>
      </w:r>
      <w:r w:rsidR="007005DD">
        <w:rPr>
          <w:bCs/>
        </w:rPr>
        <w:t xml:space="preserve"> dirigidas a regular lo</w:t>
      </w:r>
      <w:r>
        <w:rPr>
          <w:bCs/>
        </w:rPr>
        <w:t>s</w:t>
      </w:r>
      <w:r w:rsidR="007005DD">
        <w:rPr>
          <w:bCs/>
        </w:rPr>
        <w:t xml:space="preserve"> derechos y obligaciones sobre la </w:t>
      </w:r>
      <w:r>
        <w:rPr>
          <w:bCs/>
        </w:rPr>
        <w:t>Propiedad</w:t>
      </w:r>
      <w:r w:rsidR="007005DD">
        <w:rPr>
          <w:bCs/>
        </w:rPr>
        <w:t xml:space="preserve"> Intelectual que se g</w:t>
      </w:r>
      <w:r>
        <w:rPr>
          <w:bCs/>
        </w:rPr>
        <w:t>e</w:t>
      </w:r>
      <w:r w:rsidR="007005DD">
        <w:rPr>
          <w:bCs/>
        </w:rPr>
        <w:t>ner</w:t>
      </w:r>
      <w:r>
        <w:rPr>
          <w:bCs/>
        </w:rPr>
        <w:t>en</w:t>
      </w:r>
      <w:r w:rsidR="007005DD">
        <w:rPr>
          <w:bCs/>
        </w:rPr>
        <w:t>;</w:t>
      </w:r>
    </w:p>
    <w:p w:rsidR="00C741AE" w:rsidRDefault="00E94223" w:rsidP="00BF6609">
      <w:pPr>
        <w:spacing w:line="360" w:lineRule="auto"/>
        <w:jc w:val="both"/>
        <w:rPr>
          <w:bCs/>
        </w:rPr>
      </w:pPr>
      <w:r>
        <w:rPr>
          <w:bCs/>
        </w:rPr>
        <w:t xml:space="preserve">              </w:t>
      </w:r>
      <w:r w:rsidR="005C099D">
        <w:rPr>
          <w:bCs/>
        </w:rPr>
        <w:t xml:space="preserve">          </w:t>
      </w:r>
      <w:r>
        <w:rPr>
          <w:bCs/>
        </w:rPr>
        <w:t xml:space="preserve"> </w:t>
      </w:r>
      <w:r w:rsidR="006F59AD">
        <w:rPr>
          <w:bCs/>
        </w:rPr>
        <w:t xml:space="preserve"> </w:t>
      </w:r>
      <w:r w:rsidR="00023563">
        <w:rPr>
          <w:bCs/>
        </w:rPr>
        <w:t xml:space="preserve"> </w:t>
      </w:r>
      <w:r w:rsidR="009F23B1">
        <w:rPr>
          <w:bCs/>
        </w:rPr>
        <w:t xml:space="preserve">              </w:t>
      </w:r>
      <w:r w:rsidR="00C741AE" w:rsidRPr="00E94223">
        <w:rPr>
          <w:b/>
          <w:bCs/>
        </w:rPr>
        <w:t>8)</w:t>
      </w:r>
      <w:r>
        <w:rPr>
          <w:bCs/>
        </w:rPr>
        <w:t xml:space="preserve"> </w:t>
      </w:r>
      <w:r w:rsidR="00C741AE">
        <w:rPr>
          <w:bCs/>
        </w:rPr>
        <w:t xml:space="preserve">que el Memorando tendrá una vigencia de 5 años desde el </w:t>
      </w:r>
      <w:r>
        <w:rPr>
          <w:bCs/>
        </w:rPr>
        <w:t>día</w:t>
      </w:r>
      <w:r w:rsidR="00C741AE">
        <w:rPr>
          <w:bCs/>
        </w:rPr>
        <w:t xml:space="preserve"> de su firma, a menos que una de las partes notifique por escrito a la otra su in</w:t>
      </w:r>
      <w:r w:rsidR="005C099D">
        <w:rPr>
          <w:bCs/>
        </w:rPr>
        <w:t>tención de darlo por terminado.</w:t>
      </w:r>
      <w:r w:rsidR="00C741AE">
        <w:rPr>
          <w:bCs/>
        </w:rPr>
        <w:t xml:space="preserve"> La misma se </w:t>
      </w:r>
      <w:r w:rsidR="00121B6B">
        <w:rPr>
          <w:bCs/>
        </w:rPr>
        <w:t>deberá</w:t>
      </w:r>
      <w:r w:rsidR="00C741AE">
        <w:rPr>
          <w:bCs/>
        </w:rPr>
        <w:t xml:space="preserve"> </w:t>
      </w:r>
      <w:r w:rsidR="00121B6B">
        <w:rPr>
          <w:bCs/>
        </w:rPr>
        <w:t>comunicar</w:t>
      </w:r>
      <w:r w:rsidR="00C741AE">
        <w:rPr>
          <w:bCs/>
        </w:rPr>
        <w:t xml:space="preserve"> en un plazo no menor a 30 </w:t>
      </w:r>
      <w:r w:rsidR="00121B6B">
        <w:rPr>
          <w:bCs/>
        </w:rPr>
        <w:t>días</w:t>
      </w:r>
      <w:r w:rsidR="00C741AE">
        <w:rPr>
          <w:bCs/>
        </w:rPr>
        <w:t xml:space="preserve"> de su intención de darlo por </w:t>
      </w:r>
      <w:r w:rsidR="00121B6B">
        <w:rPr>
          <w:bCs/>
        </w:rPr>
        <w:t>finalizado</w:t>
      </w:r>
      <w:r w:rsidR="00C741AE">
        <w:rPr>
          <w:bCs/>
        </w:rPr>
        <w:t>;</w:t>
      </w:r>
    </w:p>
    <w:p w:rsidR="00C741AE" w:rsidRDefault="00121B6B" w:rsidP="00BF6609">
      <w:pPr>
        <w:spacing w:line="360" w:lineRule="auto"/>
        <w:jc w:val="both"/>
        <w:rPr>
          <w:bCs/>
        </w:rPr>
      </w:pPr>
      <w:r w:rsidRPr="00121B6B">
        <w:rPr>
          <w:b/>
          <w:bCs/>
        </w:rPr>
        <w:t xml:space="preserve">                      </w:t>
      </w:r>
      <w:r w:rsidR="005C099D">
        <w:rPr>
          <w:b/>
          <w:bCs/>
        </w:rPr>
        <w:t xml:space="preserve">  </w:t>
      </w:r>
      <w:r w:rsidR="009F23B1">
        <w:rPr>
          <w:b/>
          <w:bCs/>
        </w:rPr>
        <w:t xml:space="preserve">               </w:t>
      </w:r>
      <w:r w:rsidR="00023563">
        <w:rPr>
          <w:b/>
          <w:bCs/>
        </w:rPr>
        <w:t xml:space="preserve"> </w:t>
      </w:r>
      <w:r w:rsidR="00C741AE" w:rsidRPr="00121B6B">
        <w:rPr>
          <w:b/>
          <w:bCs/>
        </w:rPr>
        <w:t>9)</w:t>
      </w:r>
      <w:r w:rsidR="00C741AE">
        <w:rPr>
          <w:bCs/>
        </w:rPr>
        <w:t xml:space="preserve"> que se adjunta proyecto de </w:t>
      </w:r>
      <w:r>
        <w:rPr>
          <w:bCs/>
        </w:rPr>
        <w:t>Resolución</w:t>
      </w:r>
      <w:r w:rsidR="00C741AE">
        <w:rPr>
          <w:bCs/>
        </w:rPr>
        <w:t xml:space="preserve"> del MIEM por la cual se aprueba </w:t>
      </w:r>
      <w:r w:rsidR="0059763F">
        <w:rPr>
          <w:bCs/>
        </w:rPr>
        <w:t>-</w:t>
      </w:r>
      <w:r w:rsidR="00C741AE">
        <w:rPr>
          <w:bCs/>
        </w:rPr>
        <w:t xml:space="preserve">ad </w:t>
      </w:r>
      <w:r>
        <w:rPr>
          <w:bCs/>
        </w:rPr>
        <w:t>referéndum</w:t>
      </w:r>
      <w:r w:rsidR="00C741AE">
        <w:rPr>
          <w:bCs/>
        </w:rPr>
        <w:t xml:space="preserve"> de este Tribunal</w:t>
      </w:r>
      <w:r w:rsidR="0059763F">
        <w:rPr>
          <w:bCs/>
        </w:rPr>
        <w:t>-</w:t>
      </w:r>
      <w:r w:rsidR="00C741AE">
        <w:rPr>
          <w:bCs/>
        </w:rPr>
        <w:t xml:space="preserve"> la celebración del Memorando mencion</w:t>
      </w:r>
      <w:r>
        <w:rPr>
          <w:bCs/>
        </w:rPr>
        <w:t>a</w:t>
      </w:r>
      <w:r w:rsidR="00C741AE">
        <w:rPr>
          <w:bCs/>
        </w:rPr>
        <w:t>do, estableciéndose que las partes fina</w:t>
      </w:r>
      <w:r>
        <w:rPr>
          <w:bCs/>
        </w:rPr>
        <w:t>nc</w:t>
      </w:r>
      <w:r w:rsidR="00C741AE">
        <w:rPr>
          <w:bCs/>
        </w:rPr>
        <w:t>iar</w:t>
      </w:r>
      <w:r>
        <w:rPr>
          <w:bCs/>
        </w:rPr>
        <w:t>á</w:t>
      </w:r>
      <w:r w:rsidR="00C741AE">
        <w:rPr>
          <w:bCs/>
        </w:rPr>
        <w:t xml:space="preserve">n las </w:t>
      </w:r>
      <w:r>
        <w:rPr>
          <w:bCs/>
        </w:rPr>
        <w:t>ac</w:t>
      </w:r>
      <w:r w:rsidR="00C741AE">
        <w:rPr>
          <w:bCs/>
        </w:rPr>
        <w:t>tividades de cooperación a realizarse en el marco del Memorando, con los recursos financiero</w:t>
      </w:r>
      <w:r w:rsidR="00023563">
        <w:rPr>
          <w:bCs/>
        </w:rPr>
        <w:t>s</w:t>
      </w:r>
      <w:r w:rsidR="00C741AE">
        <w:rPr>
          <w:bCs/>
        </w:rPr>
        <w:t xml:space="preserve"> asignados  en sus respectivos presupuestos, de conformidad con su </w:t>
      </w:r>
      <w:r>
        <w:rPr>
          <w:bCs/>
        </w:rPr>
        <w:t>disponibilidad</w:t>
      </w:r>
      <w:r w:rsidR="00C741AE">
        <w:rPr>
          <w:bCs/>
        </w:rPr>
        <w:t xml:space="preserve"> y </w:t>
      </w:r>
      <w:r>
        <w:rPr>
          <w:bCs/>
        </w:rPr>
        <w:t>afectación</w:t>
      </w:r>
      <w:r w:rsidR="00C741AE">
        <w:rPr>
          <w:bCs/>
        </w:rPr>
        <w:t xml:space="preserve"> </w:t>
      </w:r>
      <w:r>
        <w:rPr>
          <w:bCs/>
        </w:rPr>
        <w:t>pr</w:t>
      </w:r>
      <w:r w:rsidR="00C741AE">
        <w:rPr>
          <w:bCs/>
        </w:rPr>
        <w:t>esup</w:t>
      </w:r>
      <w:r>
        <w:rPr>
          <w:bCs/>
        </w:rPr>
        <w:t>u</w:t>
      </w:r>
      <w:r w:rsidR="00C741AE">
        <w:rPr>
          <w:bCs/>
        </w:rPr>
        <w:t>e</w:t>
      </w:r>
      <w:r>
        <w:rPr>
          <w:bCs/>
        </w:rPr>
        <w:t>s</w:t>
      </w:r>
      <w:r w:rsidR="00C741AE">
        <w:rPr>
          <w:bCs/>
        </w:rPr>
        <w:t>tal;</w:t>
      </w:r>
    </w:p>
    <w:p w:rsidR="00910F3F" w:rsidRDefault="00BF6609" w:rsidP="009F23B1">
      <w:pPr>
        <w:tabs>
          <w:tab w:val="left" w:pos="2127"/>
        </w:tabs>
        <w:spacing w:line="360" w:lineRule="auto"/>
        <w:ind w:firstLine="851"/>
        <w:jc w:val="both"/>
        <w:rPr>
          <w:b/>
          <w:bCs/>
        </w:rPr>
      </w:pPr>
      <w:r w:rsidRPr="00456115">
        <w:rPr>
          <w:rFonts w:cs="Arial"/>
          <w:b/>
          <w:bCs/>
        </w:rPr>
        <w:t>CONSIDERANDO:</w:t>
      </w:r>
      <w:r>
        <w:rPr>
          <w:b/>
          <w:bCs/>
        </w:rPr>
        <w:t xml:space="preserve"> </w:t>
      </w:r>
      <w:r w:rsidR="00910F3F">
        <w:rPr>
          <w:b/>
        </w:rPr>
        <w:t xml:space="preserve">1) </w:t>
      </w:r>
      <w:r w:rsidR="00910F3F" w:rsidRPr="006C66D1">
        <w:rPr>
          <w:bCs/>
          <w:lang w:val="es-ES_tradnl"/>
        </w:rPr>
        <w:t xml:space="preserve">que </w:t>
      </w:r>
      <w:r w:rsidR="00910F3F">
        <w:rPr>
          <w:bCs/>
          <w:lang w:val="es-ES_tradnl"/>
        </w:rPr>
        <w:t>el D</w:t>
      </w:r>
      <w:r w:rsidR="00910F3F" w:rsidRPr="006C66D1">
        <w:rPr>
          <w:bCs/>
          <w:lang w:val="es-ES_tradnl"/>
        </w:rPr>
        <w:t xml:space="preserve">ecreto Nº 190/997 </w:t>
      </w:r>
      <w:r w:rsidR="00910F3F" w:rsidRPr="006C66D1">
        <w:rPr>
          <w:bCs/>
        </w:rPr>
        <w:t>de</w:t>
      </w:r>
      <w:r w:rsidR="00910F3F">
        <w:rPr>
          <w:bCs/>
        </w:rPr>
        <w:t xml:space="preserve">l </w:t>
      </w:r>
      <w:r w:rsidR="00910F3F" w:rsidRPr="006C66D1">
        <w:rPr>
          <w:bCs/>
        </w:rPr>
        <w:t xml:space="preserve"> 4</w:t>
      </w:r>
      <w:r w:rsidR="00910F3F">
        <w:rPr>
          <w:bCs/>
        </w:rPr>
        <w:t xml:space="preserve"> de junio de 1997,</w:t>
      </w:r>
      <w:r w:rsidR="00910F3F" w:rsidRPr="006C66D1">
        <w:rPr>
          <w:bCs/>
        </w:rPr>
        <w:t xml:space="preserve"> </w:t>
      </w:r>
      <w:r w:rsidR="00910F3F" w:rsidRPr="006C66D1">
        <w:rPr>
          <w:bCs/>
          <w:lang w:val="es-ES_tradnl"/>
        </w:rPr>
        <w:t>establece que el Ministerio de Industria, Energía y Minería es responsable de proponer políticas referidas al sector industrial, energético y minero, tendientes a las transformación del aparato productivo nacional, a la integración regional, y a atender los requerimientos que plantea el mundo globalizado, teniendo como cometido sustantivo, entre otros, el cumplir con las actividades administrativas de gestión y protección de la propiedad industrial;</w:t>
      </w:r>
    </w:p>
    <w:p w:rsidR="00B91F88" w:rsidRDefault="00910F3F" w:rsidP="0092319C">
      <w:pPr>
        <w:tabs>
          <w:tab w:val="left" w:pos="2127"/>
        </w:tabs>
        <w:spacing w:line="360" w:lineRule="auto"/>
        <w:jc w:val="both"/>
        <w:rPr>
          <w:b/>
        </w:rPr>
      </w:pPr>
      <w:r>
        <w:t xml:space="preserve">                              </w:t>
      </w:r>
      <w:r w:rsidR="009F23B1">
        <w:t xml:space="preserve">            </w:t>
      </w:r>
      <w:r w:rsidRPr="00910F3F">
        <w:rPr>
          <w:b/>
        </w:rPr>
        <w:t>2)</w:t>
      </w:r>
      <w:r>
        <w:t xml:space="preserve"> </w:t>
      </w:r>
      <w:r w:rsidR="00B91F88">
        <w:t>que</w:t>
      </w:r>
      <w:r w:rsidRPr="00910F3F">
        <w:t xml:space="preserve"> </w:t>
      </w:r>
      <w:r>
        <w:t>con fecha 6 de marzo de 1987 se celebró</w:t>
      </w:r>
      <w:r w:rsidRPr="00910F3F">
        <w:t xml:space="preserve"> </w:t>
      </w:r>
      <w:r>
        <w:t>entre el Gobierno Uruguayo y el Gobierno de Cuba</w:t>
      </w:r>
      <w:r w:rsidR="0059763F">
        <w:t>,</w:t>
      </w:r>
      <w:r w:rsidR="0092319C">
        <w:t xml:space="preserve"> </w:t>
      </w:r>
      <w:r>
        <w:t>un</w:t>
      </w:r>
      <w:r w:rsidR="0092319C">
        <w:t xml:space="preserve"> Convenio de Cooperación Económico-Industrial y Científico-Técnico</w:t>
      </w:r>
      <w:r w:rsidR="00B91F88">
        <w:t xml:space="preserve">, </w:t>
      </w:r>
      <w:r w:rsidR="0092319C">
        <w:t xml:space="preserve">por el cual </w:t>
      </w:r>
      <w:r w:rsidR="00B91F88">
        <w:t xml:space="preserve">ambas partes acordaron promover la participación de  organismos y entidades estatales o privadas de su respectivos países en la realización de programas, </w:t>
      </w:r>
      <w:r w:rsidR="00B91F88">
        <w:lastRenderedPageBreak/>
        <w:t>proyectos y acciones de cooperació</w:t>
      </w:r>
      <w:r>
        <w:t>n que resulten de interés mutuo. Dicho convenio fue aprobado por Ley 16.290 del 11 de agosto de 1992;</w:t>
      </w:r>
      <w:r w:rsidR="00B91F88" w:rsidRPr="00523757">
        <w:rPr>
          <w:b/>
        </w:rPr>
        <w:t xml:space="preserve"> </w:t>
      </w:r>
    </w:p>
    <w:p w:rsidR="00910F3F" w:rsidRPr="00284CD5" w:rsidRDefault="0043675C" w:rsidP="0092319C">
      <w:pPr>
        <w:tabs>
          <w:tab w:val="left" w:pos="2127"/>
        </w:tabs>
        <w:spacing w:line="360" w:lineRule="auto"/>
        <w:jc w:val="both"/>
      </w:pPr>
      <w:r>
        <w:rPr>
          <w:b/>
        </w:rPr>
        <w:t xml:space="preserve">                             </w:t>
      </w:r>
      <w:r w:rsidR="009F23B1">
        <w:rPr>
          <w:b/>
        </w:rPr>
        <w:t xml:space="preserve">             </w:t>
      </w:r>
      <w:r w:rsidR="00910F3F">
        <w:rPr>
          <w:b/>
        </w:rPr>
        <w:t xml:space="preserve">3) </w:t>
      </w:r>
      <w:r w:rsidR="00910F3F" w:rsidRPr="00284CD5">
        <w:t>que en función de lo expuesto, el Memorando de Entendimiento remitido encuadra en la normativa que viene de referirse</w:t>
      </w:r>
      <w:r w:rsidR="0059763F">
        <w:t>;</w:t>
      </w:r>
    </w:p>
    <w:p w:rsidR="00BF6609" w:rsidRDefault="00BF6609" w:rsidP="009F23B1">
      <w:pPr>
        <w:spacing w:line="360" w:lineRule="auto"/>
        <w:ind w:firstLine="709"/>
        <w:jc w:val="both"/>
      </w:pPr>
      <w:r>
        <w:rPr>
          <w:b/>
          <w:bCs/>
        </w:rPr>
        <w:t xml:space="preserve">ATENTO </w:t>
      </w:r>
      <w:r>
        <w:t>a lo precedentemente expuesto;</w:t>
      </w:r>
    </w:p>
    <w:p w:rsidR="00BF6609" w:rsidRDefault="00BF6609" w:rsidP="00BF6609">
      <w:pPr>
        <w:pStyle w:val="Ttulo1"/>
      </w:pPr>
      <w:r>
        <w:t>EL TRIBUNAL ACUERDA</w:t>
      </w:r>
    </w:p>
    <w:p w:rsidR="00BF6609" w:rsidRPr="00B4329E" w:rsidRDefault="00BF6609" w:rsidP="009F23B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No formular observaciones al </w:t>
      </w:r>
      <w:r w:rsidR="009966FA">
        <w:t>Memorando de Entendimiento remitido a celebrar por el Ministerio de Industria, Energía y Minería</w:t>
      </w:r>
      <w:r w:rsidR="009966FA">
        <w:rPr>
          <w:rFonts w:cs="Arial"/>
        </w:rPr>
        <w:t xml:space="preserve"> (MIEM) </w:t>
      </w:r>
      <w:r w:rsidR="009966FA">
        <w:t>con el Ministerio de Ciencia, Tecnología y Medio Ambiente de la República de C</w:t>
      </w:r>
      <w:r w:rsidR="00023563">
        <w:t>uba</w:t>
      </w:r>
      <w:r w:rsidR="009966FA">
        <w:t xml:space="preserve"> (CITMA)</w:t>
      </w:r>
      <w:r>
        <w:rPr>
          <w:rFonts w:cs="Arial"/>
          <w:lang w:val="es-MX"/>
        </w:rPr>
        <w:t>;</w:t>
      </w:r>
    </w:p>
    <w:p w:rsidR="00BF6609" w:rsidRDefault="00AD61D3" w:rsidP="009F23B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Téngase presente que los convenios específicos y/o los gastos </w:t>
      </w:r>
      <w:r w:rsidR="00926EF4">
        <w:t>q</w:t>
      </w:r>
      <w:r w:rsidR="00BF6609">
        <w:t xml:space="preserve">ue se deriven del  </w:t>
      </w:r>
      <w:r>
        <w:t>Memorando de Entendimiento</w:t>
      </w:r>
      <w:r w:rsidR="00BF6609">
        <w:t xml:space="preserve"> remitido, deberán ser sometidos a la intervención de este Tribunal o del Contador Auditor, según el monto y/o naturaleza de los mismos; </w:t>
      </w:r>
    </w:p>
    <w:p w:rsidR="00BF6609" w:rsidRDefault="00BF6609" w:rsidP="009F23B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Comunicar al Contador Auditor destacado ante </w:t>
      </w:r>
      <w:r w:rsidR="009966FA">
        <w:t>el Ministerio de Industria, Energía y Minería</w:t>
      </w:r>
      <w:r>
        <w:t>;</w:t>
      </w:r>
      <w:r w:rsidR="009F23B1">
        <w:t xml:space="preserve"> y</w:t>
      </w:r>
    </w:p>
    <w:p w:rsidR="00BF6609" w:rsidRDefault="00BF6609" w:rsidP="009F23B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>
        <w:t xml:space="preserve">Devolver los antecedentes. </w:t>
      </w:r>
    </w:p>
    <w:p w:rsidR="00BF6609" w:rsidRDefault="00BF6609" w:rsidP="00BF6609">
      <w:pPr>
        <w:spacing w:line="360" w:lineRule="auto"/>
        <w:jc w:val="both"/>
      </w:pPr>
    </w:p>
    <w:p w:rsidR="00BF6609" w:rsidRDefault="00BF6609" w:rsidP="00BF6609">
      <w:pPr>
        <w:spacing w:line="360" w:lineRule="auto"/>
        <w:ind w:left="360"/>
        <w:jc w:val="both"/>
      </w:pPr>
    </w:p>
    <w:p w:rsidR="00BF6609" w:rsidRDefault="00BF6609" w:rsidP="00BF6609"/>
    <w:p w:rsidR="00BF6609" w:rsidRDefault="00BF6609" w:rsidP="00BF6609">
      <w:pPr>
        <w:spacing w:line="360" w:lineRule="auto"/>
        <w:jc w:val="both"/>
      </w:pPr>
    </w:p>
    <w:p w:rsidR="00BF6609" w:rsidRPr="009F23B1" w:rsidRDefault="009F23B1" w:rsidP="00BF6609">
      <w:pPr>
        <w:spacing w:line="360" w:lineRule="auto"/>
        <w:jc w:val="both"/>
        <w:rPr>
          <w:bCs/>
        </w:rPr>
      </w:pPr>
      <w:proofErr w:type="spellStart"/>
      <w:proofErr w:type="gramStart"/>
      <w:r w:rsidRPr="009F23B1">
        <w:rPr>
          <w:bCs/>
        </w:rPr>
        <w:t>cr</w:t>
      </w:r>
      <w:proofErr w:type="spellEnd"/>
      <w:proofErr w:type="gramEnd"/>
    </w:p>
    <w:p w:rsidR="00BF6609" w:rsidRDefault="00BF6609" w:rsidP="00BF6609">
      <w:pPr>
        <w:spacing w:line="360" w:lineRule="auto"/>
        <w:jc w:val="both"/>
        <w:rPr>
          <w:b/>
          <w:bCs/>
        </w:rPr>
      </w:pPr>
    </w:p>
    <w:p w:rsidR="00BF6609" w:rsidRDefault="00BF6609" w:rsidP="00BF6609">
      <w:pPr>
        <w:jc w:val="both"/>
      </w:pPr>
    </w:p>
    <w:p w:rsidR="00BF6609" w:rsidRDefault="00BF6609" w:rsidP="00BF6609"/>
    <w:p w:rsidR="00A5147C" w:rsidRDefault="00A5147C"/>
    <w:sectPr w:rsidR="00A5147C" w:rsidSect="00A4297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09"/>
    <w:rsid w:val="00023563"/>
    <w:rsid w:val="000A3E5B"/>
    <w:rsid w:val="00121B6B"/>
    <w:rsid w:val="00284CD5"/>
    <w:rsid w:val="0043675C"/>
    <w:rsid w:val="00442CAB"/>
    <w:rsid w:val="004B5B9A"/>
    <w:rsid w:val="004E2B4B"/>
    <w:rsid w:val="0059763F"/>
    <w:rsid w:val="005C099D"/>
    <w:rsid w:val="006F59AD"/>
    <w:rsid w:val="007005DD"/>
    <w:rsid w:val="00910F3F"/>
    <w:rsid w:val="0092319C"/>
    <w:rsid w:val="00926EF4"/>
    <w:rsid w:val="009966FA"/>
    <w:rsid w:val="009F23B1"/>
    <w:rsid w:val="00A4297C"/>
    <w:rsid w:val="00A5147C"/>
    <w:rsid w:val="00AD61D3"/>
    <w:rsid w:val="00B91F88"/>
    <w:rsid w:val="00BF6609"/>
    <w:rsid w:val="00C741AE"/>
    <w:rsid w:val="00CE2AAC"/>
    <w:rsid w:val="00E94223"/>
    <w:rsid w:val="00FA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F6609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F6609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F6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F6609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E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E59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F6609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F6609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F6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F6609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1E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E5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2019-01-04T18:45:00Z</cp:lastPrinted>
  <dcterms:created xsi:type="dcterms:W3CDTF">2019-01-04T18:45:00Z</dcterms:created>
  <dcterms:modified xsi:type="dcterms:W3CDTF">2019-01-04T18:45:00Z</dcterms:modified>
</cp:coreProperties>
</file>