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3" w:rsidRPr="00074843" w:rsidRDefault="00074843" w:rsidP="0007484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074843">
        <w:rPr>
          <w:rFonts w:cs="Arial"/>
          <w:b/>
          <w:sz w:val="28"/>
          <w:szCs w:val="28"/>
          <w:lang w:val="es-ES_tradnl"/>
        </w:rPr>
        <w:t xml:space="preserve">RES. </w:t>
      </w:r>
      <w:r w:rsidR="006C3FD9">
        <w:rPr>
          <w:rFonts w:cs="Arial"/>
          <w:b/>
          <w:sz w:val="28"/>
          <w:szCs w:val="28"/>
          <w:lang w:val="es-ES_tradnl"/>
        </w:rPr>
        <w:t>3988</w:t>
      </w:r>
      <w:bookmarkStart w:id="0" w:name="_GoBack"/>
      <w:bookmarkEnd w:id="0"/>
      <w:r w:rsidR="006C3FD9">
        <w:rPr>
          <w:rFonts w:cs="Arial"/>
          <w:b/>
          <w:sz w:val="28"/>
          <w:szCs w:val="28"/>
          <w:lang w:val="es-ES_tradnl"/>
        </w:rPr>
        <w:t>/18</w:t>
      </w:r>
    </w:p>
    <w:p w:rsidR="00074843" w:rsidRPr="00074843" w:rsidRDefault="00074843" w:rsidP="0007484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74843" w:rsidRPr="00074843" w:rsidRDefault="00074843" w:rsidP="0007484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074843">
        <w:rPr>
          <w:rFonts w:ascii="Helvetica" w:hAnsi="Helvetica"/>
          <w:b/>
          <w:lang w:val="es-ES_tradnl"/>
        </w:rPr>
        <w:t>RESOLUCION ADOPTADA POR EL</w:t>
      </w:r>
    </w:p>
    <w:p w:rsidR="00074843" w:rsidRPr="00074843" w:rsidRDefault="00074843" w:rsidP="0007484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74843" w:rsidRPr="00074843" w:rsidRDefault="00074843" w:rsidP="0007484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074843">
        <w:rPr>
          <w:rFonts w:ascii="Helvetica" w:hAnsi="Helvetica"/>
          <w:b/>
          <w:lang w:val="es-ES_tradnl"/>
        </w:rPr>
        <w:t>TRIBUNAL DE CUENTAS</w:t>
      </w:r>
    </w:p>
    <w:p w:rsidR="00074843" w:rsidRPr="00074843" w:rsidRDefault="00074843" w:rsidP="0007484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74843" w:rsidRPr="00074843" w:rsidRDefault="00074843" w:rsidP="0007484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074843">
        <w:rPr>
          <w:rFonts w:ascii="Helvetica" w:hAnsi="Helvetica"/>
          <w:b/>
          <w:lang w:val="es-ES_tradnl"/>
        </w:rPr>
        <w:t>EN SESION DE FECHA 26 DE DICIEMBRE DE 2018</w:t>
      </w:r>
    </w:p>
    <w:p w:rsidR="00074843" w:rsidRPr="00074843" w:rsidRDefault="00074843" w:rsidP="0007484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74843" w:rsidRPr="00074843" w:rsidRDefault="00074843" w:rsidP="00074843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74843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6</w:t>
      </w:r>
      <w:r w:rsidRPr="00074843">
        <w:rPr>
          <w:rFonts w:ascii="Helvetica" w:hAnsi="Helvetica"/>
          <w:b/>
        </w:rPr>
        <w:t>-17-1-000</w:t>
      </w:r>
      <w:r>
        <w:rPr>
          <w:rFonts w:ascii="Helvetica" w:hAnsi="Helvetica"/>
          <w:b/>
        </w:rPr>
        <w:t>0268</w:t>
      </w:r>
      <w:r w:rsidRPr="00074843">
        <w:rPr>
          <w:rFonts w:ascii="Helvetica" w:hAnsi="Helvetica"/>
          <w:b/>
        </w:rPr>
        <w:t xml:space="preserve">, </w:t>
      </w:r>
      <w:proofErr w:type="spellStart"/>
      <w:r w:rsidRPr="00074843">
        <w:rPr>
          <w:rFonts w:ascii="Helvetica" w:hAnsi="Helvetica"/>
          <w:b/>
        </w:rPr>
        <w:t>Ent</w:t>
      </w:r>
      <w:proofErr w:type="spellEnd"/>
      <w:r w:rsidRPr="00074843">
        <w:rPr>
          <w:rFonts w:ascii="Helvetica" w:hAnsi="Helvetica"/>
          <w:b/>
        </w:rPr>
        <w:t>. N° 5</w:t>
      </w:r>
      <w:r>
        <w:rPr>
          <w:rFonts w:ascii="Helvetica" w:hAnsi="Helvetica"/>
          <w:b/>
        </w:rPr>
        <w:t>402</w:t>
      </w:r>
      <w:r w:rsidRPr="00074843">
        <w:rPr>
          <w:rFonts w:ascii="Helvetica" w:hAnsi="Helvetica"/>
          <w:b/>
        </w:rPr>
        <w:t>/18)</w:t>
      </w:r>
    </w:p>
    <w:p w:rsidR="00074843" w:rsidRDefault="00074843" w:rsidP="00605848">
      <w:pPr>
        <w:spacing w:line="360" w:lineRule="auto"/>
        <w:rPr>
          <w:rFonts w:cs="Arial"/>
          <w:b/>
          <w:lang w:val="es-MX"/>
        </w:rPr>
      </w:pPr>
    </w:p>
    <w:p w:rsidR="00605848" w:rsidRDefault="00605848" w:rsidP="00605848">
      <w:pPr>
        <w:spacing w:line="360" w:lineRule="auto"/>
        <w:jc w:val="both"/>
        <w:rPr>
          <w:rFonts w:cs="Arial"/>
          <w:bCs/>
          <w:lang w:val="es-MX"/>
        </w:rPr>
      </w:pPr>
    </w:p>
    <w:p w:rsidR="00605848" w:rsidRDefault="00605848" w:rsidP="003B330C">
      <w:pPr>
        <w:spacing w:line="360" w:lineRule="auto"/>
        <w:ind w:firstLine="851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VISTO</w:t>
      </w:r>
      <w:r w:rsidRPr="003B330C">
        <w:rPr>
          <w:rFonts w:cs="Arial"/>
          <w:b/>
          <w:bCs/>
          <w:lang w:val="es-MX"/>
        </w:rPr>
        <w:t>:</w:t>
      </w:r>
      <w:r>
        <w:rPr>
          <w:rFonts w:cs="Arial"/>
          <w:bCs/>
          <w:lang w:val="es-MX"/>
        </w:rPr>
        <w:t xml:space="preserve"> las actuaciones remitidas por la Intendencia de Maldonado  relacionadas con la ampliación</w:t>
      </w:r>
      <w:r w:rsidR="00557428">
        <w:rPr>
          <w:rFonts w:cs="Arial"/>
          <w:bCs/>
          <w:lang w:val="es-MX"/>
        </w:rPr>
        <w:t xml:space="preserve"> de la  Licitación Abreviada  </w:t>
      </w:r>
      <w:r>
        <w:rPr>
          <w:rFonts w:cs="Arial"/>
          <w:bCs/>
          <w:lang w:val="es-MX"/>
        </w:rPr>
        <w:t xml:space="preserve"> Nº 40/2015 para la Sponsorización de eventos deportivos durante el a</w:t>
      </w:r>
      <w:r w:rsidR="00080936">
        <w:rPr>
          <w:rFonts w:cs="Arial"/>
          <w:bCs/>
          <w:lang w:val="es-MX"/>
        </w:rPr>
        <w:t>ño 2016 en el rubro H</w:t>
      </w:r>
      <w:r w:rsidR="00557428">
        <w:rPr>
          <w:rFonts w:cs="Arial"/>
          <w:bCs/>
          <w:lang w:val="es-MX"/>
        </w:rPr>
        <w:t>idratación</w:t>
      </w:r>
      <w:r>
        <w:rPr>
          <w:rFonts w:cs="Arial"/>
          <w:bCs/>
          <w:lang w:val="es-MX"/>
        </w:rPr>
        <w:t>;</w:t>
      </w:r>
      <w:r>
        <w:rPr>
          <w:rFonts w:cs="Arial"/>
          <w:b/>
          <w:lang w:val="es-MX"/>
        </w:rPr>
        <w:t xml:space="preserve"> </w:t>
      </w:r>
    </w:p>
    <w:p w:rsidR="00605848" w:rsidRDefault="00605848" w:rsidP="003B330C">
      <w:pPr>
        <w:spacing w:line="360" w:lineRule="auto"/>
        <w:ind w:firstLine="851"/>
        <w:jc w:val="both"/>
        <w:rPr>
          <w:b/>
        </w:rPr>
      </w:pPr>
      <w:r>
        <w:rPr>
          <w:rFonts w:cs="Arial"/>
          <w:b/>
          <w:lang w:val="es-MX"/>
        </w:rPr>
        <w:t>RESULTANDO:</w:t>
      </w:r>
      <w:r w:rsidR="003B330C">
        <w:rPr>
          <w:rFonts w:cs="Arial"/>
          <w:b/>
          <w:lang w:val="es-MX"/>
        </w:rPr>
        <w:t xml:space="preserve"> </w:t>
      </w:r>
      <w:r>
        <w:rPr>
          <w:rFonts w:cs="Arial"/>
          <w:b/>
          <w:lang w:val="es-MX"/>
        </w:rPr>
        <w:t>1</w:t>
      </w:r>
      <w:r>
        <w:rPr>
          <w:b/>
          <w:bCs/>
        </w:rPr>
        <w:t>)</w:t>
      </w:r>
      <w:r>
        <w:rPr>
          <w:b/>
        </w:rPr>
        <w:t xml:space="preserve"> </w:t>
      </w:r>
      <w:r>
        <w:t>que</w:t>
      </w:r>
      <w:r w:rsidR="00557428">
        <w:t xml:space="preserve"> implementado el procedimiento respectivo,</w:t>
      </w:r>
      <w:r>
        <w:t xml:space="preserve"> la Comisión Asesora de Adjudicaciones en su dictamen de fecha 27.11.15 sugirió adjudicar</w:t>
      </w:r>
      <w:r>
        <w:rPr>
          <w:b/>
        </w:rPr>
        <w:t xml:space="preserve"> </w:t>
      </w:r>
      <w:r w:rsidR="00557428">
        <w:t xml:space="preserve">dicha Licitación </w:t>
      </w:r>
      <w:r>
        <w:t>a la empresa Montevideo Refrescos</w:t>
      </w:r>
      <w:r w:rsidR="00557428">
        <w:t>, por ser la única oferta que aportaba un canon económico, cumplía</w:t>
      </w:r>
      <w:r>
        <w:t xml:space="preserve"> en un todo con </w:t>
      </w:r>
      <w:r w:rsidR="00557428">
        <w:t>las especificaciones del pliego, por ser</w:t>
      </w:r>
      <w:r>
        <w:t xml:space="preserve"> </w:t>
      </w:r>
      <w:r w:rsidR="00557428">
        <w:t>una marca reconocida en el país</w:t>
      </w:r>
      <w:r>
        <w:t xml:space="preserve"> con an</w:t>
      </w:r>
      <w:r w:rsidR="00557428">
        <w:t>tecedentes positivos</w:t>
      </w:r>
      <w:r>
        <w:t xml:space="preserve"> y el precio global supera</w:t>
      </w:r>
      <w:r w:rsidR="00557428">
        <w:t>ba el de</w:t>
      </w:r>
      <w:r>
        <w:t xml:space="preserve"> las restantes ofertas;</w:t>
      </w:r>
      <w:r>
        <w:rPr>
          <w:b/>
        </w:rPr>
        <w:t xml:space="preserve">         </w:t>
      </w:r>
    </w:p>
    <w:p w:rsidR="00605848" w:rsidRDefault="00605848" w:rsidP="003B330C">
      <w:pPr>
        <w:spacing w:line="360" w:lineRule="auto"/>
        <w:ind w:firstLine="2694"/>
        <w:jc w:val="both"/>
        <w:rPr>
          <w:rFonts w:cs="Arial"/>
          <w:bCs/>
          <w:lang w:val="es-MX"/>
        </w:rPr>
      </w:pPr>
      <w:r>
        <w:rPr>
          <w:b/>
          <w:bCs/>
        </w:rPr>
        <w:t xml:space="preserve">2) </w:t>
      </w:r>
      <w:r>
        <w:rPr>
          <w:bCs/>
        </w:rPr>
        <w:t xml:space="preserve">que </w:t>
      </w:r>
      <w:r>
        <w:rPr>
          <w:bCs/>
          <w:lang w:val="es-MX"/>
        </w:rPr>
        <w:t xml:space="preserve">por </w:t>
      </w:r>
      <w:r>
        <w:rPr>
          <w:lang w:val="es-MX"/>
        </w:rPr>
        <w:t>Resolución Nº 08732/2015</w:t>
      </w:r>
      <w:r>
        <w:rPr>
          <w:rFonts w:cs="Arial"/>
          <w:bCs/>
          <w:lang w:val="es-MX"/>
        </w:rPr>
        <w:t xml:space="preserve"> de fecha 3.12.2015 el Director General de Hacienda,  resolvió adjudicar ad referéndum</w:t>
      </w:r>
      <w:r w:rsidR="00557428">
        <w:rPr>
          <w:rFonts w:cs="Arial"/>
          <w:bCs/>
          <w:lang w:val="es-MX"/>
        </w:rPr>
        <w:t xml:space="preserve"> de la intervención preventiva de este Tribunal</w:t>
      </w:r>
      <w:r>
        <w:rPr>
          <w:rFonts w:cs="Arial"/>
          <w:bCs/>
          <w:lang w:val="es-MX"/>
        </w:rPr>
        <w:t xml:space="preserve"> la licitación de referencia</w:t>
      </w:r>
      <w:r w:rsidR="00557428">
        <w:rPr>
          <w:rFonts w:cs="Arial"/>
          <w:bCs/>
          <w:lang w:val="es-MX"/>
        </w:rPr>
        <w:t>, de acuerdo con</w:t>
      </w:r>
      <w:r>
        <w:rPr>
          <w:rFonts w:cs="Arial"/>
          <w:bCs/>
          <w:lang w:val="es-MX"/>
        </w:rPr>
        <w:t xml:space="preserve"> lo aconsejado por la Comisión Asesora de Adjudicaciones;</w:t>
      </w:r>
    </w:p>
    <w:p w:rsidR="00605848" w:rsidRDefault="00605848" w:rsidP="003B330C">
      <w:pPr>
        <w:spacing w:line="360" w:lineRule="auto"/>
        <w:ind w:firstLine="2694"/>
        <w:jc w:val="both"/>
        <w:rPr>
          <w:rFonts w:cs="Arial"/>
        </w:rPr>
      </w:pPr>
      <w:r w:rsidRPr="00784165">
        <w:rPr>
          <w:rFonts w:cs="Arial"/>
          <w:b/>
          <w:bCs/>
          <w:lang w:val="es-MX"/>
        </w:rPr>
        <w:t>3)</w:t>
      </w:r>
      <w:r>
        <w:rPr>
          <w:rFonts w:cs="Arial"/>
          <w:bCs/>
          <w:lang w:val="es-MX"/>
        </w:rPr>
        <w:t xml:space="preserve"> que el Tribunal de Cuentas en  sesión de fecha  3/02/1</w:t>
      </w:r>
      <w:r w:rsidR="00EB57A6">
        <w:rPr>
          <w:rFonts w:cs="Arial"/>
          <w:bCs/>
          <w:lang w:val="es-MX"/>
        </w:rPr>
        <w:t>6</w:t>
      </w:r>
      <w:r>
        <w:rPr>
          <w:rFonts w:cs="Arial"/>
          <w:bCs/>
          <w:lang w:val="es-MX"/>
        </w:rPr>
        <w:t xml:space="preserve"> acordó  observar el procedimiento considerando que no se había dado cumplimiento a lo dispuesto por el </w:t>
      </w:r>
      <w:r w:rsidR="00CA59D3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>rt</w:t>
      </w:r>
      <w:r w:rsidR="00CA59D3">
        <w:rPr>
          <w:rFonts w:cs="Arial"/>
          <w:bCs/>
          <w:lang w:val="es-MX"/>
        </w:rPr>
        <w:t>ículo</w:t>
      </w:r>
      <w:r w:rsidR="00557428">
        <w:rPr>
          <w:rFonts w:cs="Arial"/>
          <w:bCs/>
          <w:lang w:val="es-MX"/>
        </w:rPr>
        <w:t xml:space="preserve"> 48 del TOCAF, y que tratándose de</w:t>
      </w:r>
      <w:r>
        <w:rPr>
          <w:rFonts w:cs="Arial"/>
          <w:bCs/>
          <w:lang w:val="es-MX"/>
        </w:rPr>
        <w:t xml:space="preserve"> concesión debía de haberse ajustado </w:t>
      </w:r>
      <w:r>
        <w:rPr>
          <w:rFonts w:cs="Arial"/>
        </w:rPr>
        <w:t xml:space="preserve">a lo establecido en las Resoluciones de este Tribunal  de 11.5.2005 y 28.3.07, siendo un hecho público y notorio que </w:t>
      </w:r>
      <w:r w:rsidR="00557428">
        <w:rPr>
          <w:rFonts w:cs="Arial"/>
        </w:rPr>
        <w:t xml:space="preserve">ya </w:t>
      </w:r>
      <w:r>
        <w:rPr>
          <w:rFonts w:cs="Arial"/>
        </w:rPr>
        <w:t>se habían realizado alguno de los eventos cuya sponsorización se adjudicaba;</w:t>
      </w:r>
    </w:p>
    <w:p w:rsidR="00605848" w:rsidRDefault="00605848" w:rsidP="00DB17ED">
      <w:pPr>
        <w:spacing w:line="360" w:lineRule="auto"/>
        <w:ind w:firstLine="2694"/>
        <w:jc w:val="both"/>
        <w:rPr>
          <w:rFonts w:cs="Arial"/>
        </w:rPr>
      </w:pPr>
      <w:r w:rsidRPr="00784165">
        <w:rPr>
          <w:rFonts w:cs="Arial"/>
          <w:b/>
        </w:rPr>
        <w:lastRenderedPageBreak/>
        <w:t>4)</w:t>
      </w:r>
      <w:r>
        <w:rPr>
          <w:rFonts w:cs="Arial"/>
        </w:rPr>
        <w:t xml:space="preserve"> que surge del expediente q</w:t>
      </w:r>
      <w:r w:rsidR="00557428">
        <w:rPr>
          <w:rFonts w:cs="Arial"/>
        </w:rPr>
        <w:t>ue con fecha 07/11/17 se adjuntó</w:t>
      </w:r>
      <w:r>
        <w:rPr>
          <w:rFonts w:cs="Arial"/>
        </w:rPr>
        <w:t xml:space="preserve"> la conformidad de la Empresa Montevideo Refrescos para la prórroga correspondiente al año 2017, la cual se había realizado de hecho ya que se había hecho ent</w:t>
      </w:r>
      <w:r w:rsidR="00557428">
        <w:rPr>
          <w:rFonts w:cs="Arial"/>
        </w:rPr>
        <w:t xml:space="preserve">rega del agua en las actividades </w:t>
      </w:r>
      <w:r>
        <w:rPr>
          <w:rFonts w:cs="Arial"/>
        </w:rPr>
        <w:t xml:space="preserve">del año 2017; </w:t>
      </w:r>
    </w:p>
    <w:p w:rsidR="00605848" w:rsidRDefault="00605848" w:rsidP="00DB17ED">
      <w:pPr>
        <w:spacing w:line="360" w:lineRule="auto"/>
        <w:ind w:firstLine="2694"/>
        <w:jc w:val="both"/>
        <w:rPr>
          <w:rFonts w:cs="Arial"/>
        </w:rPr>
      </w:pPr>
      <w:r w:rsidRPr="00784165">
        <w:rPr>
          <w:rFonts w:cs="Arial"/>
          <w:b/>
        </w:rPr>
        <w:t>5)</w:t>
      </w:r>
      <w:r w:rsidR="00557428">
        <w:rPr>
          <w:rFonts w:cs="Arial"/>
        </w:rPr>
        <w:t xml:space="preserve"> que en la oportunidad, se remite la Resolución  N</w:t>
      </w:r>
      <w:r>
        <w:rPr>
          <w:rFonts w:cs="Arial"/>
        </w:rPr>
        <w:t>°08691/2017 de fecha  24/11/17 del</w:t>
      </w:r>
      <w:r w:rsidR="00557428">
        <w:rPr>
          <w:rFonts w:cs="Arial"/>
        </w:rPr>
        <w:t xml:space="preserve"> Director General de Hacienda, disponiendo la  ampliación  la L</w:t>
      </w:r>
      <w:r>
        <w:rPr>
          <w:rFonts w:cs="Arial"/>
        </w:rPr>
        <w:t>icitación Abreviada de referencia en un 100%, a la Empresa Montevideo Refrescos SA, ad referéndum de la intervención del Tribunal de Cuentas de la República;</w:t>
      </w:r>
    </w:p>
    <w:p w:rsidR="00784165" w:rsidRDefault="00784165" w:rsidP="00DB17ED">
      <w:pPr>
        <w:spacing w:line="360" w:lineRule="auto"/>
        <w:ind w:firstLine="851"/>
        <w:jc w:val="both"/>
        <w:rPr>
          <w:rFonts w:cs="Arial"/>
        </w:rPr>
      </w:pPr>
      <w:r>
        <w:rPr>
          <w:b/>
        </w:rPr>
        <w:t xml:space="preserve">CONSIDERANDO: 1) </w:t>
      </w:r>
      <w:r>
        <w:rPr>
          <w:rFonts w:cs="Arial"/>
        </w:rPr>
        <w:t>que la presente contratación constituye una concesión de servicio y como tal, debió ajustarse a lo establecido en las Resoluciones de este Tribunal  de 11.5.2005 y 28.3.07;</w:t>
      </w:r>
    </w:p>
    <w:p w:rsidR="00784165" w:rsidRDefault="00784165" w:rsidP="00DB17ED">
      <w:pPr>
        <w:spacing w:line="360" w:lineRule="auto"/>
        <w:ind w:firstLine="3119"/>
        <w:jc w:val="both"/>
        <w:rPr>
          <w:rFonts w:cs="Arial"/>
          <w:bCs/>
        </w:rPr>
      </w:pPr>
      <w:r w:rsidRPr="00784165">
        <w:rPr>
          <w:rFonts w:cs="Arial"/>
          <w:b/>
        </w:rPr>
        <w:t>2</w:t>
      </w:r>
      <w:r w:rsidRPr="00784165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  <w:r w:rsidRPr="00784165">
        <w:rPr>
          <w:rFonts w:cs="Arial"/>
          <w:bCs/>
        </w:rPr>
        <w:t>que surge de las</w:t>
      </w:r>
      <w:r w:rsidR="00EB57A6">
        <w:rPr>
          <w:rFonts w:cs="Arial"/>
          <w:bCs/>
        </w:rPr>
        <w:t xml:space="preserve"> actuaciones que la concesión </w:t>
      </w:r>
      <w:r w:rsidRPr="00784165">
        <w:rPr>
          <w:rFonts w:cs="Arial"/>
          <w:bCs/>
        </w:rPr>
        <w:t xml:space="preserve"> fue oportunamente prorrogada</w:t>
      </w:r>
      <w:r w:rsidR="00EB57A6">
        <w:rPr>
          <w:rFonts w:cs="Arial"/>
          <w:bCs/>
        </w:rPr>
        <w:t xml:space="preserve"> de hecho durante el año 2017</w:t>
      </w:r>
      <w:r w:rsidRPr="00784165">
        <w:rPr>
          <w:rFonts w:cs="Arial"/>
          <w:bCs/>
        </w:rPr>
        <w:t>, habiéndose recabado la conformidad de la Empresa con posterioridad a la realización de los servicios;</w:t>
      </w:r>
    </w:p>
    <w:p w:rsidR="00784165" w:rsidRDefault="00784165" w:rsidP="00DB17ED">
      <w:pPr>
        <w:spacing w:line="360" w:lineRule="auto"/>
        <w:ind w:firstLine="3119"/>
        <w:jc w:val="both"/>
        <w:rPr>
          <w:b/>
          <w:bCs/>
        </w:rPr>
      </w:pPr>
      <w:r>
        <w:rPr>
          <w:rFonts w:cs="Arial"/>
          <w:b/>
          <w:bCs/>
        </w:rPr>
        <w:t xml:space="preserve">3) </w:t>
      </w:r>
      <w:r w:rsidRPr="0033303C">
        <w:rPr>
          <w:rFonts w:cs="Arial"/>
          <w:bCs/>
        </w:rPr>
        <w:t xml:space="preserve">que por lo tanto </w:t>
      </w:r>
      <w:r w:rsidR="00EB57A6">
        <w:rPr>
          <w:rFonts w:cs="Arial"/>
          <w:bCs/>
        </w:rPr>
        <w:t xml:space="preserve">la ampliación </w:t>
      </w:r>
      <w:r w:rsidRPr="0033303C">
        <w:rPr>
          <w:rFonts w:cs="Arial"/>
          <w:bCs/>
        </w:rPr>
        <w:t xml:space="preserve">ya se encuentra </w:t>
      </w:r>
      <w:r w:rsidR="0033303C" w:rsidRPr="0033303C">
        <w:rPr>
          <w:rFonts w:cs="Arial"/>
          <w:bCs/>
        </w:rPr>
        <w:t>ejecutad</w:t>
      </w:r>
      <w:r w:rsidR="00EB57A6">
        <w:rPr>
          <w:rFonts w:cs="Arial"/>
          <w:bCs/>
        </w:rPr>
        <w:t>a</w:t>
      </w:r>
      <w:r w:rsidR="0033303C" w:rsidRPr="0033303C">
        <w:rPr>
          <w:rFonts w:cs="Arial"/>
          <w:bCs/>
        </w:rPr>
        <w:t>, en contravención a lo establecido por las Resoluciones del Tribunal antes citadas;</w:t>
      </w:r>
      <w:r>
        <w:rPr>
          <w:b/>
          <w:bCs/>
        </w:rPr>
        <w:t xml:space="preserve"> </w:t>
      </w:r>
    </w:p>
    <w:p w:rsidR="00784165" w:rsidRDefault="00784165" w:rsidP="00E03F02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>ATENTO</w:t>
      </w:r>
      <w:r>
        <w:rPr>
          <w:rFonts w:cs="Arial"/>
          <w:bCs/>
          <w:lang w:val="es-MX"/>
        </w:rPr>
        <w:t xml:space="preserve"> a lo expue</w:t>
      </w:r>
      <w:r w:rsidR="00CA59D3">
        <w:rPr>
          <w:rFonts w:cs="Arial"/>
          <w:bCs/>
          <w:lang w:val="es-MX"/>
        </w:rPr>
        <w:t>sto y a lo dispuesto por el Artículo</w:t>
      </w:r>
      <w:r>
        <w:rPr>
          <w:rFonts w:cs="Arial"/>
          <w:bCs/>
          <w:lang w:val="es-MX"/>
        </w:rPr>
        <w:t xml:space="preserve"> 211 </w:t>
      </w:r>
      <w:r w:rsidR="00CA59D3">
        <w:rPr>
          <w:rFonts w:cs="Arial"/>
          <w:bCs/>
          <w:lang w:val="es-MX"/>
        </w:rPr>
        <w:t>L</w:t>
      </w:r>
      <w:r>
        <w:rPr>
          <w:rFonts w:cs="Arial"/>
          <w:bCs/>
          <w:lang w:val="es-MX"/>
        </w:rPr>
        <w:t>iteral E) de la Constitución de la República;</w:t>
      </w:r>
    </w:p>
    <w:p w:rsidR="00784165" w:rsidRDefault="00784165" w:rsidP="00784165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bCs/>
          <w:lang w:val="es-MX"/>
        </w:rPr>
        <w:t xml:space="preserve">                                     </w:t>
      </w:r>
      <w:r>
        <w:rPr>
          <w:rFonts w:cs="Arial"/>
          <w:bCs/>
          <w:lang w:val="es-MX"/>
        </w:rPr>
        <w:tab/>
      </w:r>
      <w:r>
        <w:rPr>
          <w:rFonts w:cs="Arial"/>
          <w:b/>
          <w:lang w:val="es-MX"/>
        </w:rPr>
        <w:t>EL TRIBUNAL ACUERDA</w:t>
      </w:r>
    </w:p>
    <w:p w:rsidR="00784165" w:rsidRPr="00CA59D3" w:rsidRDefault="00CA59D3" w:rsidP="00CA59D3">
      <w:pPr>
        <w:spacing w:line="360" w:lineRule="auto"/>
        <w:ind w:left="426" w:hanging="426"/>
        <w:jc w:val="both"/>
        <w:rPr>
          <w:rFonts w:cs="Arial"/>
          <w:bCs/>
        </w:rPr>
      </w:pPr>
      <w:r w:rsidRPr="00CA59D3">
        <w:rPr>
          <w:rFonts w:cs="Arial"/>
          <w:b/>
          <w:bCs/>
          <w:lang w:val="es-MX"/>
        </w:rPr>
        <w:t>1)</w:t>
      </w:r>
      <w:r>
        <w:rPr>
          <w:rFonts w:cs="Arial"/>
          <w:bCs/>
          <w:lang w:val="es-MX"/>
        </w:rPr>
        <w:t xml:space="preserve"> </w:t>
      </w:r>
      <w:r w:rsidR="00784165" w:rsidRPr="00CA59D3">
        <w:rPr>
          <w:rFonts w:cs="Arial"/>
          <w:bCs/>
        </w:rPr>
        <w:t>Observar el procedimiento por lo expresado en los considerandos precedentes;</w:t>
      </w:r>
    </w:p>
    <w:p w:rsidR="00784165" w:rsidRDefault="00CA59D3" w:rsidP="00CA59D3">
      <w:pPr>
        <w:spacing w:line="360" w:lineRule="auto"/>
        <w:jc w:val="both"/>
        <w:rPr>
          <w:rFonts w:cs="Arial"/>
          <w:bCs/>
        </w:rPr>
      </w:pPr>
      <w:r w:rsidRPr="00CA59D3">
        <w:rPr>
          <w:rFonts w:cs="Arial"/>
          <w:b/>
          <w:bCs/>
        </w:rPr>
        <w:t>2)</w:t>
      </w:r>
      <w:r>
        <w:rPr>
          <w:rFonts w:cs="Arial"/>
          <w:bCs/>
        </w:rPr>
        <w:t xml:space="preserve"> </w:t>
      </w:r>
      <w:r w:rsidR="00784165">
        <w:rPr>
          <w:rFonts w:cs="Arial"/>
          <w:bCs/>
        </w:rPr>
        <w:t>D</w:t>
      </w:r>
      <w:r w:rsidR="00EB57A6">
        <w:rPr>
          <w:rFonts w:cs="Arial"/>
          <w:bCs/>
        </w:rPr>
        <w:t>enunciar ante</w:t>
      </w:r>
      <w:r w:rsidR="00784165">
        <w:rPr>
          <w:rFonts w:cs="Arial"/>
          <w:bCs/>
        </w:rPr>
        <w:t xml:space="preserve"> la Junta Departamental;</w:t>
      </w:r>
    </w:p>
    <w:p w:rsidR="00784165" w:rsidRDefault="00CA59D3" w:rsidP="00CA59D3">
      <w:pPr>
        <w:spacing w:line="360" w:lineRule="auto"/>
        <w:jc w:val="both"/>
        <w:rPr>
          <w:rFonts w:cs="Arial"/>
          <w:bCs/>
        </w:rPr>
      </w:pPr>
      <w:r w:rsidRPr="00CA59D3">
        <w:rPr>
          <w:rFonts w:cs="Arial"/>
          <w:b/>
          <w:bCs/>
        </w:rPr>
        <w:t>3)</w:t>
      </w:r>
      <w:r>
        <w:rPr>
          <w:rFonts w:cs="Arial"/>
          <w:bCs/>
        </w:rPr>
        <w:t xml:space="preserve"> </w:t>
      </w:r>
      <w:r w:rsidR="00784165">
        <w:rPr>
          <w:rFonts w:cs="Arial"/>
          <w:bCs/>
        </w:rPr>
        <w:t>Devolver las actuaciones.</w:t>
      </w:r>
    </w:p>
    <w:p w:rsidR="00CA59D3" w:rsidRDefault="00CA59D3" w:rsidP="00CA59D3">
      <w:pPr>
        <w:spacing w:line="360" w:lineRule="auto"/>
        <w:jc w:val="both"/>
        <w:rPr>
          <w:rFonts w:cs="Arial"/>
          <w:bCs/>
        </w:rPr>
      </w:pPr>
    </w:p>
    <w:p w:rsidR="003147B6" w:rsidRPr="00605848" w:rsidRDefault="00CA59D3" w:rsidP="00D56A8C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rFonts w:cs="Arial"/>
          <w:bCs/>
        </w:rPr>
        <w:t>ag</w:t>
      </w:r>
      <w:proofErr w:type="spellEnd"/>
      <w:proofErr w:type="gramEnd"/>
    </w:p>
    <w:sectPr w:rsidR="003147B6" w:rsidRPr="00605848" w:rsidSect="00074843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C2" w:rsidRDefault="008157C2" w:rsidP="008157C2">
      <w:r>
        <w:separator/>
      </w:r>
    </w:p>
  </w:endnote>
  <w:endnote w:type="continuationSeparator" w:id="0">
    <w:p w:rsidR="008157C2" w:rsidRDefault="008157C2" w:rsidP="0081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217428"/>
      <w:docPartObj>
        <w:docPartGallery w:val="Page Numbers (Bottom of Page)"/>
        <w:docPartUnique/>
      </w:docPartObj>
    </w:sdtPr>
    <w:sdtEndPr/>
    <w:sdtContent>
      <w:p w:rsidR="008157C2" w:rsidRDefault="008157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FD9">
          <w:rPr>
            <w:noProof/>
          </w:rPr>
          <w:t>1</w:t>
        </w:r>
        <w:r>
          <w:fldChar w:fldCharType="end"/>
        </w:r>
      </w:p>
    </w:sdtContent>
  </w:sdt>
  <w:p w:rsidR="008157C2" w:rsidRDefault="008157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C2" w:rsidRDefault="008157C2" w:rsidP="008157C2">
      <w:r>
        <w:separator/>
      </w:r>
    </w:p>
  </w:footnote>
  <w:footnote w:type="continuationSeparator" w:id="0">
    <w:p w:rsidR="008157C2" w:rsidRDefault="008157C2" w:rsidP="0081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C9CE8198"/>
    <w:lvl w:ilvl="0" w:tplc="18EED7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48"/>
    <w:rsid w:val="00074843"/>
    <w:rsid w:val="00080936"/>
    <w:rsid w:val="0021167F"/>
    <w:rsid w:val="003147B6"/>
    <w:rsid w:val="0033303C"/>
    <w:rsid w:val="0034364A"/>
    <w:rsid w:val="003A7A92"/>
    <w:rsid w:val="003B330C"/>
    <w:rsid w:val="00557428"/>
    <w:rsid w:val="005F2A4C"/>
    <w:rsid w:val="00605848"/>
    <w:rsid w:val="006C3FD9"/>
    <w:rsid w:val="00784165"/>
    <w:rsid w:val="008157C2"/>
    <w:rsid w:val="00CA59D3"/>
    <w:rsid w:val="00D56A8C"/>
    <w:rsid w:val="00DB17ED"/>
    <w:rsid w:val="00DB6271"/>
    <w:rsid w:val="00E03F02"/>
    <w:rsid w:val="00E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4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05848"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605848"/>
    <w:rPr>
      <w:rFonts w:ascii="Arial" w:eastAsia="Times New Roman" w:hAnsi="Arial" w:cs="Arial"/>
      <w:b/>
      <w:sz w:val="24"/>
      <w:szCs w:val="20"/>
      <w:u w:val="single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815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7C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5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7C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5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4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05848"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605848"/>
    <w:rPr>
      <w:rFonts w:ascii="Arial" w:eastAsia="Times New Roman" w:hAnsi="Arial" w:cs="Arial"/>
      <w:b/>
      <w:sz w:val="24"/>
      <w:szCs w:val="20"/>
      <w:u w:val="single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815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7C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5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7C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12</cp:revision>
  <dcterms:created xsi:type="dcterms:W3CDTF">2019-01-02T17:11:00Z</dcterms:created>
  <dcterms:modified xsi:type="dcterms:W3CDTF">2019-01-04T18:43:00Z</dcterms:modified>
</cp:coreProperties>
</file>