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E5" w:rsidRPr="00786EEB" w:rsidRDefault="00B26EE5"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3804/18</w:t>
      </w:r>
    </w:p>
    <w:p w:rsidR="00B26EE5" w:rsidRDefault="00B26EE5" w:rsidP="00786EEB">
      <w:pPr>
        <w:tabs>
          <w:tab w:val="center" w:pos="4253"/>
        </w:tabs>
        <w:suppressAutoHyphens/>
        <w:jc w:val="right"/>
        <w:rPr>
          <w:rFonts w:cs="Arial"/>
          <w:b/>
          <w:lang w:val="es-ES_tradnl"/>
        </w:rPr>
      </w:pPr>
    </w:p>
    <w:p w:rsidR="00B26EE5" w:rsidRPr="00762B34" w:rsidRDefault="00B26EE5">
      <w:pPr>
        <w:tabs>
          <w:tab w:val="center" w:pos="4253"/>
        </w:tabs>
        <w:suppressAutoHyphens/>
        <w:jc w:val="center"/>
        <w:rPr>
          <w:rFonts w:cs="Arial"/>
          <w:b/>
          <w:lang w:val="es-ES_tradnl"/>
        </w:rPr>
      </w:pPr>
      <w:r w:rsidRPr="00762B34">
        <w:rPr>
          <w:rFonts w:cs="Arial"/>
          <w:b/>
          <w:lang w:val="es-ES_tradnl"/>
        </w:rPr>
        <w:t>RESOLUCION ADOPTADA POR EL</w:t>
      </w:r>
    </w:p>
    <w:p w:rsidR="00B26EE5" w:rsidRPr="00762B34" w:rsidRDefault="00B26EE5">
      <w:pPr>
        <w:tabs>
          <w:tab w:val="left" w:pos="-720"/>
        </w:tabs>
        <w:suppressAutoHyphens/>
        <w:jc w:val="center"/>
        <w:rPr>
          <w:rFonts w:cs="Arial"/>
          <w:b/>
          <w:lang w:val="es-ES_tradnl"/>
        </w:rPr>
      </w:pPr>
    </w:p>
    <w:p w:rsidR="00B26EE5" w:rsidRPr="00762B34" w:rsidRDefault="00B26EE5">
      <w:pPr>
        <w:tabs>
          <w:tab w:val="center" w:pos="4253"/>
        </w:tabs>
        <w:suppressAutoHyphens/>
        <w:jc w:val="center"/>
        <w:rPr>
          <w:rFonts w:cs="Arial"/>
          <w:b/>
          <w:lang w:val="es-ES_tradnl"/>
        </w:rPr>
      </w:pPr>
      <w:r w:rsidRPr="00762B34">
        <w:rPr>
          <w:rFonts w:cs="Arial"/>
          <w:b/>
          <w:lang w:val="es-ES_tradnl"/>
        </w:rPr>
        <w:t>TRIBUNAL DE CUENTAS</w:t>
      </w:r>
    </w:p>
    <w:p w:rsidR="00B26EE5" w:rsidRPr="00762B34" w:rsidRDefault="00B26EE5">
      <w:pPr>
        <w:tabs>
          <w:tab w:val="left" w:pos="-720"/>
        </w:tabs>
        <w:suppressAutoHyphens/>
        <w:jc w:val="center"/>
        <w:rPr>
          <w:rFonts w:cs="Arial"/>
          <w:b/>
          <w:lang w:val="es-ES_tradnl"/>
        </w:rPr>
      </w:pPr>
    </w:p>
    <w:p w:rsidR="00B26EE5" w:rsidRPr="00762B34" w:rsidRDefault="00B26EE5">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12 DE DICIEMBRE </w:t>
      </w:r>
      <w:r>
        <w:rPr>
          <w:rFonts w:ascii="Helvetica" w:hAnsi="Helvetica"/>
          <w:b/>
          <w:lang w:val="es-ES_tradnl"/>
        </w:rPr>
        <w:t>DE 2018</w:t>
      </w:r>
    </w:p>
    <w:p w:rsidR="00B26EE5" w:rsidRPr="00762B34" w:rsidRDefault="00B26EE5">
      <w:pPr>
        <w:tabs>
          <w:tab w:val="center" w:pos="4253"/>
        </w:tabs>
        <w:suppressAutoHyphens/>
        <w:jc w:val="center"/>
        <w:rPr>
          <w:rFonts w:cs="Arial"/>
          <w:b/>
          <w:lang w:val="es-ES_tradnl"/>
        </w:rPr>
      </w:pPr>
    </w:p>
    <w:p w:rsidR="00B26EE5" w:rsidRPr="00905065" w:rsidRDefault="00B26EE5">
      <w:pPr>
        <w:tabs>
          <w:tab w:val="center" w:pos="4253"/>
        </w:tabs>
        <w:suppressAutoHyphens/>
        <w:jc w:val="center"/>
        <w:rPr>
          <w:rFonts w:cs="Arial"/>
          <w:b/>
          <w:lang w:val="es-UY"/>
        </w:rPr>
      </w:pPr>
      <w:r w:rsidRPr="00905065">
        <w:rPr>
          <w:rFonts w:cs="Arial"/>
          <w:b/>
          <w:lang w:val="es-UY"/>
        </w:rPr>
        <w:t xml:space="preserve">(E. E. Nº 2018-17-1-0004608, </w:t>
      </w:r>
      <w:proofErr w:type="spellStart"/>
      <w:r w:rsidRPr="00905065">
        <w:rPr>
          <w:rFonts w:cs="Arial"/>
          <w:b/>
          <w:lang w:val="es-UY"/>
        </w:rPr>
        <w:t>Ent</w:t>
      </w:r>
      <w:proofErr w:type="spellEnd"/>
      <w:r w:rsidRPr="00905065">
        <w:rPr>
          <w:rFonts w:cs="Arial"/>
          <w:b/>
          <w:lang w:val="es-UY"/>
        </w:rPr>
        <w:t>. N° 3544/18)</w:t>
      </w:r>
    </w:p>
    <w:p w:rsidR="00B26EE5" w:rsidRPr="00905065" w:rsidRDefault="00B26EE5">
      <w:pPr>
        <w:rPr>
          <w:lang w:val="es-UY"/>
        </w:rPr>
      </w:pPr>
    </w:p>
    <w:p w:rsidR="00B26EE5" w:rsidRPr="00905065" w:rsidRDefault="00B26EE5">
      <w:pPr>
        <w:rPr>
          <w:lang w:val="es-UY"/>
        </w:rPr>
      </w:pPr>
    </w:p>
    <w:p w:rsidR="00864BCA" w:rsidRDefault="00864BCA" w:rsidP="00EE4E3A">
      <w:pPr>
        <w:spacing w:line="360" w:lineRule="auto"/>
        <w:ind w:firstLine="851"/>
        <w:jc w:val="both"/>
      </w:pPr>
      <w:r>
        <w:rPr>
          <w:b/>
        </w:rPr>
        <w:t>VISTO:</w:t>
      </w:r>
      <w:r>
        <w:t xml:space="preserve"> la Rendición de Cuentas y Balance de Ejecución Presupuestal de la Intendencia de Paysandú correspondiente al Ejercicio 2017;</w:t>
      </w:r>
    </w:p>
    <w:p w:rsidR="00864BCA" w:rsidRDefault="00864BCA" w:rsidP="00EE4E3A">
      <w:pPr>
        <w:spacing w:line="360" w:lineRule="auto"/>
        <w:ind w:firstLine="851"/>
        <w:jc w:val="both"/>
      </w:pPr>
      <w:r>
        <w:rPr>
          <w:b/>
        </w:rPr>
        <w:t xml:space="preserve">RESULTANDO: </w:t>
      </w:r>
      <w: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864BCA" w:rsidRDefault="00864BCA" w:rsidP="00EE4E3A">
      <w:pPr>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864BCA" w:rsidRDefault="00864BCA" w:rsidP="00EE4E3A">
      <w:pPr>
        <w:spacing w:line="360" w:lineRule="auto"/>
        <w:ind w:firstLine="851"/>
        <w:jc w:val="both"/>
      </w:pPr>
      <w:r>
        <w:rPr>
          <w:b/>
        </w:rPr>
        <w:t xml:space="preserve">ATENTO: </w:t>
      </w:r>
      <w:r>
        <w:t>a lo dispuesto por el Artículo 211 Literal C) de la Constitución de la República;</w:t>
      </w:r>
    </w:p>
    <w:p w:rsidR="00864BCA" w:rsidRDefault="00864BCA" w:rsidP="00B26EE5">
      <w:pPr>
        <w:spacing w:line="360" w:lineRule="auto"/>
        <w:jc w:val="center"/>
        <w:rPr>
          <w:b/>
        </w:rPr>
      </w:pPr>
      <w:bookmarkStart w:id="1" w:name="_Toc75256577"/>
      <w:r>
        <w:rPr>
          <w:b/>
        </w:rPr>
        <w:t>EL TRIBUNAL ACUERDA</w:t>
      </w:r>
      <w:bookmarkEnd w:id="1"/>
    </w:p>
    <w:p w:rsidR="00864BCA" w:rsidRDefault="00864BCA" w:rsidP="00B26EE5">
      <w:pPr>
        <w:numPr>
          <w:ilvl w:val="0"/>
          <w:numId w:val="15"/>
        </w:numPr>
        <w:spacing w:line="360" w:lineRule="auto"/>
        <w:jc w:val="both"/>
      </w:pPr>
      <w:r>
        <w:t xml:space="preserve">Expedirse en los términos del Informe de </w:t>
      </w:r>
      <w:r w:rsidR="00EE4E3A">
        <w:t>Auditoría que se adjunta;</w:t>
      </w:r>
    </w:p>
    <w:p w:rsidR="00864BCA" w:rsidRDefault="00864BCA" w:rsidP="00D0616B">
      <w:pPr>
        <w:numPr>
          <w:ilvl w:val="0"/>
          <w:numId w:val="15"/>
        </w:numPr>
        <w:spacing w:line="360" w:lineRule="auto"/>
        <w:jc w:val="both"/>
      </w:pPr>
      <w:r>
        <w:t>Comunicar la presente Resolución a la Junta Departamental</w:t>
      </w:r>
      <w:r w:rsidR="00B26EE5">
        <w:t xml:space="preserve"> y a la Intendencia de Paysandú; y</w:t>
      </w:r>
    </w:p>
    <w:p w:rsidR="00864BCA" w:rsidRDefault="00864BCA" w:rsidP="00D0616B">
      <w:pPr>
        <w:numPr>
          <w:ilvl w:val="0"/>
          <w:numId w:val="15"/>
        </w:numPr>
        <w:spacing w:line="360" w:lineRule="auto"/>
        <w:jc w:val="both"/>
      </w:pPr>
      <w:r>
        <w:t>Dar cuenta a la Asamblea General.</w:t>
      </w:r>
    </w:p>
    <w:p w:rsidR="00D0616B" w:rsidRDefault="00D0616B" w:rsidP="00864BCA">
      <w:pPr>
        <w:spacing w:line="360" w:lineRule="auto"/>
        <w:jc w:val="both"/>
        <w:rPr>
          <w:sz w:val="16"/>
        </w:rPr>
      </w:pPr>
    </w:p>
    <w:p w:rsidR="00D0616B" w:rsidRDefault="00D0616B" w:rsidP="00864BCA">
      <w:pPr>
        <w:spacing w:line="360" w:lineRule="auto"/>
        <w:jc w:val="both"/>
        <w:rPr>
          <w:sz w:val="16"/>
        </w:rPr>
      </w:pPr>
    </w:p>
    <w:p w:rsidR="00EB180E" w:rsidRDefault="00B26EE5" w:rsidP="00D0616B">
      <w:pPr>
        <w:spacing w:line="360" w:lineRule="auto"/>
        <w:jc w:val="both"/>
      </w:pPr>
      <w:proofErr w:type="spellStart"/>
      <w:proofErr w:type="gramStart"/>
      <w:r w:rsidRPr="00B26EE5">
        <w:t>cr</w:t>
      </w:r>
      <w:proofErr w:type="spellEnd"/>
      <w:proofErr w:type="gramEnd"/>
    </w:p>
    <w:p w:rsidR="00905065" w:rsidRDefault="00905065" w:rsidP="00D0616B">
      <w:pPr>
        <w:spacing w:line="360" w:lineRule="auto"/>
        <w:jc w:val="both"/>
      </w:pPr>
    </w:p>
    <w:p w:rsidR="00905065" w:rsidRPr="0023661F" w:rsidRDefault="00905065" w:rsidP="00847137">
      <w:pPr>
        <w:pStyle w:val="Ttulo1"/>
        <w:jc w:val="center"/>
        <w:rPr>
          <w:rFonts w:cs="Arial"/>
          <w:szCs w:val="24"/>
        </w:rPr>
      </w:pPr>
      <w:bookmarkStart w:id="2" w:name="_Toc271807410"/>
      <w:bookmarkStart w:id="3" w:name="_Toc343587252"/>
      <w:bookmarkStart w:id="4" w:name="_Toc407008307"/>
      <w:bookmarkStart w:id="5" w:name="_Toc114298584"/>
      <w:r w:rsidRPr="0023661F">
        <w:rPr>
          <w:rFonts w:cs="Arial"/>
          <w:szCs w:val="24"/>
        </w:rPr>
        <w:lastRenderedPageBreak/>
        <w:t>DICTAMEN</w:t>
      </w:r>
      <w:bookmarkEnd w:id="2"/>
      <w:bookmarkEnd w:id="3"/>
      <w:bookmarkEnd w:id="4"/>
    </w:p>
    <w:p w:rsidR="00905065" w:rsidRPr="00AB61B1" w:rsidRDefault="00905065" w:rsidP="005873D9">
      <w:pPr>
        <w:pStyle w:val="Subttulo"/>
        <w:spacing w:after="240"/>
        <w:rPr>
          <w:rFonts w:ascii="Arial" w:hAnsi="Arial" w:cs="Arial"/>
          <w:szCs w:val="24"/>
        </w:rPr>
      </w:pPr>
      <w:r w:rsidRPr="00AB61B1">
        <w:rPr>
          <w:rFonts w:ascii="Arial" w:hAnsi="Arial" w:cs="Arial"/>
          <w:szCs w:val="24"/>
        </w:rPr>
        <w:t>Opini</w:t>
      </w:r>
      <w:r>
        <w:rPr>
          <w:rFonts w:ascii="Arial" w:hAnsi="Arial" w:cs="Arial"/>
          <w:szCs w:val="24"/>
        </w:rPr>
        <w:t>ó</w:t>
      </w:r>
      <w:r w:rsidRPr="00AB61B1">
        <w:rPr>
          <w:rFonts w:ascii="Arial" w:hAnsi="Arial" w:cs="Arial"/>
          <w:szCs w:val="24"/>
        </w:rPr>
        <w:t>n</w:t>
      </w:r>
    </w:p>
    <w:p w:rsidR="00905065" w:rsidRDefault="00905065" w:rsidP="005873D9">
      <w:pPr>
        <w:shd w:val="clear" w:color="auto" w:fill="FFFFFF"/>
        <w:spacing w:after="240" w:line="360" w:lineRule="auto"/>
        <w:jc w:val="both"/>
        <w:rPr>
          <w:rFonts w:eastAsia="Times New Roman" w:cs="Arial"/>
          <w:lang w:val="es-MX"/>
        </w:rPr>
      </w:pPr>
      <w:r w:rsidRPr="00A40797">
        <w:rPr>
          <w:rFonts w:cs="Arial"/>
          <w:lang w:val="es-MX" w:eastAsia="en-US"/>
        </w:rPr>
        <w:t xml:space="preserve">El Tribunal de Cuentas ha auditado la Rendición de Cuentas  y el Balance de Ejecución Presupuestal de la </w:t>
      </w:r>
      <w:r w:rsidRPr="00A40797">
        <w:rPr>
          <w:rFonts w:cs="Arial"/>
        </w:rPr>
        <w:t>Intendencia de Paysandú</w:t>
      </w:r>
      <w:r w:rsidRPr="00A40797">
        <w:rPr>
          <w:rFonts w:cs="Arial"/>
          <w:lang w:val="es-MX" w:eastAsia="en-US"/>
        </w:rPr>
        <w:t>, que comprende los estados de ejecución presupuestal con relación a los créditos</w:t>
      </w:r>
      <w:r>
        <w:rPr>
          <w:rFonts w:cs="Arial"/>
          <w:lang w:val="es-MX" w:eastAsia="en-US"/>
        </w:rPr>
        <w:t xml:space="preserve"> </w:t>
      </w:r>
      <w:r w:rsidRPr="00A40797">
        <w:rPr>
          <w:rFonts w:eastAsia="Times New Roman" w:cs="Arial"/>
          <w:lang w:val="es-MX"/>
        </w:rPr>
        <w:t>y a los recursos, de resultado del ejercicio, de resultado acumulado y otros estados complementarios, correspondientes al ejercicio finalizado el 31/12/2017</w:t>
      </w:r>
      <w:r>
        <w:rPr>
          <w:rFonts w:eastAsia="Times New Roman" w:cs="Arial"/>
          <w:lang w:val="es-MX"/>
        </w:rPr>
        <w:t>.</w:t>
      </w:r>
    </w:p>
    <w:p w:rsidR="00905065" w:rsidRPr="0023661F" w:rsidRDefault="00905065" w:rsidP="005873D9">
      <w:pPr>
        <w:pStyle w:val="Textoindependiente"/>
        <w:spacing w:after="240"/>
        <w:rPr>
          <w:rFonts w:cs="Arial"/>
        </w:rPr>
      </w:pPr>
      <w:r w:rsidRPr="0023661F">
        <w:rPr>
          <w:rFonts w:cs="Arial"/>
        </w:rPr>
        <w:t xml:space="preserve">En opinión del Tribunal de Cuentas, </w:t>
      </w:r>
      <w:r>
        <w:rPr>
          <w:rFonts w:cs="Arial"/>
        </w:rPr>
        <w:t>el</w:t>
      </w:r>
      <w:r w:rsidRPr="0023661F">
        <w:rPr>
          <w:rFonts w:cs="Arial"/>
        </w:rPr>
        <w:t xml:space="preserve"> Estado de Ejecución Presupuestal con relación a los recursos presenta razonablemente la ejecución de</w:t>
      </w:r>
      <w:r>
        <w:rPr>
          <w:rFonts w:cs="Arial"/>
        </w:rPr>
        <w:t xml:space="preserve"> los mismos durante el ejercicio 2017</w:t>
      </w:r>
      <w:r w:rsidRPr="0023661F">
        <w:rPr>
          <w:rFonts w:cs="Arial"/>
        </w:rPr>
        <w:t>, en todos sus aspectos importantes, de acuerdo con las normas establecidas en el TOCAF y la Resolución de este Tribunal de fecha 28 de enero de 2004.</w:t>
      </w:r>
    </w:p>
    <w:p w:rsidR="00905065" w:rsidRDefault="00905065" w:rsidP="005873D9">
      <w:pPr>
        <w:spacing w:after="240" w:line="360" w:lineRule="auto"/>
        <w:jc w:val="both"/>
        <w:rPr>
          <w:rFonts w:cs="Arial"/>
        </w:rPr>
      </w:pPr>
      <w:r w:rsidRPr="0023661F">
        <w:rPr>
          <w:rFonts w:cs="Arial"/>
        </w:rPr>
        <w:t xml:space="preserve">Debido a las consideraciones </w:t>
      </w:r>
      <w:r>
        <w:rPr>
          <w:rFonts w:cs="Arial"/>
        </w:rPr>
        <w:t xml:space="preserve">que se </w:t>
      </w:r>
      <w:r w:rsidRPr="0023661F">
        <w:rPr>
          <w:rFonts w:cs="Arial"/>
        </w:rPr>
        <w:t>efect</w:t>
      </w:r>
      <w:r>
        <w:rPr>
          <w:rFonts w:cs="Arial"/>
        </w:rPr>
        <w:t xml:space="preserve">úan </w:t>
      </w:r>
      <w:r w:rsidRPr="0023661F">
        <w:rPr>
          <w:rFonts w:cs="Arial"/>
        </w:rPr>
        <w:t xml:space="preserve">en el párrafo </w:t>
      </w:r>
      <w:r>
        <w:rPr>
          <w:rFonts w:cs="Arial"/>
        </w:rPr>
        <w:t>“</w:t>
      </w:r>
      <w:r w:rsidRPr="0023661F">
        <w:rPr>
          <w:rFonts w:cs="Arial"/>
        </w:rPr>
        <w:t xml:space="preserve">Bases para la </w:t>
      </w:r>
      <w:r w:rsidRPr="00691488">
        <w:rPr>
          <w:rFonts w:cs="Arial"/>
        </w:rPr>
        <w:t xml:space="preserve">abstención de opinión” y a que no fue posible aplicar otros procedimientos de auditoría </w:t>
      </w:r>
      <w:r>
        <w:rPr>
          <w:rFonts w:cs="Arial"/>
        </w:rPr>
        <w:t>suficiente, el alcance del trabajo</w:t>
      </w:r>
      <w:r w:rsidRPr="00691488">
        <w:rPr>
          <w:rFonts w:cs="Arial"/>
        </w:rPr>
        <w:t xml:space="preserve"> no es suficiente para permitir expresar, y por tanto no se expresa, una opinión respecto a los Estados de Ejecución Presupuestal con relación a los créditos, </w:t>
      </w:r>
      <w:r>
        <w:rPr>
          <w:rFonts w:cs="Arial"/>
        </w:rPr>
        <w:t>d</w:t>
      </w:r>
      <w:r w:rsidRPr="00691488">
        <w:rPr>
          <w:rFonts w:cs="Arial"/>
        </w:rPr>
        <w:t>e</w:t>
      </w:r>
      <w:r>
        <w:rPr>
          <w:rFonts w:cs="Arial"/>
        </w:rPr>
        <w:t>l</w:t>
      </w:r>
      <w:r w:rsidRPr="00691488">
        <w:rPr>
          <w:rFonts w:cs="Arial"/>
        </w:rPr>
        <w:t xml:space="preserve"> Resultado del Ejercicio 201</w:t>
      </w:r>
      <w:r>
        <w:rPr>
          <w:rFonts w:cs="Arial"/>
        </w:rPr>
        <w:t>7</w:t>
      </w:r>
      <w:r w:rsidRPr="00691488">
        <w:rPr>
          <w:rFonts w:cs="Arial"/>
        </w:rPr>
        <w:t xml:space="preserve"> y de</w:t>
      </w:r>
      <w:r>
        <w:rPr>
          <w:rFonts w:cs="Arial"/>
        </w:rPr>
        <w:t>l</w:t>
      </w:r>
      <w:r w:rsidRPr="00691488">
        <w:rPr>
          <w:rFonts w:cs="Arial"/>
        </w:rPr>
        <w:t xml:space="preserve"> Resultado Acumulado al 31 de diciembre de 201</w:t>
      </w:r>
      <w:r>
        <w:rPr>
          <w:rFonts w:cs="Arial"/>
        </w:rPr>
        <w:t>7</w:t>
      </w:r>
      <w:r w:rsidRPr="00691488">
        <w:rPr>
          <w:rFonts w:cs="Arial"/>
        </w:rPr>
        <w:t>.</w:t>
      </w:r>
    </w:p>
    <w:p w:rsidR="00905065" w:rsidRPr="00A40797" w:rsidRDefault="00905065" w:rsidP="00F347B4">
      <w:pPr>
        <w:spacing w:after="200" w:line="276" w:lineRule="auto"/>
        <w:jc w:val="both"/>
        <w:rPr>
          <w:rFonts w:cs="Arial"/>
          <w:b/>
          <w:lang w:val="es-UY" w:eastAsia="en-US"/>
        </w:rPr>
      </w:pPr>
      <w:r w:rsidRPr="00A40797">
        <w:rPr>
          <w:rFonts w:cs="Arial"/>
          <w:b/>
          <w:lang w:val="es-UY" w:eastAsia="en-US"/>
        </w:rPr>
        <w:t>Opinión respecto al cumplimiento de la normativa legal aplicable</w:t>
      </w:r>
    </w:p>
    <w:p w:rsidR="00905065" w:rsidRPr="00A40797" w:rsidRDefault="00905065" w:rsidP="00BC02CF">
      <w:pPr>
        <w:spacing w:after="240" w:line="360" w:lineRule="auto"/>
        <w:jc w:val="both"/>
        <w:rPr>
          <w:rFonts w:cs="Arial"/>
          <w:lang w:val="es-MX" w:eastAsia="en-US"/>
        </w:rPr>
      </w:pPr>
      <w:r w:rsidRPr="00A40797">
        <w:rPr>
          <w:rFonts w:cs="Arial"/>
          <w:lang w:val="es-MX" w:eastAsia="en-US"/>
        </w:rPr>
        <w:t xml:space="preserve">En el curso de la auditoría se han constatado los siguientes incumplimientos: Artículo </w:t>
      </w:r>
      <w:r>
        <w:rPr>
          <w:rFonts w:cs="Arial"/>
          <w:lang w:val="es-MX" w:eastAsia="en-US"/>
        </w:rPr>
        <w:t>86 y 297 numeral 1) de la Constitución de la República, Artículos 93 y 94 del Código Tributario, Artículos 13, 33, 40 y 43 d</w:t>
      </w:r>
      <w:r w:rsidRPr="00A40797">
        <w:rPr>
          <w:rFonts w:cs="Arial"/>
          <w:lang w:val="es-MX" w:eastAsia="en-US"/>
        </w:rPr>
        <w:t xml:space="preserve">el TOCAF, </w:t>
      </w:r>
      <w:r>
        <w:rPr>
          <w:rFonts w:cs="Arial"/>
          <w:lang w:val="es-MX" w:eastAsia="en-US"/>
        </w:rPr>
        <w:t xml:space="preserve">Ley Nº 18.083 y Artículo 101 del Decreto 220/98, Convenio Nº 30 de la OIT, Ordenanza Nº 62 </w:t>
      </w:r>
      <w:r w:rsidRPr="00A40797">
        <w:rPr>
          <w:rFonts w:cs="Arial"/>
          <w:lang w:val="es-MX" w:eastAsia="en-US"/>
        </w:rPr>
        <w:t>y Resoluci</w:t>
      </w:r>
      <w:r>
        <w:rPr>
          <w:rFonts w:cs="Arial"/>
          <w:lang w:val="es-MX" w:eastAsia="en-US"/>
        </w:rPr>
        <w:t xml:space="preserve">ones </w:t>
      </w:r>
      <w:r w:rsidRPr="00A40797">
        <w:rPr>
          <w:rFonts w:cs="Arial"/>
          <w:lang w:val="es-MX" w:eastAsia="en-US"/>
        </w:rPr>
        <w:t xml:space="preserve">de </w:t>
      </w:r>
      <w:r>
        <w:rPr>
          <w:rFonts w:cs="Arial"/>
          <w:lang w:val="es-MX" w:eastAsia="en-US"/>
        </w:rPr>
        <w:t>16/08/1995</w:t>
      </w:r>
      <w:r w:rsidRPr="00A40797">
        <w:rPr>
          <w:rFonts w:cs="Arial"/>
          <w:lang w:val="es-MX" w:eastAsia="en-US"/>
        </w:rPr>
        <w:t xml:space="preserve"> </w:t>
      </w:r>
      <w:r>
        <w:rPr>
          <w:rFonts w:cs="Arial"/>
          <w:lang w:val="es-MX" w:eastAsia="en-US"/>
        </w:rPr>
        <w:t xml:space="preserve">y 28/01/2004 </w:t>
      </w:r>
      <w:r w:rsidRPr="00A40797">
        <w:rPr>
          <w:rFonts w:cs="Arial"/>
          <w:lang w:val="es-MX" w:eastAsia="en-US"/>
        </w:rPr>
        <w:t>del Tribunal de Cuentas</w:t>
      </w:r>
      <w:r>
        <w:rPr>
          <w:rFonts w:cs="Arial"/>
          <w:lang w:val="es-MX" w:eastAsia="en-US"/>
        </w:rPr>
        <w:t>, Artículo 12 numeral 3 y Artículo 14 de la Ley N 19.272, Artículo 46 del Presupuesto Quinquenal período 2016-2020</w:t>
      </w:r>
      <w:r w:rsidRPr="00A40797">
        <w:rPr>
          <w:rFonts w:cs="Arial"/>
          <w:lang w:val="es-MX" w:eastAsia="en-US"/>
        </w:rPr>
        <w:t>.</w:t>
      </w:r>
    </w:p>
    <w:p w:rsidR="00905065" w:rsidRPr="00AB61B1" w:rsidRDefault="00905065" w:rsidP="00BC02CF">
      <w:pPr>
        <w:pStyle w:val="Ttulo2"/>
        <w:spacing w:after="0"/>
        <w:jc w:val="both"/>
        <w:rPr>
          <w:rFonts w:cs="Arial"/>
          <w:b w:val="0"/>
          <w:szCs w:val="24"/>
        </w:rPr>
      </w:pPr>
      <w:r w:rsidRPr="00926777">
        <w:rPr>
          <w:rFonts w:cs="Arial"/>
          <w:szCs w:val="24"/>
        </w:rPr>
        <w:t>Bases para la abstención de opinión</w:t>
      </w:r>
      <w:r w:rsidRPr="00AB61B1">
        <w:rPr>
          <w:rFonts w:cs="Arial"/>
          <w:b w:val="0"/>
          <w:szCs w:val="24"/>
        </w:rPr>
        <w:t xml:space="preserve"> respecto de los Estados de Resultado del Ejercicio, del Resultado Acumulado al 31/12/17 y de Ejecución en relación a los créditos presupuestales.</w:t>
      </w:r>
    </w:p>
    <w:p w:rsidR="00905065" w:rsidRDefault="00905065" w:rsidP="00BC02CF">
      <w:pPr>
        <w:pStyle w:val="Textoindependiente"/>
        <w:rPr>
          <w:rFonts w:cs="Arial"/>
        </w:rPr>
      </w:pPr>
      <w:r w:rsidRPr="00D77EFC">
        <w:rPr>
          <w:rFonts w:cs="Arial"/>
          <w:b/>
        </w:rPr>
        <w:t>1)</w:t>
      </w:r>
      <w:r w:rsidRPr="00D77EFC">
        <w:rPr>
          <w:rFonts w:cs="Arial"/>
        </w:rPr>
        <w:t xml:space="preserve"> </w:t>
      </w:r>
      <w:r>
        <w:rPr>
          <w:rFonts w:cs="Arial"/>
        </w:rPr>
        <w:t xml:space="preserve">En el Estado Nº 14 Resultado Acumulado no se pudo verificar la </w:t>
      </w:r>
      <w:proofErr w:type="spellStart"/>
      <w:r>
        <w:rPr>
          <w:rFonts w:cs="Arial"/>
        </w:rPr>
        <w:t>razonablidad</w:t>
      </w:r>
      <w:proofErr w:type="spellEnd"/>
      <w:r>
        <w:rPr>
          <w:rFonts w:cs="Arial"/>
        </w:rPr>
        <w:t xml:space="preserve"> de los saldos de: obligaciones presupuestales impagas y </w:t>
      </w:r>
      <w:proofErr w:type="spellStart"/>
      <w:r>
        <w:rPr>
          <w:rFonts w:cs="Arial"/>
        </w:rPr>
        <w:t>extrapresupuesto</w:t>
      </w:r>
      <w:proofErr w:type="spellEnd"/>
      <w:r>
        <w:rPr>
          <w:rFonts w:cs="Arial"/>
        </w:rPr>
        <w:t xml:space="preserve"> a pagar por $ 165:174.696 y $ 94:474.095, respectivamente. </w:t>
      </w:r>
    </w:p>
    <w:p w:rsidR="00905065" w:rsidRPr="0023661F" w:rsidRDefault="00905065" w:rsidP="00BC02CF">
      <w:pPr>
        <w:pStyle w:val="Textoindependiente"/>
        <w:rPr>
          <w:rFonts w:cs="Arial"/>
        </w:rPr>
      </w:pPr>
      <w:r w:rsidRPr="0023661F">
        <w:rPr>
          <w:rFonts w:cs="Arial"/>
          <w:b/>
        </w:rPr>
        <w:t>2)</w:t>
      </w:r>
      <w:r w:rsidRPr="0023661F">
        <w:rPr>
          <w:rFonts w:cs="Arial"/>
        </w:rPr>
        <w:t xml:space="preserve"> El Estado de Resultado</w:t>
      </w:r>
      <w:r>
        <w:rPr>
          <w:rFonts w:cs="Arial"/>
        </w:rPr>
        <w:t xml:space="preserve"> del Ejercicio</w:t>
      </w:r>
      <w:r w:rsidRPr="0023661F">
        <w:rPr>
          <w:rFonts w:cs="Arial"/>
        </w:rPr>
        <w:t xml:space="preserve"> incluye como resultado </w:t>
      </w:r>
      <w:proofErr w:type="spellStart"/>
      <w:r w:rsidRPr="0023661F">
        <w:rPr>
          <w:rFonts w:cs="Arial"/>
        </w:rPr>
        <w:t>extrapresupuestal</w:t>
      </w:r>
      <w:proofErr w:type="spellEnd"/>
      <w:r>
        <w:rPr>
          <w:rFonts w:cs="Arial"/>
        </w:rPr>
        <w:t xml:space="preserve"> un superávit de </w:t>
      </w:r>
      <w:r w:rsidRPr="0023661F">
        <w:rPr>
          <w:rFonts w:cs="Arial"/>
        </w:rPr>
        <w:t xml:space="preserve">$ </w:t>
      </w:r>
      <w:r>
        <w:rPr>
          <w:rFonts w:cs="Arial"/>
        </w:rPr>
        <w:t>50</w:t>
      </w:r>
      <w:r w:rsidRPr="0023661F">
        <w:rPr>
          <w:rFonts w:cs="Arial"/>
        </w:rPr>
        <w:t>:</w:t>
      </w:r>
      <w:r>
        <w:rPr>
          <w:rFonts w:cs="Arial"/>
        </w:rPr>
        <w:t>553</w:t>
      </w:r>
      <w:r w:rsidRPr="0023661F">
        <w:rPr>
          <w:rFonts w:cs="Arial"/>
        </w:rPr>
        <w:t>.</w:t>
      </w:r>
      <w:r>
        <w:rPr>
          <w:rFonts w:cs="Arial"/>
        </w:rPr>
        <w:t xml:space="preserve">317. En el Estado  de Fondos </w:t>
      </w:r>
      <w:proofErr w:type="spellStart"/>
      <w:r>
        <w:rPr>
          <w:rFonts w:cs="Arial"/>
        </w:rPr>
        <w:t>Extrapresupuestales</w:t>
      </w:r>
      <w:proofErr w:type="spellEnd"/>
      <w:r>
        <w:rPr>
          <w:rFonts w:cs="Arial"/>
        </w:rPr>
        <w:t xml:space="preserve">, no se pudo verificar el saldo inicial, ni la columna ajustes, </w:t>
      </w:r>
      <w:r w:rsidRPr="00CE7F0B">
        <w:rPr>
          <w:rFonts w:cs="Arial"/>
        </w:rPr>
        <w:t xml:space="preserve">por lo que no se puede </w:t>
      </w:r>
      <w:r>
        <w:rPr>
          <w:rFonts w:cs="Arial"/>
        </w:rPr>
        <w:t>determinar fehacientemente</w:t>
      </w:r>
      <w:r w:rsidRPr="00CE7F0B">
        <w:rPr>
          <w:rFonts w:cs="Arial"/>
        </w:rPr>
        <w:t xml:space="preserve"> el resultado </w:t>
      </w:r>
      <w:proofErr w:type="spellStart"/>
      <w:r w:rsidRPr="00CE7F0B">
        <w:rPr>
          <w:rFonts w:cs="Arial"/>
        </w:rPr>
        <w:t>extrapresupuestal</w:t>
      </w:r>
      <w:proofErr w:type="spellEnd"/>
      <w:r>
        <w:rPr>
          <w:rFonts w:cs="Arial"/>
        </w:rPr>
        <w:t>. Tampoco se pudo</w:t>
      </w:r>
      <w:r w:rsidRPr="0023661F">
        <w:rPr>
          <w:rFonts w:cs="Arial"/>
        </w:rPr>
        <w:t xml:space="preserve"> verificar la exactitud de la información incluida y la determinación de los saldos de fondos </w:t>
      </w:r>
      <w:proofErr w:type="spellStart"/>
      <w:r w:rsidRPr="0023661F">
        <w:rPr>
          <w:rFonts w:cs="Arial"/>
        </w:rPr>
        <w:t>extrapresupuestales</w:t>
      </w:r>
      <w:proofErr w:type="spellEnd"/>
      <w:r w:rsidRPr="0023661F">
        <w:rPr>
          <w:rFonts w:cs="Arial"/>
        </w:rPr>
        <w:t xml:space="preserve"> a cobrar y a pagar y de los que afectan el resultado.</w:t>
      </w:r>
    </w:p>
    <w:p w:rsidR="00905065" w:rsidRPr="0023661F" w:rsidRDefault="00905065" w:rsidP="00BC02CF">
      <w:pPr>
        <w:spacing w:line="360" w:lineRule="auto"/>
        <w:jc w:val="both"/>
        <w:rPr>
          <w:rFonts w:cs="Arial"/>
        </w:rPr>
      </w:pPr>
      <w:r w:rsidRPr="0023661F">
        <w:rPr>
          <w:rFonts w:cs="Arial"/>
          <w:b/>
        </w:rPr>
        <w:t>3)</w:t>
      </w:r>
      <w:r w:rsidRPr="0023661F">
        <w:rPr>
          <w:rFonts w:cs="Arial"/>
        </w:rPr>
        <w:t xml:space="preserve"> No fue posible verificar los ajustes efectuados por la Intendencia al saldo de las obligaciones presupuestales impagas por $</w:t>
      </w:r>
      <w:r>
        <w:rPr>
          <w:rFonts w:cs="Arial"/>
        </w:rPr>
        <w:t xml:space="preserve"> 141:368</w:t>
      </w:r>
      <w:r w:rsidRPr="0023661F">
        <w:rPr>
          <w:rFonts w:cs="Arial"/>
        </w:rPr>
        <w:t>.</w:t>
      </w:r>
      <w:r>
        <w:rPr>
          <w:rFonts w:cs="Arial"/>
        </w:rPr>
        <w:t>019</w:t>
      </w:r>
      <w:r w:rsidRPr="0023661F">
        <w:rPr>
          <w:rFonts w:cs="Arial"/>
        </w:rPr>
        <w:t xml:space="preserve">, al no haberse proporcionado </w:t>
      </w:r>
      <w:r>
        <w:rPr>
          <w:rFonts w:cs="Arial"/>
        </w:rPr>
        <w:t>la correspondiente información.</w:t>
      </w:r>
    </w:p>
    <w:p w:rsidR="00905065" w:rsidRPr="0023661F" w:rsidRDefault="00905065" w:rsidP="00BC02CF">
      <w:pPr>
        <w:spacing w:line="360" w:lineRule="auto"/>
        <w:jc w:val="both"/>
        <w:rPr>
          <w:rFonts w:cs="Arial"/>
        </w:rPr>
      </w:pPr>
      <w:r>
        <w:rPr>
          <w:rFonts w:cs="Arial"/>
          <w:b/>
        </w:rPr>
        <w:t>4</w:t>
      </w:r>
      <w:r w:rsidRPr="0023661F">
        <w:rPr>
          <w:rFonts w:cs="Arial"/>
          <w:b/>
        </w:rPr>
        <w:t>)</w:t>
      </w:r>
      <w:r w:rsidRPr="0023661F">
        <w:rPr>
          <w:rFonts w:cs="Arial"/>
        </w:rPr>
        <w:t xml:space="preserve"> El Estado de Movimiento de Fondos y Valores incluye en los egresos una partida de “Pagos Ejercicios Anteriores </w:t>
      </w:r>
      <w:proofErr w:type="spellStart"/>
      <w:r w:rsidRPr="0023661F">
        <w:rPr>
          <w:rFonts w:cs="Arial"/>
        </w:rPr>
        <w:t>Extrapresupuestales</w:t>
      </w:r>
      <w:proofErr w:type="spellEnd"/>
      <w:r w:rsidRPr="0023661F">
        <w:rPr>
          <w:rFonts w:cs="Arial"/>
        </w:rPr>
        <w:t xml:space="preserve">” por $ </w:t>
      </w:r>
      <w:r>
        <w:rPr>
          <w:rFonts w:cs="Arial"/>
        </w:rPr>
        <w:t>30</w:t>
      </w:r>
      <w:r w:rsidRPr="0023661F">
        <w:rPr>
          <w:rFonts w:cs="Arial"/>
        </w:rPr>
        <w:t>:</w:t>
      </w:r>
      <w:r>
        <w:rPr>
          <w:rFonts w:cs="Arial"/>
        </w:rPr>
        <w:t>592</w:t>
      </w:r>
      <w:r w:rsidRPr="0023661F">
        <w:rPr>
          <w:rFonts w:cs="Arial"/>
        </w:rPr>
        <w:t>.</w:t>
      </w:r>
      <w:r>
        <w:rPr>
          <w:rFonts w:cs="Arial"/>
        </w:rPr>
        <w:t>055</w:t>
      </w:r>
      <w:r w:rsidRPr="0023661F">
        <w:rPr>
          <w:rFonts w:cs="Arial"/>
        </w:rPr>
        <w:t xml:space="preserve"> y otra de “Ajuste OPI” por $ </w:t>
      </w:r>
      <w:r>
        <w:rPr>
          <w:rFonts w:cs="Arial"/>
        </w:rPr>
        <w:t>141</w:t>
      </w:r>
      <w:r w:rsidRPr="0023661F">
        <w:rPr>
          <w:rFonts w:cs="Arial"/>
        </w:rPr>
        <w:t>:</w:t>
      </w:r>
      <w:r>
        <w:rPr>
          <w:rFonts w:cs="Arial"/>
        </w:rPr>
        <w:t>368</w:t>
      </w:r>
      <w:r w:rsidRPr="0023661F">
        <w:rPr>
          <w:rFonts w:cs="Arial"/>
        </w:rPr>
        <w:t>.</w:t>
      </w:r>
      <w:r>
        <w:rPr>
          <w:rFonts w:cs="Arial"/>
        </w:rPr>
        <w:t>019</w:t>
      </w:r>
      <w:r w:rsidRPr="0023661F">
        <w:rPr>
          <w:rFonts w:cs="Arial"/>
        </w:rPr>
        <w:t>, de las cu</w:t>
      </w:r>
      <w:r w:rsidR="00EE4E3A">
        <w:rPr>
          <w:rFonts w:cs="Arial"/>
        </w:rPr>
        <w:t>ales no se proporcionó detalle.</w:t>
      </w:r>
    </w:p>
    <w:p w:rsidR="00905065" w:rsidRDefault="00905065" w:rsidP="00BC02CF">
      <w:pPr>
        <w:spacing w:after="240" w:line="360" w:lineRule="auto"/>
        <w:jc w:val="both"/>
        <w:rPr>
          <w:rFonts w:cs="Arial"/>
        </w:rPr>
      </w:pPr>
      <w:r w:rsidRPr="00AC5D1E">
        <w:rPr>
          <w:rFonts w:cs="Arial"/>
          <w:b/>
        </w:rPr>
        <w:t>5)</w:t>
      </w:r>
      <w:r w:rsidRPr="00AC5D1E">
        <w:rPr>
          <w:rFonts w:cs="Arial"/>
        </w:rPr>
        <w:t xml:space="preserve"> El total de disponibilidades según el Estado de Movimiento de Fondos y</w:t>
      </w:r>
      <w:r w:rsidRPr="0023661F">
        <w:rPr>
          <w:rFonts w:cs="Arial"/>
        </w:rPr>
        <w:t xml:space="preserve"> Valores </w:t>
      </w:r>
      <w:r>
        <w:rPr>
          <w:rFonts w:cs="Arial"/>
        </w:rPr>
        <w:t xml:space="preserve">totaliza $ 56:098.442 y el </w:t>
      </w:r>
      <w:r w:rsidRPr="0023661F">
        <w:rPr>
          <w:rFonts w:cs="Arial"/>
        </w:rPr>
        <w:t xml:space="preserve">saldo proporcionado por el sistema </w:t>
      </w:r>
      <w:r>
        <w:rPr>
          <w:rFonts w:cs="Arial"/>
        </w:rPr>
        <w:t>contable (SEFI) asciende a $ 510:824.547.</w:t>
      </w:r>
    </w:p>
    <w:p w:rsidR="00EE4E3A" w:rsidRDefault="00EE4E3A" w:rsidP="008D6884">
      <w:pPr>
        <w:spacing w:after="240" w:line="360" w:lineRule="auto"/>
        <w:jc w:val="both"/>
        <w:rPr>
          <w:rFonts w:cs="Arial"/>
        </w:rPr>
      </w:pPr>
    </w:p>
    <w:p w:rsidR="00905065" w:rsidRDefault="00905065" w:rsidP="008D6884">
      <w:pPr>
        <w:spacing w:after="240" w:line="360" w:lineRule="auto"/>
        <w:jc w:val="both"/>
        <w:rPr>
          <w:rFonts w:cs="Arial"/>
        </w:rPr>
      </w:pPr>
      <w:r w:rsidRPr="006F72D1">
        <w:rPr>
          <w:rFonts w:cs="Arial"/>
        </w:rPr>
        <w:t>Esta auditor</w:t>
      </w:r>
      <w:r>
        <w:rPr>
          <w:rFonts w:cs="Arial"/>
        </w:rPr>
        <w:t>í</w:t>
      </w:r>
      <w:r w:rsidRPr="006F72D1">
        <w:rPr>
          <w:rFonts w:cs="Arial"/>
        </w:rPr>
        <w:t xml:space="preserve">a fue </w:t>
      </w:r>
      <w:r>
        <w:rPr>
          <w:rFonts w:cs="Arial"/>
        </w:rPr>
        <w:t>realizada</w:t>
      </w:r>
      <w:r w:rsidRPr="006F72D1">
        <w:rPr>
          <w:rFonts w:cs="Arial"/>
        </w:rPr>
        <w:t xml:space="preserve"> de acuerdo con los Principios Fundamentales de Auditoría (ISSAI 100 y 200) y las Directrices de Auditoría Financiera (ISSAI 1000 a 1810) de la Organización Internacional de Entidades Fiscalizadoras Superiores (INTOSAI).</w:t>
      </w:r>
      <w:r>
        <w:rPr>
          <w:rFonts w:cs="Arial"/>
        </w:rPr>
        <w:t xml:space="preserve"> </w:t>
      </w:r>
      <w:r w:rsidRPr="00217F32">
        <w:rPr>
          <w:rFonts w:cs="Arial"/>
        </w:rPr>
        <w:t xml:space="preserve">La responsabilidad del Tribunal bajo estas normas se describe con más detalle en la sección de Responsabilidad del Tribunal de Cuentas por la auditoría de los estados financieros. Este Tribunal es independiente de la </w:t>
      </w:r>
      <w:r>
        <w:rPr>
          <w:rFonts w:cs="Arial"/>
        </w:rPr>
        <w:t>Intendencia</w:t>
      </w:r>
      <w:r w:rsidRPr="00217F32">
        <w:rPr>
          <w:rFonts w:cs="Arial"/>
        </w:rPr>
        <w:t xml:space="preserve"> de Paysandú y ha cumplido con las disposiciones de su Código de Ética, elaborado en concordancia con el</w:t>
      </w:r>
      <w:r w:rsidRPr="007C5698">
        <w:rPr>
          <w:rFonts w:cs="Arial"/>
        </w:rPr>
        <w:t xml:space="preserve"> Código</w:t>
      </w:r>
      <w:r w:rsidR="00EE4E3A">
        <w:rPr>
          <w:rFonts w:cs="Arial"/>
        </w:rPr>
        <w:t xml:space="preserve"> de Ética de la INTOSAI.</w:t>
      </w:r>
    </w:p>
    <w:p w:rsidR="00905065" w:rsidRDefault="00905065" w:rsidP="00BC02CF">
      <w:pPr>
        <w:widowControl w:val="0"/>
        <w:spacing w:after="240" w:line="360" w:lineRule="auto"/>
        <w:jc w:val="both"/>
        <w:rPr>
          <w:rFonts w:eastAsia="Times New Roman" w:cs="Arial"/>
          <w:b/>
          <w:bCs/>
          <w:kern w:val="18"/>
        </w:rPr>
      </w:pPr>
      <w:r w:rsidRPr="00945858">
        <w:rPr>
          <w:rFonts w:eastAsia="Times New Roman" w:cs="Arial"/>
          <w:b/>
          <w:bCs/>
          <w:kern w:val="18"/>
        </w:rPr>
        <w:t xml:space="preserve">Responsabilidad de la </w:t>
      </w:r>
      <w:r>
        <w:rPr>
          <w:rFonts w:eastAsia="Times New Roman" w:cs="Arial"/>
          <w:b/>
          <w:bCs/>
          <w:kern w:val="18"/>
        </w:rPr>
        <w:t>Intendencia de Paysandú</w:t>
      </w:r>
      <w:r w:rsidRPr="00945858">
        <w:rPr>
          <w:rFonts w:eastAsia="Times New Roman" w:cs="Arial"/>
          <w:b/>
          <w:bCs/>
          <w:kern w:val="18"/>
        </w:rPr>
        <w:t xml:space="preserve"> por los estados de ejecución presupuestal</w:t>
      </w:r>
    </w:p>
    <w:p w:rsidR="00905065" w:rsidRPr="00945858" w:rsidRDefault="00905065" w:rsidP="00BC02CF">
      <w:pPr>
        <w:widowControl w:val="0"/>
        <w:spacing w:after="240" w:line="360" w:lineRule="auto"/>
        <w:jc w:val="both"/>
        <w:rPr>
          <w:rFonts w:eastAsia="Times New Roman" w:cs="Arial"/>
          <w:bCs/>
          <w:kern w:val="18"/>
        </w:rPr>
      </w:pPr>
      <w:r w:rsidRPr="00945858">
        <w:rPr>
          <w:rFonts w:eastAsia="Times New Roman" w:cs="Arial"/>
          <w:bCs/>
          <w:kern w:val="18"/>
        </w:rPr>
        <w:t>La Intendencia de Paysandú 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905065" w:rsidRPr="00A40797" w:rsidRDefault="00905065" w:rsidP="00BC02CF">
      <w:pPr>
        <w:spacing w:after="240" w:line="276" w:lineRule="auto"/>
        <w:jc w:val="both"/>
        <w:rPr>
          <w:rFonts w:cs="Arial"/>
          <w:b/>
          <w:lang w:val="es-UY" w:eastAsia="en-US"/>
        </w:rPr>
      </w:pPr>
      <w:r w:rsidRPr="00A40797">
        <w:rPr>
          <w:rFonts w:cs="Arial"/>
          <w:b/>
          <w:lang w:val="es-UY" w:eastAsia="en-US"/>
        </w:rPr>
        <w:t>Responsabilidad del Tribunal de Cuentas por la auditoría de los estados financieros</w:t>
      </w:r>
    </w:p>
    <w:p w:rsidR="00905065" w:rsidRPr="00A40797" w:rsidRDefault="00905065" w:rsidP="00BC02CF">
      <w:pPr>
        <w:spacing w:after="240" w:line="360" w:lineRule="auto"/>
        <w:jc w:val="both"/>
        <w:rPr>
          <w:rFonts w:cs="Arial"/>
          <w:lang w:val="es-MX" w:eastAsia="en-US"/>
        </w:rPr>
      </w:pPr>
      <w:r w:rsidRPr="00A40797">
        <w:rPr>
          <w:rFonts w:cs="Arial"/>
          <w:lang w:val="es-MX" w:eastAsia="en-US"/>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905065" w:rsidRPr="00A40797" w:rsidRDefault="00905065" w:rsidP="00BC02CF">
      <w:pPr>
        <w:spacing w:after="240" w:line="360" w:lineRule="auto"/>
        <w:jc w:val="both"/>
        <w:rPr>
          <w:rFonts w:cs="Arial"/>
          <w:lang w:val="es-MX" w:eastAsia="en-US"/>
        </w:rPr>
      </w:pPr>
      <w:r w:rsidRPr="00A40797">
        <w:rPr>
          <w:rFonts w:cs="Arial"/>
          <w:lang w:val="es-MX" w:eastAsia="en-US"/>
        </w:rPr>
        <w:t>Como parte de una auditoría de acuerdo con las ISSAI referidas en la sección Bases para la Opinión, el Tribunal de Cuentas aplica su juicio profesional y mantiene el escepticismo profesional durante el proceso de auditoría. Asimismo:</w:t>
      </w:r>
    </w:p>
    <w:p w:rsidR="00905065" w:rsidRPr="00A40797" w:rsidRDefault="00905065" w:rsidP="00BC02CF">
      <w:pPr>
        <w:numPr>
          <w:ilvl w:val="0"/>
          <w:numId w:val="10"/>
        </w:numPr>
        <w:spacing w:after="240" w:line="360" w:lineRule="auto"/>
        <w:ind w:left="714" w:hanging="357"/>
        <w:contextualSpacing/>
        <w:jc w:val="both"/>
        <w:rPr>
          <w:rFonts w:cs="Arial"/>
          <w:lang w:val="es-UY" w:eastAsia="en-US"/>
        </w:rPr>
      </w:pPr>
      <w:r w:rsidRPr="00A40797">
        <w:rPr>
          <w:rFonts w:cs="Arial"/>
          <w:lang w:val="es-UY" w:eastAsia="en-US"/>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EE4E3A">
        <w:rPr>
          <w:rFonts w:cs="Arial"/>
          <w:lang w:val="es-UY" w:eastAsia="en-US"/>
        </w:rPr>
        <w:t>artamientos de control interno.</w:t>
      </w:r>
    </w:p>
    <w:p w:rsidR="00905065" w:rsidRPr="00A40797" w:rsidRDefault="00905065" w:rsidP="00BC02CF">
      <w:pPr>
        <w:numPr>
          <w:ilvl w:val="0"/>
          <w:numId w:val="10"/>
        </w:numPr>
        <w:spacing w:after="240" w:line="360" w:lineRule="auto"/>
        <w:ind w:left="714" w:hanging="357"/>
        <w:contextualSpacing/>
        <w:jc w:val="both"/>
        <w:rPr>
          <w:rFonts w:cs="Arial"/>
          <w:lang w:val="es-UY" w:eastAsia="en-US"/>
        </w:rPr>
      </w:pPr>
      <w:r w:rsidRPr="00A40797">
        <w:rPr>
          <w:rFonts w:cs="Arial"/>
          <w:lang w:val="es-UY" w:eastAsia="en-US"/>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905065" w:rsidRPr="00A40797" w:rsidRDefault="00905065" w:rsidP="004E50E0">
      <w:pPr>
        <w:numPr>
          <w:ilvl w:val="0"/>
          <w:numId w:val="10"/>
        </w:numPr>
        <w:spacing w:before="240" w:after="240" w:line="360" w:lineRule="auto"/>
        <w:ind w:left="714" w:hanging="357"/>
        <w:contextualSpacing/>
        <w:jc w:val="both"/>
        <w:rPr>
          <w:rFonts w:cs="Arial"/>
          <w:lang w:val="es-UY" w:eastAsia="en-US"/>
        </w:rPr>
      </w:pPr>
      <w:r w:rsidRPr="00A40797">
        <w:rPr>
          <w:rFonts w:cs="Arial"/>
          <w:lang w:val="es-UY" w:eastAsia="en-US"/>
        </w:rPr>
        <w:t>Evalúa la presentación general, la estructura y contenido de los estados, incluyendo las revelaciones y si los estados representan las transacciones y eventos subyacentes de un modo que se logre una representación fiel de los mismos.</w:t>
      </w:r>
    </w:p>
    <w:p w:rsidR="00905065" w:rsidRDefault="00905065" w:rsidP="004E50E0">
      <w:pPr>
        <w:spacing w:before="240" w:after="240" w:line="360" w:lineRule="auto"/>
        <w:contextualSpacing/>
        <w:jc w:val="both"/>
        <w:rPr>
          <w:rFonts w:cs="Arial"/>
          <w:lang w:val="es-UY" w:eastAsia="en-US"/>
        </w:rPr>
      </w:pPr>
      <w:r w:rsidRPr="00A40797">
        <w:rPr>
          <w:rFonts w:cs="Arial"/>
          <w:lang w:val="es-UY" w:eastAsia="en-US"/>
        </w:rPr>
        <w:t xml:space="preserve">El Tribunal de Cuentas se comunicó con la </w:t>
      </w:r>
      <w:r>
        <w:rPr>
          <w:rFonts w:cs="Arial"/>
          <w:lang w:val="es-UY" w:eastAsia="en-US"/>
        </w:rPr>
        <w:t xml:space="preserve">Intendencia </w:t>
      </w:r>
      <w:r w:rsidRPr="00A40797">
        <w:rPr>
          <w:rFonts w:cs="Arial"/>
          <w:lang w:val="es-UY" w:eastAsia="en-US"/>
        </w:rPr>
        <w:t>en relación al alcance y la oportunidad de los procedimientos de auditoría, y a los hallazgos signifi</w:t>
      </w:r>
      <w:r w:rsidR="00EE4E3A">
        <w:rPr>
          <w:rFonts w:cs="Arial"/>
          <w:lang w:val="es-UY" w:eastAsia="en-US"/>
        </w:rPr>
        <w:t>cativos de auditoría incluidos.</w:t>
      </w:r>
    </w:p>
    <w:p w:rsidR="00905065" w:rsidRPr="009B39DD" w:rsidRDefault="00905065" w:rsidP="004E50E0">
      <w:pPr>
        <w:spacing w:before="240" w:after="240" w:line="276" w:lineRule="auto"/>
        <w:jc w:val="both"/>
        <w:rPr>
          <w:rFonts w:cs="Arial"/>
          <w:b/>
          <w:lang w:val="es-UY" w:eastAsia="en-US"/>
        </w:rPr>
      </w:pPr>
      <w:r w:rsidRPr="009B39DD">
        <w:rPr>
          <w:rFonts w:cs="Arial"/>
          <w:b/>
          <w:lang w:val="es-UY" w:eastAsia="en-US"/>
        </w:rPr>
        <w:t>Informe de cumplimiento de la normativa vigente</w:t>
      </w:r>
    </w:p>
    <w:p w:rsidR="00905065" w:rsidRPr="009B39DD" w:rsidRDefault="00905065" w:rsidP="004E50E0">
      <w:pPr>
        <w:spacing w:before="240" w:after="240" w:line="360" w:lineRule="auto"/>
        <w:jc w:val="both"/>
        <w:rPr>
          <w:rFonts w:cs="Arial"/>
          <w:lang w:val="es-UY" w:eastAsia="en-US"/>
        </w:rPr>
      </w:pPr>
      <w:r w:rsidRPr="009B39DD">
        <w:rPr>
          <w:rFonts w:cs="Arial"/>
          <w:lang w:val="es-UY" w:eastAsia="en-US"/>
        </w:rPr>
        <w:t>Respecto a los incumplimientos mencionados en el párrafo Opinión respecto al cumplimiento de la normativa legal aplicable co</w:t>
      </w:r>
      <w:r w:rsidR="00EE4E3A">
        <w:rPr>
          <w:rFonts w:cs="Arial"/>
          <w:lang w:val="es-UY" w:eastAsia="en-US"/>
        </w:rPr>
        <w:t>rresponde señalar lo siguiente:</w:t>
      </w:r>
    </w:p>
    <w:bookmarkEnd w:id="5"/>
    <w:p w:rsidR="00905065" w:rsidRPr="00E93F02" w:rsidRDefault="00905065" w:rsidP="00BC02CF">
      <w:pPr>
        <w:spacing w:after="240" w:line="360" w:lineRule="auto"/>
        <w:jc w:val="both"/>
        <w:rPr>
          <w:rFonts w:cs="Arial"/>
          <w:szCs w:val="22"/>
          <w:lang w:val="es-UY" w:eastAsia="en-US"/>
        </w:rPr>
      </w:pPr>
      <w:r w:rsidRPr="00E93F02">
        <w:rPr>
          <w:rFonts w:cs="Arial"/>
          <w:b/>
          <w:bCs/>
          <w:szCs w:val="22"/>
          <w:lang w:val="es-UY" w:eastAsia="en-US"/>
        </w:rPr>
        <w:t>1.1) Artículo 86 de la Constitución de la República</w:t>
      </w:r>
      <w:r>
        <w:rPr>
          <w:rFonts w:cs="Arial"/>
          <w:b/>
          <w:bCs/>
          <w:szCs w:val="22"/>
          <w:lang w:val="es-UY" w:eastAsia="en-US"/>
        </w:rPr>
        <w:t>:</w:t>
      </w:r>
      <w:r w:rsidRPr="00E93F02">
        <w:rPr>
          <w:rFonts w:cs="Arial"/>
          <w:b/>
          <w:bCs/>
          <w:szCs w:val="22"/>
          <w:lang w:val="es-UY" w:eastAsia="en-US"/>
        </w:rPr>
        <w:t xml:space="preserve"> </w:t>
      </w:r>
      <w:r w:rsidRPr="00E93F02">
        <w:rPr>
          <w:rFonts w:cs="Arial"/>
          <w:szCs w:val="22"/>
          <w:lang w:val="es-UY" w:eastAsia="en-US"/>
        </w:rPr>
        <w:t xml:space="preserve">Durante el ejercicio 2017 no se dio cumplimiento a la estructura orgánica establecida en la instancia presupuestal al no respetarse en su totalidad la cantidad de funcionarios presupuestados y </w:t>
      </w:r>
      <w:r>
        <w:rPr>
          <w:rFonts w:cs="Arial"/>
          <w:szCs w:val="22"/>
          <w:lang w:val="es-UY" w:eastAsia="en-US"/>
        </w:rPr>
        <w:t>co</w:t>
      </w:r>
      <w:r w:rsidRPr="00E93F02">
        <w:rPr>
          <w:rFonts w:cs="Arial"/>
          <w:szCs w:val="22"/>
          <w:lang w:val="es-UY" w:eastAsia="en-US"/>
        </w:rPr>
        <w:t>nt</w:t>
      </w:r>
      <w:r>
        <w:rPr>
          <w:rFonts w:cs="Arial"/>
          <w:szCs w:val="22"/>
          <w:lang w:val="es-UY" w:eastAsia="en-US"/>
        </w:rPr>
        <w:t>r</w:t>
      </w:r>
      <w:r w:rsidRPr="00E93F02">
        <w:rPr>
          <w:rFonts w:cs="Arial"/>
          <w:szCs w:val="22"/>
          <w:lang w:val="es-UY" w:eastAsia="en-US"/>
        </w:rPr>
        <w:t>a</w:t>
      </w:r>
      <w:r>
        <w:rPr>
          <w:rFonts w:cs="Arial"/>
          <w:szCs w:val="22"/>
          <w:lang w:val="es-UY" w:eastAsia="en-US"/>
        </w:rPr>
        <w:t>ta</w:t>
      </w:r>
      <w:r w:rsidR="00EE4E3A">
        <w:rPr>
          <w:rFonts w:cs="Arial"/>
          <w:szCs w:val="22"/>
          <w:lang w:val="es-UY" w:eastAsia="en-US"/>
        </w:rPr>
        <w:t>dos.</w:t>
      </w:r>
    </w:p>
    <w:p w:rsidR="00905065" w:rsidRPr="00E93F02" w:rsidRDefault="00905065" w:rsidP="00BC02CF">
      <w:pPr>
        <w:shd w:val="clear" w:color="auto" w:fill="FFFFFF"/>
        <w:tabs>
          <w:tab w:val="left" w:pos="360"/>
        </w:tabs>
        <w:spacing w:after="240" w:line="360" w:lineRule="auto"/>
        <w:jc w:val="both"/>
        <w:rPr>
          <w:rFonts w:eastAsia="Arial Unicode MS" w:cs="Arial"/>
        </w:rPr>
      </w:pPr>
      <w:r w:rsidRPr="00E93F02">
        <w:rPr>
          <w:rFonts w:eastAsia="Arial Unicode MS" w:cs="Arial"/>
          <w:b/>
          <w:bCs/>
        </w:rPr>
        <w:t>1.2) Artículo 297 Numeral 1) de la Constitución de la República</w:t>
      </w:r>
      <w:r>
        <w:rPr>
          <w:rFonts w:eastAsia="Arial Unicode MS" w:cs="Arial"/>
          <w:b/>
          <w:bCs/>
        </w:rPr>
        <w:t>:</w:t>
      </w:r>
      <w:r w:rsidRPr="00E93F02">
        <w:rPr>
          <w:rFonts w:eastAsia="Arial Unicode MS" w:cs="Arial"/>
          <w:color w:val="000000"/>
        </w:rPr>
        <w:t> </w:t>
      </w:r>
      <w:r w:rsidRPr="00E93F02">
        <w:rPr>
          <w:rFonts w:eastAsia="Arial Unicode MS" w:cs="Arial"/>
        </w:rPr>
        <w:t>Se aplicaron bonificaciones y descuentos por el pago de la Contribución Inmobiliaria Rural, excediendo la potestad tributaria departamental.</w:t>
      </w:r>
    </w:p>
    <w:p w:rsidR="00905065" w:rsidRPr="00E93F02" w:rsidRDefault="00905065" w:rsidP="00BC02CF">
      <w:pPr>
        <w:spacing w:after="240" w:line="360" w:lineRule="auto"/>
        <w:jc w:val="both"/>
        <w:rPr>
          <w:rFonts w:cs="Arial"/>
          <w:b/>
          <w:bCs/>
          <w:szCs w:val="22"/>
          <w:lang w:val="es-UY" w:eastAsia="en-US"/>
        </w:rPr>
      </w:pPr>
      <w:r w:rsidRPr="00E93F02">
        <w:rPr>
          <w:rFonts w:cs="Arial"/>
          <w:b/>
          <w:bCs/>
          <w:szCs w:val="22"/>
          <w:lang w:val="es-UY" w:eastAsia="en-US"/>
        </w:rPr>
        <w:t>1.3) Artículo 297 de la Constitución y Artículos 93 y 94 del Código Tributario</w:t>
      </w:r>
      <w:r>
        <w:rPr>
          <w:rFonts w:cs="Arial"/>
          <w:b/>
          <w:bCs/>
          <w:szCs w:val="22"/>
          <w:lang w:val="es-UY" w:eastAsia="en-US"/>
        </w:rPr>
        <w:t>:</w:t>
      </w:r>
      <w:r w:rsidRPr="00E93F02">
        <w:rPr>
          <w:rFonts w:cs="Arial"/>
          <w:szCs w:val="22"/>
          <w:lang w:val="es-UY" w:eastAsia="en-US"/>
        </w:rPr>
        <w:t xml:space="preserve"> Las alícuotas aplicadas por la Intendencia para determinar las multas por mora en el pago de la Contribución Inmobiliaria Rural y del Impuesto Ley Nº 12.700 sobre las ventas de semovientes,</w:t>
      </w:r>
      <w:r w:rsidR="00EE4E3A">
        <w:rPr>
          <w:rFonts w:cs="Arial"/>
          <w:szCs w:val="22"/>
          <w:lang w:val="es-UY" w:eastAsia="en-US"/>
        </w:rPr>
        <w:t xml:space="preserve"> no se ajustan a dichas normas.</w:t>
      </w:r>
    </w:p>
    <w:p w:rsidR="00905065" w:rsidRPr="00E93F02" w:rsidRDefault="00905065" w:rsidP="00BC02CF">
      <w:pPr>
        <w:autoSpaceDE w:val="0"/>
        <w:autoSpaceDN w:val="0"/>
        <w:adjustRightInd w:val="0"/>
        <w:spacing w:after="240" w:line="360" w:lineRule="auto"/>
        <w:jc w:val="both"/>
        <w:rPr>
          <w:rFonts w:cs="Arial"/>
          <w:szCs w:val="22"/>
          <w:lang w:val="es-UY" w:eastAsia="en-US"/>
        </w:rPr>
      </w:pPr>
      <w:r w:rsidRPr="00E93F02">
        <w:rPr>
          <w:rFonts w:cs="Arial"/>
          <w:b/>
          <w:szCs w:val="22"/>
          <w:lang w:val="es-UY" w:eastAsia="en-US"/>
        </w:rPr>
        <w:t>1.4) Ley Nº 18.083 y Artículo 101 del Decreto Nº 220/98</w:t>
      </w:r>
      <w:r>
        <w:rPr>
          <w:rFonts w:cs="Arial"/>
          <w:b/>
          <w:szCs w:val="22"/>
          <w:lang w:val="es-UY" w:eastAsia="en-US"/>
        </w:rPr>
        <w:t>:</w:t>
      </w:r>
      <w:r w:rsidRPr="00E93F02">
        <w:rPr>
          <w:rFonts w:cs="Arial"/>
          <w:b/>
          <w:szCs w:val="22"/>
          <w:lang w:val="es-UY" w:eastAsia="en-US"/>
        </w:rPr>
        <w:t xml:space="preserve"> </w:t>
      </w:r>
      <w:r w:rsidRPr="00E93F02">
        <w:rPr>
          <w:rFonts w:cs="Arial"/>
          <w:szCs w:val="22"/>
          <w:lang w:val="es-UY" w:eastAsia="en-US"/>
        </w:rPr>
        <w:t xml:space="preserve">La Intendencia no </w:t>
      </w:r>
      <w:proofErr w:type="gramStart"/>
      <w:r w:rsidRPr="00E93F02">
        <w:rPr>
          <w:rFonts w:cs="Arial"/>
          <w:szCs w:val="22"/>
          <w:lang w:val="es-UY" w:eastAsia="en-US"/>
        </w:rPr>
        <w:t>facturó</w:t>
      </w:r>
      <w:proofErr w:type="gramEnd"/>
      <w:r w:rsidRPr="00E93F02">
        <w:rPr>
          <w:rFonts w:cs="Arial"/>
          <w:szCs w:val="22"/>
          <w:lang w:val="es-UY" w:eastAsia="en-US"/>
        </w:rPr>
        <w:t xml:space="preserve"> el IVA a los servicios de camping en las Termas de </w:t>
      </w:r>
      <w:proofErr w:type="spellStart"/>
      <w:r w:rsidRPr="00E93F02">
        <w:rPr>
          <w:rFonts w:cs="Arial"/>
          <w:szCs w:val="22"/>
          <w:lang w:val="es-UY" w:eastAsia="en-US"/>
        </w:rPr>
        <w:t>Guaviyú</w:t>
      </w:r>
      <w:proofErr w:type="spellEnd"/>
      <w:r w:rsidRPr="00E93F02">
        <w:rPr>
          <w:rFonts w:cs="Arial"/>
          <w:szCs w:val="22"/>
          <w:lang w:val="es-UY" w:eastAsia="en-US"/>
        </w:rPr>
        <w:t xml:space="preserve"> y Almirón.</w:t>
      </w:r>
    </w:p>
    <w:p w:rsidR="00905065" w:rsidRPr="00E93F02" w:rsidRDefault="00905065" w:rsidP="00BC02CF">
      <w:pPr>
        <w:autoSpaceDE w:val="0"/>
        <w:autoSpaceDN w:val="0"/>
        <w:adjustRightInd w:val="0"/>
        <w:spacing w:after="240" w:line="360" w:lineRule="auto"/>
        <w:jc w:val="both"/>
        <w:rPr>
          <w:rFonts w:cs="Arial"/>
          <w:szCs w:val="22"/>
          <w:lang w:val="es-UY" w:eastAsia="en-US"/>
        </w:rPr>
      </w:pPr>
      <w:r w:rsidRPr="00E93F02">
        <w:rPr>
          <w:rFonts w:cs="Arial"/>
          <w:b/>
          <w:szCs w:val="22"/>
          <w:lang w:val="es-UY" w:eastAsia="en-US"/>
        </w:rPr>
        <w:t>1.5) Artículo 13 del TOCAF</w:t>
      </w:r>
      <w:r>
        <w:rPr>
          <w:rFonts w:cs="Arial"/>
          <w:b/>
          <w:szCs w:val="22"/>
          <w:lang w:val="es-UY" w:eastAsia="en-US"/>
        </w:rPr>
        <w:t>:</w:t>
      </w:r>
      <w:r w:rsidRPr="00E93F02">
        <w:rPr>
          <w:rFonts w:cs="Arial"/>
          <w:b/>
          <w:szCs w:val="22"/>
          <w:lang w:val="es-UY" w:eastAsia="en-US"/>
        </w:rPr>
        <w:t xml:space="preserve"> </w:t>
      </w:r>
      <w:r w:rsidRPr="00E93F02">
        <w:rPr>
          <w:rFonts w:cs="Arial"/>
          <w:szCs w:val="22"/>
          <w:lang w:val="es-UY" w:eastAsia="en-US"/>
        </w:rPr>
        <w:t>Se imputaron gastos del ejercicio 2018 en el ejercicio 2017.</w:t>
      </w:r>
    </w:p>
    <w:p w:rsidR="00905065" w:rsidRPr="00E93F02" w:rsidRDefault="00905065" w:rsidP="00BC02CF">
      <w:pPr>
        <w:autoSpaceDE w:val="0"/>
        <w:autoSpaceDN w:val="0"/>
        <w:adjustRightInd w:val="0"/>
        <w:spacing w:after="240" w:line="360" w:lineRule="auto"/>
        <w:jc w:val="both"/>
        <w:rPr>
          <w:lang w:val="es-UY" w:eastAsia="en-US"/>
        </w:rPr>
      </w:pPr>
      <w:r w:rsidRPr="00E93F02">
        <w:rPr>
          <w:rFonts w:cs="Arial"/>
          <w:b/>
          <w:szCs w:val="22"/>
          <w:lang w:val="es-UY" w:eastAsia="en-US"/>
        </w:rPr>
        <w:t>1.6) Artículos 33 y 43 del TOCAF</w:t>
      </w:r>
      <w:r>
        <w:rPr>
          <w:rFonts w:cs="Arial"/>
          <w:b/>
          <w:szCs w:val="22"/>
          <w:lang w:val="es-UY" w:eastAsia="en-US"/>
        </w:rPr>
        <w:t>:</w:t>
      </w:r>
      <w:r w:rsidRPr="00E93F02">
        <w:rPr>
          <w:rFonts w:cs="Arial"/>
          <w:bCs/>
          <w:szCs w:val="22"/>
          <w:lang w:val="es-UY" w:eastAsia="en-US"/>
        </w:rPr>
        <w:t xml:space="preserve"> </w:t>
      </w:r>
      <w:r w:rsidRPr="00E93F02">
        <w:rPr>
          <w:rFonts w:cs="Arial"/>
          <w:szCs w:val="22"/>
          <w:lang w:val="es-UY" w:eastAsia="en-US"/>
        </w:rPr>
        <w:t xml:space="preserve">Se han efectuado compras sin los correspondientes llamados a licitación. Entre otras, se realizaron las compras directas </w:t>
      </w:r>
      <w:proofErr w:type="spellStart"/>
      <w:r w:rsidRPr="00E93F02">
        <w:rPr>
          <w:rFonts w:cs="Arial"/>
          <w:szCs w:val="22"/>
          <w:lang w:val="es-UY" w:eastAsia="en-US"/>
        </w:rPr>
        <w:t>Nros</w:t>
      </w:r>
      <w:proofErr w:type="spellEnd"/>
      <w:r w:rsidRPr="00E93F02">
        <w:rPr>
          <w:rFonts w:cs="Arial"/>
          <w:szCs w:val="22"/>
          <w:lang w:val="es-UY" w:eastAsia="en-US"/>
        </w:rPr>
        <w:t>. 179848 y 179530 para el mantenimiento de la limpieza por un monto total de $ 424.501</w:t>
      </w:r>
      <w:r>
        <w:rPr>
          <w:rFonts w:cs="Arial"/>
          <w:szCs w:val="22"/>
          <w:lang w:val="es-UY" w:eastAsia="en-US"/>
        </w:rPr>
        <w:t xml:space="preserve">; y las </w:t>
      </w:r>
      <w:proofErr w:type="spellStart"/>
      <w:r w:rsidRPr="00E93F02">
        <w:rPr>
          <w:rFonts w:cs="Arial"/>
          <w:szCs w:val="22"/>
          <w:lang w:val="es-UY" w:eastAsia="en-US"/>
        </w:rPr>
        <w:t>Nros</w:t>
      </w:r>
      <w:proofErr w:type="spellEnd"/>
      <w:r w:rsidRPr="00E93F02">
        <w:rPr>
          <w:rFonts w:cs="Arial"/>
          <w:szCs w:val="22"/>
          <w:lang w:val="es-UY" w:eastAsia="en-US"/>
        </w:rPr>
        <w:t>. 179153 y 179471 para el mantenimiento y reparación de instalaciones industriales</w:t>
      </w:r>
      <w:r>
        <w:rPr>
          <w:rFonts w:cs="Arial"/>
          <w:szCs w:val="22"/>
          <w:lang w:val="es-UY" w:eastAsia="en-US"/>
        </w:rPr>
        <w:t xml:space="preserve"> por $ 412.399</w:t>
      </w:r>
      <w:r w:rsidRPr="00E93F02">
        <w:rPr>
          <w:rFonts w:cs="Arial"/>
          <w:szCs w:val="22"/>
          <w:lang w:val="es-UY" w:eastAsia="en-US"/>
        </w:rPr>
        <w:t xml:space="preserve">. </w:t>
      </w:r>
      <w:r w:rsidRPr="00E93F02">
        <w:rPr>
          <w:rFonts w:cs="Arial"/>
          <w:color w:val="000000"/>
          <w:szCs w:val="22"/>
          <w:lang w:val="es-UY" w:eastAsia="en-US"/>
        </w:rPr>
        <w:t xml:space="preserve">Al no tener en cuenta las necesidades de suministros para todo el ejercicio, se omitió la aplicación de los procedimientos de contratación que hubieran correspondido y </w:t>
      </w:r>
      <w:r w:rsidRPr="00E93F02">
        <w:rPr>
          <w:lang w:val="es-UY" w:eastAsia="en-US"/>
        </w:rPr>
        <w:t xml:space="preserve"> el ordenador no dejó expresa constancia del fundamento y de su conveniencia para el servicio.</w:t>
      </w:r>
    </w:p>
    <w:p w:rsidR="00905065" w:rsidRPr="00E93F02" w:rsidRDefault="00905065" w:rsidP="00BC02CF">
      <w:pPr>
        <w:shd w:val="clear" w:color="auto" w:fill="FFFFFF"/>
        <w:tabs>
          <w:tab w:val="left" w:pos="360"/>
        </w:tabs>
        <w:spacing w:after="240" w:line="360" w:lineRule="auto"/>
        <w:jc w:val="both"/>
        <w:rPr>
          <w:rFonts w:eastAsia="Arial Unicode MS" w:cs="Arial"/>
          <w:b/>
          <w:bCs/>
        </w:rPr>
      </w:pPr>
      <w:r w:rsidRPr="00E93F02">
        <w:rPr>
          <w:rFonts w:eastAsia="Arial Unicode MS" w:cs="Arial"/>
          <w:b/>
          <w:bCs/>
        </w:rPr>
        <w:t>1.</w:t>
      </w:r>
      <w:r>
        <w:rPr>
          <w:rFonts w:eastAsia="Arial Unicode MS" w:cs="Arial"/>
          <w:b/>
          <w:bCs/>
        </w:rPr>
        <w:t>7</w:t>
      </w:r>
      <w:r w:rsidRPr="00E93F02">
        <w:rPr>
          <w:rFonts w:eastAsia="Arial Unicode MS" w:cs="Arial"/>
          <w:b/>
          <w:bCs/>
        </w:rPr>
        <w:t>) Artículo 40 del TOCAF</w:t>
      </w:r>
      <w:r>
        <w:rPr>
          <w:rFonts w:eastAsia="Arial Unicode MS" w:cs="Arial"/>
          <w:b/>
          <w:bCs/>
        </w:rPr>
        <w:t>:</w:t>
      </w:r>
      <w:r w:rsidRPr="00E93F02">
        <w:rPr>
          <w:rFonts w:eastAsia="Arial Unicode MS" w:cs="Arial"/>
        </w:rPr>
        <w:t xml:space="preserve"> En las renovaciones de contratos de arrendamientos de inmuebles no se solicitó el informe previo de la oficina técnica competente con respecto al valor del arrendamiento a pagar.</w:t>
      </w:r>
    </w:p>
    <w:p w:rsidR="00905065" w:rsidRPr="00E93F02" w:rsidRDefault="00905065" w:rsidP="00BC02CF">
      <w:pPr>
        <w:spacing w:after="240" w:line="360" w:lineRule="auto"/>
        <w:jc w:val="both"/>
        <w:rPr>
          <w:rFonts w:cs="Arial"/>
          <w:color w:val="000000"/>
          <w:szCs w:val="22"/>
          <w:lang w:val="es-UY" w:eastAsia="en-US"/>
        </w:rPr>
      </w:pPr>
      <w:r w:rsidRPr="00E93F02">
        <w:rPr>
          <w:rFonts w:cs="Arial"/>
          <w:b/>
          <w:szCs w:val="22"/>
          <w:lang w:val="es-UY" w:eastAsia="en-US"/>
        </w:rPr>
        <w:t>1.</w:t>
      </w:r>
      <w:r>
        <w:rPr>
          <w:rFonts w:cs="Arial"/>
          <w:b/>
          <w:szCs w:val="22"/>
          <w:lang w:val="es-UY" w:eastAsia="en-US"/>
        </w:rPr>
        <w:t>8</w:t>
      </w:r>
      <w:r w:rsidRPr="00E93F02">
        <w:rPr>
          <w:rFonts w:cs="Arial"/>
          <w:b/>
          <w:szCs w:val="22"/>
          <w:lang w:val="es-UY" w:eastAsia="en-US"/>
        </w:rPr>
        <w:t xml:space="preserve">) </w:t>
      </w:r>
      <w:r w:rsidRPr="00E93F02">
        <w:rPr>
          <w:rFonts w:cs="Arial"/>
          <w:b/>
          <w:bCs/>
          <w:color w:val="000000"/>
          <w:szCs w:val="22"/>
          <w:lang w:val="es-UY" w:eastAsia="en-US"/>
        </w:rPr>
        <w:t>Ordenanza Nº 62 y Resolución del Tribunal de Cuentas del 16/08/95</w:t>
      </w:r>
      <w:r>
        <w:rPr>
          <w:rFonts w:cs="Arial"/>
          <w:b/>
          <w:bCs/>
          <w:color w:val="000000"/>
          <w:szCs w:val="22"/>
          <w:lang w:val="es-UY" w:eastAsia="en-US"/>
        </w:rPr>
        <w:t>:</w:t>
      </w:r>
      <w:r w:rsidRPr="00E93F02">
        <w:rPr>
          <w:rFonts w:cs="Arial"/>
          <w:b/>
          <w:bCs/>
          <w:color w:val="000000"/>
          <w:szCs w:val="22"/>
          <w:lang w:val="es-UY" w:eastAsia="en-US"/>
        </w:rPr>
        <w:t> </w:t>
      </w:r>
      <w:r w:rsidRPr="00E93F02">
        <w:rPr>
          <w:rFonts w:cs="Arial"/>
          <w:color w:val="000000"/>
          <w:szCs w:val="22"/>
          <w:lang w:val="es-UY" w:eastAsia="en-US"/>
        </w:rPr>
        <w:t xml:space="preserve">La Intendencia efectuó modificaciones de recursos sin haber recabado el dictamen previo de este Cuerpo por parte de la Junta Departamental, como surge de la lectura de las Actas de ese Cuerpo donde luce la sanción de los Decretos </w:t>
      </w:r>
      <w:proofErr w:type="spellStart"/>
      <w:r w:rsidRPr="00E93F02">
        <w:rPr>
          <w:rFonts w:cs="Arial"/>
          <w:color w:val="000000"/>
          <w:szCs w:val="22"/>
          <w:lang w:val="es-UY" w:eastAsia="en-US"/>
        </w:rPr>
        <w:t>Nros</w:t>
      </w:r>
      <w:proofErr w:type="spellEnd"/>
      <w:r w:rsidRPr="00E93F02">
        <w:rPr>
          <w:sz w:val="28"/>
          <w:szCs w:val="28"/>
          <w:lang w:val="es-UY" w:eastAsia="en-US"/>
        </w:rPr>
        <w:t xml:space="preserve">: </w:t>
      </w:r>
      <w:r w:rsidRPr="00E93F02">
        <w:rPr>
          <w:lang w:val="es-UY" w:eastAsia="en-US"/>
        </w:rPr>
        <w:t>7523 -7524 -7525 -7527 -7528 -7536 -7537 -7543 -7544 -7545 -7550 -7551 -7552 -7553 -7558 -7559 -7560 -7561 -7562 -7563 -7565 -7567 -7568 -7569 -7570 -7571 -7577 -7578 -7586 -7592 -7593 -7602 -7603 -7604 -7605 -7606 -7607 -7608 que no fueron remitidos a este Tribunal.</w:t>
      </w:r>
    </w:p>
    <w:p w:rsidR="00905065" w:rsidRPr="00E93F02" w:rsidRDefault="00905065" w:rsidP="00BC02CF">
      <w:pPr>
        <w:autoSpaceDE w:val="0"/>
        <w:autoSpaceDN w:val="0"/>
        <w:adjustRightInd w:val="0"/>
        <w:spacing w:after="240" w:line="360" w:lineRule="auto"/>
        <w:jc w:val="both"/>
        <w:rPr>
          <w:rFonts w:cs="Arial"/>
          <w:color w:val="000000"/>
          <w:szCs w:val="22"/>
          <w:lang w:val="es-UY" w:eastAsia="en-US"/>
        </w:rPr>
      </w:pPr>
      <w:r w:rsidRPr="00E93F02">
        <w:rPr>
          <w:rFonts w:cs="Arial"/>
          <w:b/>
          <w:color w:val="000000"/>
          <w:szCs w:val="22"/>
          <w:lang w:val="es-UY" w:eastAsia="en-US"/>
        </w:rPr>
        <w:t>1.</w:t>
      </w:r>
      <w:r>
        <w:rPr>
          <w:rFonts w:cs="Arial"/>
          <w:b/>
          <w:color w:val="000000"/>
          <w:szCs w:val="22"/>
          <w:lang w:val="es-UY" w:eastAsia="en-US"/>
        </w:rPr>
        <w:t>9</w:t>
      </w:r>
      <w:r w:rsidRPr="00E93F02">
        <w:rPr>
          <w:rFonts w:cs="Arial"/>
          <w:b/>
          <w:color w:val="000000"/>
          <w:szCs w:val="22"/>
          <w:lang w:val="es-UY" w:eastAsia="en-US"/>
        </w:rPr>
        <w:t>) Convenio Nº 30 de la OIT</w:t>
      </w:r>
      <w:r>
        <w:rPr>
          <w:rFonts w:cs="Arial"/>
          <w:b/>
          <w:color w:val="000000"/>
          <w:szCs w:val="22"/>
          <w:lang w:val="es-UY" w:eastAsia="en-US"/>
        </w:rPr>
        <w:t>:</w:t>
      </w:r>
      <w:r w:rsidRPr="00E93F02">
        <w:rPr>
          <w:rFonts w:cs="Arial"/>
          <w:color w:val="000000"/>
          <w:szCs w:val="22"/>
          <w:lang w:val="es-UY" w:eastAsia="en-US"/>
        </w:rPr>
        <w:t xml:space="preserve"> Las liquidaciones de horas extras realizadas durante el ejercicio 2017 superaron, en algunos casos, los topes establecidos en el mencionado Convenio.</w:t>
      </w:r>
    </w:p>
    <w:p w:rsidR="00905065" w:rsidRPr="00E93F02" w:rsidRDefault="00905065" w:rsidP="00BC02CF">
      <w:pPr>
        <w:autoSpaceDE w:val="0"/>
        <w:autoSpaceDN w:val="0"/>
        <w:adjustRightInd w:val="0"/>
        <w:spacing w:after="240" w:line="360" w:lineRule="auto"/>
        <w:jc w:val="both"/>
        <w:rPr>
          <w:rFonts w:cs="Arial"/>
          <w:color w:val="000000"/>
          <w:szCs w:val="22"/>
          <w:lang w:val="es-UY" w:eastAsia="en-US"/>
        </w:rPr>
      </w:pPr>
      <w:r w:rsidRPr="00E93F02">
        <w:rPr>
          <w:rFonts w:cs="Arial"/>
          <w:b/>
          <w:color w:val="000000"/>
          <w:szCs w:val="22"/>
          <w:lang w:val="es-UY" w:eastAsia="en-US"/>
        </w:rPr>
        <w:t>1.1</w:t>
      </w:r>
      <w:r>
        <w:rPr>
          <w:rFonts w:cs="Arial"/>
          <w:b/>
          <w:color w:val="000000"/>
          <w:szCs w:val="22"/>
          <w:lang w:val="es-UY" w:eastAsia="en-US"/>
        </w:rPr>
        <w:t>0</w:t>
      </w:r>
      <w:r w:rsidRPr="00E93F02">
        <w:rPr>
          <w:rFonts w:cs="Arial"/>
          <w:b/>
          <w:color w:val="000000"/>
          <w:szCs w:val="22"/>
          <w:lang w:val="es-UY" w:eastAsia="en-US"/>
        </w:rPr>
        <w:t>) Resolución del Tribunal de Cuentas de fecha 28/01/2004</w:t>
      </w:r>
      <w:r>
        <w:rPr>
          <w:rFonts w:cs="Arial"/>
          <w:b/>
          <w:color w:val="000000"/>
          <w:szCs w:val="22"/>
          <w:lang w:val="es-UY" w:eastAsia="en-US"/>
        </w:rPr>
        <w:t>:</w:t>
      </w:r>
      <w:r w:rsidRPr="00E93F02">
        <w:rPr>
          <w:rFonts w:cs="Arial"/>
          <w:color w:val="000000"/>
          <w:szCs w:val="22"/>
          <w:lang w:val="es-UY" w:eastAsia="en-US"/>
        </w:rPr>
        <w:t xml:space="preserve"> El documento presentado no se ajusta totalmente en su formulación a lo dispuesto por la citada Resolución:</w:t>
      </w:r>
    </w:p>
    <w:p w:rsidR="00905065" w:rsidRPr="00E93F02" w:rsidRDefault="00905065" w:rsidP="00BC02CF">
      <w:pPr>
        <w:autoSpaceDE w:val="0"/>
        <w:autoSpaceDN w:val="0"/>
        <w:adjustRightInd w:val="0"/>
        <w:spacing w:after="240" w:line="360" w:lineRule="auto"/>
        <w:jc w:val="both"/>
        <w:rPr>
          <w:rFonts w:cs="Arial"/>
          <w:szCs w:val="22"/>
          <w:lang w:val="es-UY" w:eastAsia="en-US"/>
        </w:rPr>
      </w:pPr>
      <w:r w:rsidRPr="00E93F02">
        <w:rPr>
          <w:rFonts w:cs="Arial"/>
          <w:color w:val="000000"/>
          <w:szCs w:val="22"/>
          <w:lang w:val="es-UY" w:eastAsia="en-US"/>
        </w:rPr>
        <w:t xml:space="preserve">-  </w:t>
      </w:r>
      <w:r w:rsidRPr="00E93F02">
        <w:rPr>
          <w:rFonts w:cs="Arial"/>
          <w:szCs w:val="22"/>
          <w:lang w:val="es-UY" w:eastAsia="en-US"/>
        </w:rPr>
        <w:t xml:space="preserve">La Rendición de Cuentas presentada no incluye las conciliaciones bancarias de las siguientes cuentas: </w:t>
      </w:r>
      <w:proofErr w:type="spellStart"/>
      <w:r w:rsidRPr="00E93F02">
        <w:rPr>
          <w:rFonts w:cs="Arial"/>
          <w:szCs w:val="22"/>
          <w:lang w:val="es-UY" w:eastAsia="en-US"/>
        </w:rPr>
        <w:t>Nros</w:t>
      </w:r>
      <w:proofErr w:type="spellEnd"/>
      <w:r w:rsidRPr="00E93F02">
        <w:rPr>
          <w:rFonts w:cs="Arial"/>
          <w:szCs w:val="22"/>
          <w:lang w:val="es-UY" w:eastAsia="en-US"/>
        </w:rPr>
        <w:t>. 360023428, 360730145, 360023410, 550000496, 170001237, 390000802, 360294593 y  360294614.</w:t>
      </w:r>
    </w:p>
    <w:p w:rsidR="00905065" w:rsidRPr="00E93F02" w:rsidRDefault="00905065" w:rsidP="00BC02CF">
      <w:pPr>
        <w:spacing w:after="240" w:line="360" w:lineRule="auto"/>
        <w:jc w:val="both"/>
        <w:rPr>
          <w:rFonts w:cs="Arial"/>
          <w:szCs w:val="22"/>
          <w:lang w:val="es-UY" w:eastAsia="en-US"/>
        </w:rPr>
      </w:pPr>
      <w:r w:rsidRPr="00E93F02">
        <w:rPr>
          <w:rFonts w:cs="Arial"/>
          <w:szCs w:val="22"/>
          <w:lang w:val="es-UY" w:eastAsia="en-US"/>
        </w:rPr>
        <w:t xml:space="preserve">- No se incluyeron las certificaciones bancarias de las siguientes cuentas: </w:t>
      </w:r>
      <w:proofErr w:type="spellStart"/>
      <w:r w:rsidRPr="00E93F02">
        <w:rPr>
          <w:rFonts w:cs="Arial"/>
          <w:szCs w:val="22"/>
          <w:lang w:val="es-UY" w:eastAsia="en-US"/>
        </w:rPr>
        <w:t>Nros</w:t>
      </w:r>
      <w:proofErr w:type="spellEnd"/>
      <w:r w:rsidRPr="00E93F02">
        <w:rPr>
          <w:rFonts w:cs="Arial"/>
          <w:szCs w:val="22"/>
          <w:lang w:val="es-UY" w:eastAsia="en-US"/>
        </w:rPr>
        <w:t>. 294593 y 294614.</w:t>
      </w:r>
    </w:p>
    <w:p w:rsidR="00905065" w:rsidRPr="00E93F02" w:rsidRDefault="00905065" w:rsidP="00BC02CF">
      <w:pPr>
        <w:autoSpaceDE w:val="0"/>
        <w:autoSpaceDN w:val="0"/>
        <w:adjustRightInd w:val="0"/>
        <w:spacing w:after="240" w:line="360" w:lineRule="auto"/>
        <w:jc w:val="both"/>
        <w:rPr>
          <w:rFonts w:cs="Arial"/>
          <w:color w:val="000000"/>
          <w:szCs w:val="22"/>
          <w:lang w:val="es-UY" w:eastAsia="en-US"/>
        </w:rPr>
      </w:pPr>
      <w:r w:rsidRPr="00E93F02">
        <w:rPr>
          <w:rFonts w:cs="Arial"/>
          <w:b/>
          <w:color w:val="000000"/>
          <w:szCs w:val="22"/>
          <w:lang w:val="es-UY" w:eastAsia="en-US"/>
        </w:rPr>
        <w:t xml:space="preserve">- </w:t>
      </w:r>
      <w:r w:rsidRPr="00E93F02">
        <w:rPr>
          <w:rFonts w:cs="Arial"/>
          <w:color w:val="000000"/>
          <w:szCs w:val="22"/>
          <w:lang w:val="es-UY" w:eastAsia="en-US"/>
        </w:rPr>
        <w:t xml:space="preserve">El estado correspondiente a los fondos </w:t>
      </w:r>
      <w:proofErr w:type="spellStart"/>
      <w:r w:rsidRPr="00E93F02">
        <w:rPr>
          <w:rFonts w:cs="Arial"/>
          <w:color w:val="000000"/>
          <w:szCs w:val="22"/>
          <w:lang w:val="es-UY" w:eastAsia="en-US"/>
        </w:rPr>
        <w:t>extrapresupuestales</w:t>
      </w:r>
      <w:proofErr w:type="spellEnd"/>
      <w:r w:rsidRPr="00E93F02">
        <w:rPr>
          <w:rFonts w:cs="Arial"/>
          <w:color w:val="000000"/>
          <w:szCs w:val="22"/>
          <w:lang w:val="es-UY" w:eastAsia="en-US"/>
        </w:rPr>
        <w:t xml:space="preserve"> no fue presentado en la forma establecida en el instructivo de este Tribunal vigente a la fecha de presentación de la Rendición  de Cuentas, de forma que estén claramente identificadas las partidas que permanecen con saldos al cierre del ejercicio y las que, por el contrario, son afectadas al resultado del ejercicio.</w:t>
      </w:r>
    </w:p>
    <w:p w:rsidR="00905065" w:rsidRPr="00E93F02" w:rsidRDefault="00905065" w:rsidP="00BC02CF">
      <w:pPr>
        <w:autoSpaceDE w:val="0"/>
        <w:autoSpaceDN w:val="0"/>
        <w:adjustRightInd w:val="0"/>
        <w:spacing w:after="240" w:line="360" w:lineRule="auto"/>
        <w:jc w:val="both"/>
        <w:rPr>
          <w:rFonts w:cs="Arial"/>
          <w:color w:val="000000"/>
          <w:szCs w:val="22"/>
          <w:lang w:val="es-UY" w:eastAsia="en-US"/>
        </w:rPr>
      </w:pPr>
      <w:r w:rsidRPr="00E93F02">
        <w:rPr>
          <w:rFonts w:cs="Arial"/>
          <w:color w:val="000000"/>
          <w:szCs w:val="22"/>
          <w:lang w:val="es-UY" w:eastAsia="en-US"/>
        </w:rPr>
        <w:t>- En el Estado de Obligaciones Presupuestales Impagas, se dan de baja determinadas obligaciones, por entender que no corresponde abonarlas, sin indicar el detalle de las mismas y el motivo por el que se dan de baja, de acuerdo con lo previsto en numeral 3.8.1 del Instructivo de este Tribunal vigente a la fecha de presentación de la Rendición  de Cuentas.</w:t>
      </w:r>
    </w:p>
    <w:p w:rsidR="00905065" w:rsidRPr="00E93F02" w:rsidRDefault="00905065" w:rsidP="00BC02CF">
      <w:pPr>
        <w:autoSpaceDE w:val="0"/>
        <w:autoSpaceDN w:val="0"/>
        <w:adjustRightInd w:val="0"/>
        <w:spacing w:after="240" w:line="360" w:lineRule="auto"/>
        <w:jc w:val="both"/>
        <w:rPr>
          <w:rFonts w:cs="Arial"/>
          <w:color w:val="000000"/>
          <w:szCs w:val="22"/>
          <w:lang w:val="es-UY" w:eastAsia="en-US"/>
        </w:rPr>
      </w:pPr>
      <w:r w:rsidRPr="00E93F02">
        <w:rPr>
          <w:rFonts w:cs="Arial"/>
          <w:b/>
          <w:color w:val="000000"/>
          <w:szCs w:val="22"/>
          <w:lang w:val="es-UY" w:eastAsia="en-US"/>
        </w:rPr>
        <w:t>1.1</w:t>
      </w:r>
      <w:r>
        <w:rPr>
          <w:rFonts w:cs="Arial"/>
          <w:b/>
          <w:color w:val="000000"/>
          <w:szCs w:val="22"/>
          <w:lang w:val="es-UY" w:eastAsia="en-US"/>
        </w:rPr>
        <w:t>1</w:t>
      </w:r>
      <w:r w:rsidRPr="00E93F02">
        <w:rPr>
          <w:rFonts w:cs="Arial"/>
          <w:b/>
          <w:color w:val="000000"/>
          <w:szCs w:val="22"/>
          <w:lang w:val="es-UY" w:eastAsia="en-US"/>
        </w:rPr>
        <w:t xml:space="preserve">) </w:t>
      </w:r>
      <w:r w:rsidRPr="00E93F02">
        <w:rPr>
          <w:rFonts w:cs="Arial"/>
          <w:b/>
          <w:szCs w:val="22"/>
          <w:lang w:val="es-UY" w:eastAsia="en-US"/>
        </w:rPr>
        <w:t>Artículo 12 numeral 3 de la ley N° 19.272</w:t>
      </w:r>
      <w:r w:rsidRPr="00A049FB">
        <w:rPr>
          <w:rFonts w:cs="Arial"/>
          <w:b/>
          <w:bCs/>
        </w:rPr>
        <w:t xml:space="preserve"> y Artículo 14 del TOCAF</w:t>
      </w:r>
      <w:r>
        <w:rPr>
          <w:rFonts w:cs="Arial"/>
          <w:b/>
          <w:bCs/>
        </w:rPr>
        <w:t>:</w:t>
      </w:r>
      <w:r w:rsidRPr="00A049FB">
        <w:rPr>
          <w:rFonts w:cs="Arial"/>
          <w:b/>
          <w:bCs/>
        </w:rPr>
        <w:t xml:space="preserve"> </w:t>
      </w:r>
      <w:r w:rsidRPr="00A049FB">
        <w:rPr>
          <w:rFonts w:cs="Arial"/>
          <w:bCs/>
        </w:rPr>
        <w:t>El mecanismo de fondos utilizado por los Municipios contraviene las citadas normas, ya que los Municipios realizan rendición de sus gastos</w:t>
      </w:r>
      <w:r w:rsidRPr="00E22C6D">
        <w:rPr>
          <w:rFonts w:cs="Arial"/>
          <w:bCs/>
        </w:rPr>
        <w:t xml:space="preserve"> </w:t>
      </w:r>
      <w:r w:rsidRPr="00A049FB">
        <w:rPr>
          <w:rFonts w:cs="Arial"/>
          <w:bCs/>
        </w:rPr>
        <w:t>ante la Intendencia</w:t>
      </w:r>
      <w:r w:rsidR="00EE4E3A">
        <w:rPr>
          <w:rFonts w:cs="Arial"/>
          <w:bCs/>
        </w:rPr>
        <w:t>.</w:t>
      </w:r>
    </w:p>
    <w:p w:rsidR="00905065" w:rsidRPr="00E93F02" w:rsidRDefault="00905065" w:rsidP="00103E19">
      <w:pPr>
        <w:autoSpaceDE w:val="0"/>
        <w:autoSpaceDN w:val="0"/>
        <w:adjustRightInd w:val="0"/>
        <w:spacing w:line="360" w:lineRule="auto"/>
        <w:jc w:val="both"/>
        <w:rPr>
          <w:rFonts w:cs="Arial"/>
          <w:color w:val="000000"/>
          <w:szCs w:val="22"/>
          <w:lang w:val="es-UY" w:eastAsia="en-US"/>
        </w:rPr>
      </w:pPr>
      <w:r w:rsidRPr="00E93F02">
        <w:rPr>
          <w:rFonts w:cs="Arial"/>
          <w:b/>
          <w:color w:val="000000"/>
          <w:szCs w:val="22"/>
          <w:lang w:val="es-UY" w:eastAsia="en-US"/>
        </w:rPr>
        <w:t>1.1</w:t>
      </w:r>
      <w:r>
        <w:rPr>
          <w:rFonts w:cs="Arial"/>
          <w:b/>
          <w:color w:val="000000"/>
          <w:szCs w:val="22"/>
          <w:lang w:val="es-UY" w:eastAsia="en-US"/>
        </w:rPr>
        <w:t>2</w:t>
      </w:r>
      <w:r w:rsidRPr="00E93F02">
        <w:rPr>
          <w:rFonts w:cs="Arial"/>
          <w:b/>
          <w:color w:val="000000"/>
          <w:szCs w:val="22"/>
          <w:lang w:val="es-UY" w:eastAsia="en-US"/>
        </w:rPr>
        <w:t>) Artículos 12 y 14 de la Ley Nº 19.272</w:t>
      </w:r>
      <w:r>
        <w:rPr>
          <w:rFonts w:cs="Arial"/>
          <w:b/>
          <w:color w:val="000000"/>
          <w:szCs w:val="22"/>
          <w:lang w:val="es-UY" w:eastAsia="en-US"/>
        </w:rPr>
        <w:t>:</w:t>
      </w:r>
      <w:r w:rsidRPr="00E93F02">
        <w:rPr>
          <w:rFonts w:cs="Arial"/>
          <w:color w:val="000000"/>
          <w:szCs w:val="22"/>
          <w:lang w:val="es-UY" w:eastAsia="en-US"/>
        </w:rPr>
        <w:t xml:space="preserve"> Los Municipios no ordenan gastos y los Alcaldes no ordenan pagos. Estas funciones las realiza la Intendencia a través de sus ordenadores: Intendente, Secretario General y Director General de Administración.</w:t>
      </w:r>
    </w:p>
    <w:p w:rsidR="00905065" w:rsidRPr="00E93F02" w:rsidRDefault="00905065" w:rsidP="00103E19">
      <w:pPr>
        <w:autoSpaceDE w:val="0"/>
        <w:autoSpaceDN w:val="0"/>
        <w:adjustRightInd w:val="0"/>
        <w:spacing w:line="360" w:lineRule="auto"/>
        <w:jc w:val="both"/>
        <w:rPr>
          <w:rFonts w:cs="Arial"/>
          <w:color w:val="000000"/>
          <w:szCs w:val="22"/>
          <w:lang w:val="es-UY" w:eastAsia="en-US"/>
        </w:rPr>
      </w:pPr>
      <w:r w:rsidRPr="00E93F02">
        <w:rPr>
          <w:rFonts w:cs="Arial"/>
          <w:b/>
          <w:color w:val="000000"/>
          <w:szCs w:val="22"/>
          <w:lang w:val="es-UY" w:eastAsia="en-US"/>
        </w:rPr>
        <w:t>1.1</w:t>
      </w:r>
      <w:r>
        <w:rPr>
          <w:rFonts w:cs="Arial"/>
          <w:b/>
          <w:color w:val="000000"/>
          <w:szCs w:val="22"/>
          <w:lang w:val="es-UY" w:eastAsia="en-US"/>
        </w:rPr>
        <w:t>3</w:t>
      </w:r>
      <w:r w:rsidRPr="00E93F02">
        <w:rPr>
          <w:rFonts w:cs="Arial"/>
          <w:b/>
          <w:color w:val="000000"/>
          <w:szCs w:val="22"/>
          <w:lang w:val="es-UY" w:eastAsia="en-US"/>
        </w:rPr>
        <w:t>) Artículo 46 del Presupuesto Quinquenal 2016-2020</w:t>
      </w:r>
      <w:r>
        <w:rPr>
          <w:rFonts w:cs="Arial"/>
          <w:b/>
          <w:color w:val="000000"/>
          <w:szCs w:val="22"/>
          <w:lang w:val="es-UY" w:eastAsia="en-US"/>
        </w:rPr>
        <w:t>:</w:t>
      </w:r>
      <w:r w:rsidRPr="00E93F02">
        <w:rPr>
          <w:rFonts w:cs="Arial"/>
          <w:color w:val="000000"/>
          <w:szCs w:val="22"/>
          <w:lang w:val="es-UY" w:eastAsia="en-US"/>
        </w:rPr>
        <w:t xml:space="preserve"> El impuesto de Contribución Inmobiliaria Urbana no se liquidó en todos los casos sobre el valor real fijado por la Dirección General de Catastro.</w:t>
      </w:r>
    </w:p>
    <w:p w:rsidR="00905065" w:rsidRDefault="00905065" w:rsidP="00103E19">
      <w:pPr>
        <w:autoSpaceDE w:val="0"/>
        <w:autoSpaceDN w:val="0"/>
        <w:adjustRightInd w:val="0"/>
        <w:spacing w:line="360" w:lineRule="auto"/>
        <w:jc w:val="right"/>
        <w:rPr>
          <w:rFonts w:cs="Arial"/>
          <w:color w:val="000000"/>
        </w:rPr>
      </w:pPr>
      <w:r>
        <w:rPr>
          <w:rFonts w:cs="Arial"/>
          <w:color w:val="000000"/>
        </w:rPr>
        <w:t>Montevideo, 7 de diciembre de 2018</w:t>
      </w:r>
    </w:p>
    <w:p w:rsidR="00905065" w:rsidRDefault="00905065" w:rsidP="00103E19">
      <w:pPr>
        <w:autoSpaceDE w:val="0"/>
        <w:autoSpaceDN w:val="0"/>
        <w:adjustRightInd w:val="0"/>
        <w:spacing w:line="360" w:lineRule="auto"/>
        <w:rPr>
          <w:rFonts w:cs="Arial"/>
          <w:color w:val="000000"/>
        </w:rPr>
      </w:pPr>
      <w:proofErr w:type="spellStart"/>
      <w:proofErr w:type="gramStart"/>
      <w:r>
        <w:rPr>
          <w:rFonts w:cs="Arial"/>
          <w:color w:val="000000"/>
        </w:rPr>
        <w:t>cr</w:t>
      </w:r>
      <w:proofErr w:type="spellEnd"/>
      <w:proofErr w:type="gramEnd"/>
    </w:p>
    <w:p w:rsidR="00905065" w:rsidRDefault="00905065" w:rsidP="00D0616B">
      <w:pPr>
        <w:spacing w:line="360" w:lineRule="auto"/>
        <w:jc w:val="both"/>
      </w:pPr>
    </w:p>
    <w:p w:rsidR="00905065" w:rsidRDefault="00905065" w:rsidP="00BC02CF">
      <w:pPr>
        <w:pStyle w:val="Ttulo1"/>
        <w:spacing w:after="240"/>
        <w:jc w:val="center"/>
        <w:rPr>
          <w:rFonts w:cs="Arial"/>
          <w:szCs w:val="24"/>
        </w:rPr>
      </w:pPr>
      <w:bookmarkStart w:id="6" w:name="_Toc343587254"/>
      <w:bookmarkStart w:id="7" w:name="_Toc407008308"/>
      <w:r w:rsidRPr="0023661F">
        <w:rPr>
          <w:rFonts w:cs="Arial"/>
          <w:szCs w:val="24"/>
        </w:rPr>
        <w:t>INFORME A LA ADMINISTRACIÓN</w:t>
      </w:r>
    </w:p>
    <w:p w:rsidR="00905065" w:rsidRPr="00A5321D" w:rsidRDefault="00905065" w:rsidP="00C2747E">
      <w:pPr>
        <w:pStyle w:val="Textoindependiente"/>
        <w:rPr>
          <w:rFonts w:cs="Arial"/>
        </w:rPr>
      </w:pPr>
      <w:r w:rsidRPr="0023661F">
        <w:rPr>
          <w:rFonts w:cs="Arial"/>
        </w:rPr>
        <w:t>El Tribunal de Cuentas ha examinado la Rendición de Cuentas y Balance de Ejecución Presupuestal corresp</w:t>
      </w:r>
      <w:r>
        <w:rPr>
          <w:rFonts w:cs="Arial"/>
        </w:rPr>
        <w:t>ondiente al ejercicio 2017</w:t>
      </w:r>
      <w:r w:rsidRPr="0023661F">
        <w:rPr>
          <w:rFonts w:cs="Arial"/>
        </w:rPr>
        <w:t xml:space="preserve"> y ha emitido su correspondiente Dictamen.</w:t>
      </w:r>
    </w:p>
    <w:p w:rsidR="00905065" w:rsidRDefault="00905065" w:rsidP="00C2747E">
      <w:pPr>
        <w:spacing w:line="360" w:lineRule="auto"/>
        <w:jc w:val="both"/>
        <w:rPr>
          <w:rFonts w:cs="Arial"/>
        </w:rPr>
      </w:pPr>
      <w:r w:rsidRPr="0023661F">
        <w:rPr>
          <w:rFonts w:cs="Arial"/>
        </w:rPr>
        <w:t>Como consecuencia del examen practicado, se incluyen en este Informe comentarios que se ha entendido conveniente exponer, relacionados con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905065" w:rsidRPr="0023661F" w:rsidRDefault="00905065" w:rsidP="00C2747E">
      <w:pPr>
        <w:pStyle w:val="Ttulo2"/>
        <w:numPr>
          <w:ilvl w:val="0"/>
          <w:numId w:val="13"/>
        </w:numPr>
        <w:spacing w:after="0"/>
        <w:ind w:hanging="720"/>
        <w:jc w:val="both"/>
        <w:rPr>
          <w:rFonts w:cs="Arial"/>
          <w:szCs w:val="24"/>
        </w:rPr>
      </w:pPr>
      <w:r>
        <w:rPr>
          <w:rFonts w:cs="Arial"/>
          <w:szCs w:val="24"/>
        </w:rPr>
        <w:t xml:space="preserve">Otras </w:t>
      </w:r>
      <w:r w:rsidRPr="0023661F">
        <w:rPr>
          <w:rFonts w:cs="Arial"/>
          <w:szCs w:val="24"/>
        </w:rPr>
        <w:t>Constataciones</w:t>
      </w:r>
      <w:r>
        <w:rPr>
          <w:rFonts w:cs="Arial"/>
          <w:szCs w:val="24"/>
        </w:rPr>
        <w:t xml:space="preserve"> que no afectan la opinión.</w:t>
      </w:r>
    </w:p>
    <w:p w:rsidR="00905065" w:rsidRPr="0023661F" w:rsidRDefault="00905065" w:rsidP="00C2747E">
      <w:pPr>
        <w:pStyle w:val="Textoindependiente"/>
        <w:rPr>
          <w:rFonts w:cs="Arial"/>
          <w:b/>
        </w:rPr>
      </w:pPr>
      <w:r w:rsidRPr="0023661F">
        <w:rPr>
          <w:rFonts w:cs="Arial"/>
          <w:b/>
        </w:rPr>
        <w:t>Juicios contra la Intendencia</w:t>
      </w:r>
    </w:p>
    <w:p w:rsidR="00905065" w:rsidRDefault="00905065" w:rsidP="00C2747E">
      <w:pPr>
        <w:spacing w:line="360" w:lineRule="auto"/>
        <w:jc w:val="both"/>
        <w:rPr>
          <w:rFonts w:cs="Arial"/>
        </w:rPr>
      </w:pPr>
      <w:r w:rsidRPr="00FA73D9">
        <w:rPr>
          <w:rFonts w:cs="Arial"/>
        </w:rPr>
        <w:t>De acuerdo con la información presentada en la Rendición de Cuentas, al 31/12/17 existían juicios contra la Intendencia por montos reclamados del orden de $ 10:169.529, U$S 830.495 y otros aún no determinados, lo que podría</w:t>
      </w:r>
      <w:r w:rsidRPr="0023661F">
        <w:rPr>
          <w:rFonts w:cs="Arial"/>
        </w:rPr>
        <w:t xml:space="preserve"> incidir en el déficit acumulado por las </w:t>
      </w:r>
      <w:r>
        <w:rPr>
          <w:rFonts w:cs="Arial"/>
        </w:rPr>
        <w:t>eventuales erogaciones que resulten.</w:t>
      </w:r>
    </w:p>
    <w:p w:rsidR="00905065" w:rsidRDefault="00905065" w:rsidP="00C2747E">
      <w:pPr>
        <w:pStyle w:val="Ttulo2"/>
        <w:numPr>
          <w:ilvl w:val="0"/>
          <w:numId w:val="13"/>
        </w:numPr>
        <w:spacing w:after="0"/>
        <w:ind w:hanging="720"/>
        <w:jc w:val="both"/>
        <w:rPr>
          <w:rFonts w:cs="Arial"/>
          <w:szCs w:val="24"/>
        </w:rPr>
      </w:pPr>
      <w:r w:rsidRPr="0023661F">
        <w:rPr>
          <w:rFonts w:cs="Arial"/>
          <w:szCs w:val="24"/>
        </w:rPr>
        <w:t>Debilidades de Control Interno</w:t>
      </w:r>
    </w:p>
    <w:p w:rsidR="00905065" w:rsidRPr="00E93F02" w:rsidRDefault="00905065" w:rsidP="00C2747E">
      <w:pPr>
        <w:spacing w:line="360" w:lineRule="auto"/>
        <w:jc w:val="both"/>
        <w:rPr>
          <w:rFonts w:cs="Arial"/>
          <w:b/>
          <w:szCs w:val="22"/>
          <w:lang w:val="es-UY" w:eastAsia="en-US"/>
        </w:rPr>
      </w:pPr>
      <w:r>
        <w:rPr>
          <w:rFonts w:cs="Arial"/>
          <w:b/>
          <w:szCs w:val="22"/>
          <w:lang w:val="es-UY" w:eastAsia="en-US"/>
        </w:rPr>
        <w:t xml:space="preserve">2.1) </w:t>
      </w:r>
      <w:r w:rsidRPr="00E93F02">
        <w:rPr>
          <w:rFonts w:cs="Arial"/>
          <w:b/>
          <w:szCs w:val="22"/>
          <w:lang w:val="es-UY" w:eastAsia="en-US"/>
        </w:rPr>
        <w:t>Conciliaciones bancarias</w:t>
      </w:r>
    </w:p>
    <w:p w:rsidR="00905065" w:rsidRDefault="00905065" w:rsidP="00C2747E">
      <w:pPr>
        <w:spacing w:line="360" w:lineRule="auto"/>
        <w:jc w:val="both"/>
        <w:rPr>
          <w:rFonts w:cs="Arial"/>
          <w:szCs w:val="22"/>
          <w:lang w:val="es-UY" w:eastAsia="en-US"/>
        </w:rPr>
      </w:pPr>
      <w:r w:rsidRPr="00E93F02">
        <w:rPr>
          <w:rFonts w:cs="Arial"/>
          <w:szCs w:val="22"/>
          <w:lang w:val="es-UY" w:eastAsia="en-US"/>
        </w:rPr>
        <w:t>Los ajustes resultantes de las conciliaciones bancarias, si bien se consideran a los efectos de determinar el saldo de caja y bancos al 31/12/</w:t>
      </w:r>
      <w:r>
        <w:rPr>
          <w:rFonts w:cs="Arial"/>
          <w:szCs w:val="22"/>
          <w:lang w:val="es-UY" w:eastAsia="en-US"/>
        </w:rPr>
        <w:t>20</w:t>
      </w:r>
      <w:r w:rsidRPr="00E93F02">
        <w:rPr>
          <w:rFonts w:cs="Arial"/>
          <w:szCs w:val="22"/>
          <w:lang w:val="es-UY" w:eastAsia="en-US"/>
        </w:rPr>
        <w:t>17, no se contabilizan.</w:t>
      </w:r>
    </w:p>
    <w:p w:rsidR="00905065" w:rsidRPr="000272E7" w:rsidRDefault="00905065" w:rsidP="00C2747E">
      <w:pPr>
        <w:spacing w:line="360" w:lineRule="auto"/>
        <w:jc w:val="both"/>
        <w:outlineLvl w:val="1"/>
        <w:rPr>
          <w:rFonts w:eastAsia="Times New Roman" w:cs="Arial"/>
          <w:b/>
          <w:kern w:val="18"/>
          <w:szCs w:val="20"/>
          <w:lang w:val="es-ES_tradnl"/>
        </w:rPr>
      </w:pPr>
      <w:r>
        <w:rPr>
          <w:rFonts w:eastAsia="Times New Roman" w:cs="Arial"/>
          <w:b/>
          <w:kern w:val="18"/>
          <w:szCs w:val="20"/>
        </w:rPr>
        <w:t>2</w:t>
      </w:r>
      <w:r w:rsidRPr="000272E7">
        <w:rPr>
          <w:rFonts w:eastAsia="Times New Roman" w:cs="Arial"/>
          <w:b/>
          <w:kern w:val="18"/>
          <w:szCs w:val="20"/>
        </w:rPr>
        <w:t>.</w:t>
      </w:r>
      <w:r>
        <w:rPr>
          <w:rFonts w:eastAsia="Times New Roman" w:cs="Arial"/>
          <w:b/>
          <w:kern w:val="18"/>
          <w:szCs w:val="20"/>
        </w:rPr>
        <w:t>2</w:t>
      </w:r>
      <w:r w:rsidRPr="000272E7">
        <w:rPr>
          <w:rFonts w:eastAsia="Times New Roman" w:cs="Arial"/>
          <w:b/>
          <w:kern w:val="18"/>
          <w:szCs w:val="20"/>
        </w:rPr>
        <w:t>) Respecto a recursos y manejo de fondos</w:t>
      </w:r>
    </w:p>
    <w:p w:rsidR="00905065" w:rsidRDefault="00905065" w:rsidP="00905065">
      <w:pPr>
        <w:numPr>
          <w:ilvl w:val="0"/>
          <w:numId w:val="3"/>
        </w:numPr>
        <w:tabs>
          <w:tab w:val="num" w:pos="397"/>
          <w:tab w:val="num" w:pos="567"/>
        </w:tabs>
        <w:spacing w:line="360" w:lineRule="auto"/>
        <w:ind w:left="397" w:hanging="397"/>
        <w:jc w:val="both"/>
        <w:rPr>
          <w:rFonts w:eastAsia="Times New Roman" w:cs="Arial"/>
          <w:kern w:val="18"/>
          <w:szCs w:val="20"/>
        </w:rPr>
      </w:pPr>
      <w:r w:rsidRPr="0012510C">
        <w:rPr>
          <w:rFonts w:eastAsia="Times New Roman" w:cs="Arial"/>
          <w:kern w:val="18"/>
          <w:szCs w:val="20"/>
        </w:rPr>
        <w:t>No se mantiene un compendio de todas las normas tributarias aplicadas por la Intendencia.</w:t>
      </w:r>
    </w:p>
    <w:p w:rsidR="00905065" w:rsidRPr="0012510C" w:rsidRDefault="00905065" w:rsidP="00905065">
      <w:pPr>
        <w:numPr>
          <w:ilvl w:val="0"/>
          <w:numId w:val="3"/>
        </w:numPr>
        <w:tabs>
          <w:tab w:val="num" w:pos="397"/>
          <w:tab w:val="num" w:pos="567"/>
        </w:tabs>
        <w:spacing w:line="360" w:lineRule="auto"/>
        <w:ind w:left="397" w:hanging="397"/>
        <w:jc w:val="both"/>
        <w:rPr>
          <w:rFonts w:eastAsia="Times New Roman" w:cs="Arial"/>
          <w:kern w:val="18"/>
          <w:szCs w:val="20"/>
        </w:rPr>
      </w:pPr>
      <w:r w:rsidRPr="0012510C">
        <w:rPr>
          <w:rFonts w:eastAsia="Times New Roman" w:cs="Arial"/>
          <w:kern w:val="18"/>
          <w:szCs w:val="20"/>
        </w:rPr>
        <w:t>Al momento de practicar los arqueos de fondos de la “Caja Sueldos” en Tesorería, se carece de información del saldo contable en el sistema correspondiente a las partidas pendientes de entrega, a efectos de cotejar que los montos recontados por este concepto sean coincidentes con aquéllos.</w:t>
      </w:r>
    </w:p>
    <w:p w:rsidR="00905065" w:rsidRPr="00107CA5" w:rsidRDefault="00905065" w:rsidP="00905065">
      <w:pPr>
        <w:numPr>
          <w:ilvl w:val="0"/>
          <w:numId w:val="3"/>
        </w:numPr>
        <w:tabs>
          <w:tab w:val="num" w:pos="397"/>
          <w:tab w:val="num" w:pos="567"/>
        </w:tabs>
        <w:spacing w:line="360" w:lineRule="auto"/>
        <w:ind w:left="397" w:hanging="397"/>
        <w:jc w:val="both"/>
        <w:outlineLvl w:val="1"/>
        <w:rPr>
          <w:rFonts w:eastAsia="Times New Roman" w:cs="Arial"/>
          <w:b/>
          <w:kern w:val="18"/>
          <w:szCs w:val="20"/>
        </w:rPr>
      </w:pPr>
      <w:r w:rsidRPr="000272E7">
        <w:rPr>
          <w:rFonts w:eastAsia="Times New Roman" w:cs="Arial"/>
          <w:kern w:val="18"/>
          <w:szCs w:val="20"/>
        </w:rPr>
        <w:t>En el año 2017, no se realizaron arqueos sorpresivos en algunos  Municipios.</w:t>
      </w:r>
    </w:p>
    <w:p w:rsidR="00905065" w:rsidRPr="000272E7" w:rsidRDefault="00905065" w:rsidP="00C2747E">
      <w:pPr>
        <w:spacing w:line="360" w:lineRule="auto"/>
        <w:jc w:val="both"/>
        <w:outlineLvl w:val="1"/>
        <w:rPr>
          <w:rFonts w:eastAsia="Times New Roman" w:cs="Arial"/>
          <w:b/>
          <w:kern w:val="18"/>
          <w:szCs w:val="20"/>
        </w:rPr>
      </w:pPr>
      <w:r>
        <w:rPr>
          <w:rFonts w:eastAsia="Times New Roman" w:cs="Arial"/>
          <w:b/>
          <w:kern w:val="18"/>
          <w:szCs w:val="20"/>
        </w:rPr>
        <w:t>2</w:t>
      </w:r>
      <w:r w:rsidRPr="000272E7">
        <w:rPr>
          <w:rFonts w:eastAsia="Times New Roman" w:cs="Arial"/>
          <w:b/>
          <w:kern w:val="18"/>
          <w:szCs w:val="20"/>
        </w:rPr>
        <w:t>.</w:t>
      </w:r>
      <w:r>
        <w:rPr>
          <w:rFonts w:eastAsia="Times New Roman" w:cs="Arial"/>
          <w:b/>
          <w:kern w:val="18"/>
          <w:szCs w:val="20"/>
        </w:rPr>
        <w:t>3</w:t>
      </w:r>
      <w:r w:rsidRPr="000272E7">
        <w:rPr>
          <w:rFonts w:eastAsia="Times New Roman" w:cs="Arial"/>
          <w:b/>
          <w:kern w:val="18"/>
          <w:szCs w:val="20"/>
        </w:rPr>
        <w:t>) Respecto al área de compras</w:t>
      </w:r>
    </w:p>
    <w:p w:rsidR="00905065" w:rsidRPr="000272E7" w:rsidRDefault="00905065" w:rsidP="00905065">
      <w:pPr>
        <w:numPr>
          <w:ilvl w:val="0"/>
          <w:numId w:val="4"/>
        </w:numPr>
        <w:tabs>
          <w:tab w:val="num" w:pos="397"/>
        </w:tabs>
        <w:spacing w:line="360" w:lineRule="auto"/>
        <w:ind w:left="397" w:hanging="397"/>
        <w:jc w:val="both"/>
        <w:rPr>
          <w:rFonts w:eastAsia="Times New Roman" w:cs="Arial"/>
          <w:kern w:val="18"/>
          <w:szCs w:val="20"/>
          <w:lang w:val="es-ES_tradnl"/>
        </w:rPr>
      </w:pPr>
      <w:r w:rsidRPr="000272E7">
        <w:rPr>
          <w:rFonts w:eastAsia="Times New Roman" w:cs="Arial"/>
          <w:kern w:val="18"/>
          <w:szCs w:val="20"/>
          <w:lang w:val="es-ES_tradnl"/>
        </w:rPr>
        <w:t>No existe un manual que abarque todo el procedimiento de compras.</w:t>
      </w:r>
    </w:p>
    <w:p w:rsidR="00905065" w:rsidRPr="000272E7" w:rsidRDefault="00905065" w:rsidP="00905065">
      <w:pPr>
        <w:numPr>
          <w:ilvl w:val="0"/>
          <w:numId w:val="4"/>
        </w:numPr>
        <w:tabs>
          <w:tab w:val="num" w:pos="397"/>
        </w:tabs>
        <w:spacing w:line="360" w:lineRule="auto"/>
        <w:ind w:left="397" w:hanging="397"/>
        <w:jc w:val="both"/>
        <w:rPr>
          <w:rFonts w:eastAsia="Times New Roman" w:cs="Arial"/>
          <w:kern w:val="18"/>
          <w:szCs w:val="20"/>
          <w:lang w:val="es-ES_tradnl"/>
        </w:rPr>
      </w:pPr>
      <w:r w:rsidRPr="000272E7">
        <w:rPr>
          <w:rFonts w:eastAsia="Times New Roman" w:cs="Arial"/>
          <w:kern w:val="18"/>
          <w:szCs w:val="20"/>
          <w:lang w:val="es-ES_tradnl"/>
        </w:rPr>
        <w:t>No se realizan conciliaciones de saldos con los proveedores públicos y privados.</w:t>
      </w:r>
    </w:p>
    <w:p w:rsidR="00905065" w:rsidRDefault="00905065" w:rsidP="00905065">
      <w:pPr>
        <w:numPr>
          <w:ilvl w:val="0"/>
          <w:numId w:val="4"/>
        </w:numPr>
        <w:tabs>
          <w:tab w:val="num" w:pos="397"/>
        </w:tabs>
        <w:spacing w:line="360" w:lineRule="auto"/>
        <w:ind w:left="397" w:hanging="397"/>
        <w:jc w:val="both"/>
        <w:rPr>
          <w:rFonts w:eastAsia="Times New Roman" w:cs="Arial"/>
          <w:kern w:val="18"/>
          <w:szCs w:val="20"/>
          <w:lang w:val="es-ES_tradnl"/>
        </w:rPr>
      </w:pPr>
      <w:r w:rsidRPr="000272E7">
        <w:rPr>
          <w:rFonts w:eastAsia="Times New Roman" w:cs="Arial"/>
          <w:kern w:val="18"/>
          <w:szCs w:val="20"/>
          <w:lang w:val="es-ES_tradnl"/>
        </w:rPr>
        <w:t>No hay una planificación anual para la compra de artículos.</w:t>
      </w:r>
    </w:p>
    <w:p w:rsidR="00905065" w:rsidRPr="000272E7" w:rsidRDefault="00905065" w:rsidP="00C2747E">
      <w:pPr>
        <w:spacing w:line="360" w:lineRule="auto"/>
        <w:jc w:val="both"/>
        <w:outlineLvl w:val="1"/>
        <w:rPr>
          <w:rFonts w:eastAsia="Times New Roman" w:cs="Arial"/>
          <w:b/>
          <w:kern w:val="18"/>
          <w:szCs w:val="20"/>
        </w:rPr>
      </w:pPr>
      <w:r>
        <w:rPr>
          <w:rFonts w:eastAsia="Times New Roman" w:cs="Arial"/>
          <w:b/>
          <w:kern w:val="18"/>
          <w:szCs w:val="20"/>
        </w:rPr>
        <w:t>2</w:t>
      </w:r>
      <w:r w:rsidRPr="000272E7">
        <w:rPr>
          <w:rFonts w:eastAsia="Times New Roman" w:cs="Arial"/>
          <w:b/>
          <w:kern w:val="18"/>
          <w:szCs w:val="20"/>
        </w:rPr>
        <w:t>.</w:t>
      </w:r>
      <w:r>
        <w:rPr>
          <w:rFonts w:eastAsia="Times New Roman" w:cs="Arial"/>
          <w:b/>
          <w:kern w:val="18"/>
          <w:szCs w:val="20"/>
        </w:rPr>
        <w:t>4</w:t>
      </w:r>
      <w:r w:rsidRPr="000272E7">
        <w:rPr>
          <w:rFonts w:eastAsia="Times New Roman" w:cs="Arial"/>
          <w:b/>
          <w:kern w:val="18"/>
          <w:szCs w:val="20"/>
        </w:rPr>
        <w:t>) Respecto a retribuciones personales</w:t>
      </w:r>
    </w:p>
    <w:p w:rsidR="00905065" w:rsidRPr="00D0616B" w:rsidRDefault="00905065" w:rsidP="00905065">
      <w:pPr>
        <w:numPr>
          <w:ilvl w:val="0"/>
          <w:numId w:val="4"/>
        </w:numPr>
        <w:tabs>
          <w:tab w:val="num" w:pos="397"/>
        </w:tabs>
        <w:spacing w:line="360" w:lineRule="auto"/>
        <w:ind w:left="397" w:hanging="397"/>
        <w:jc w:val="both"/>
        <w:rPr>
          <w:rFonts w:eastAsia="Times New Roman" w:cs="Arial"/>
          <w:kern w:val="18"/>
          <w:szCs w:val="20"/>
          <w:lang w:val="es-ES_tradnl"/>
        </w:rPr>
      </w:pPr>
      <w:r w:rsidRPr="000272E7">
        <w:rPr>
          <w:rFonts w:eastAsia="Times New Roman" w:cs="Arial"/>
          <w:kern w:val="18"/>
          <w:szCs w:val="20"/>
          <w:lang w:val="es-ES_tradnl"/>
        </w:rPr>
        <w:t>No se cuenta con un compendio normativo actualizado que incluya las normas presupuestales de la totalidad de las partidas abonadas a los funcionarios.</w:t>
      </w:r>
    </w:p>
    <w:p w:rsidR="00905065" w:rsidRDefault="00905065" w:rsidP="00C2747E">
      <w:pPr>
        <w:pStyle w:val="Ttulo2"/>
        <w:numPr>
          <w:ilvl w:val="0"/>
          <w:numId w:val="16"/>
        </w:numPr>
        <w:spacing w:after="0"/>
        <w:ind w:hanging="720"/>
        <w:jc w:val="both"/>
        <w:rPr>
          <w:rFonts w:cs="Arial"/>
          <w:szCs w:val="24"/>
        </w:rPr>
      </w:pPr>
      <w:r>
        <w:rPr>
          <w:rFonts w:cs="Arial"/>
          <w:szCs w:val="24"/>
        </w:rPr>
        <w:t>R</w:t>
      </w:r>
      <w:r w:rsidRPr="0023661F">
        <w:rPr>
          <w:rFonts w:cs="Arial"/>
          <w:szCs w:val="24"/>
        </w:rPr>
        <w:t>ecomendaciones</w:t>
      </w:r>
    </w:p>
    <w:p w:rsidR="00905065" w:rsidRDefault="00905065" w:rsidP="00C2747E">
      <w:pPr>
        <w:pStyle w:val="Ttulo2"/>
        <w:spacing w:after="0"/>
        <w:jc w:val="both"/>
        <w:rPr>
          <w:rFonts w:cs="Arial"/>
          <w:szCs w:val="24"/>
          <w:lang w:val="es-ES_tradnl"/>
        </w:rPr>
      </w:pPr>
      <w:r>
        <w:rPr>
          <w:rFonts w:cs="Arial"/>
          <w:szCs w:val="24"/>
          <w:lang w:val="es-ES_tradnl"/>
        </w:rPr>
        <w:t>3.1)</w:t>
      </w:r>
      <w:r w:rsidRPr="0023661F">
        <w:rPr>
          <w:rFonts w:cs="Arial"/>
          <w:szCs w:val="24"/>
          <w:lang w:val="es-ES_tradnl"/>
        </w:rPr>
        <w:t xml:space="preserve"> Recomendaciones del ejercicio anterior no cumplidas</w:t>
      </w:r>
    </w:p>
    <w:p w:rsidR="00905065" w:rsidRPr="0023661F" w:rsidRDefault="00905065" w:rsidP="00C2747E">
      <w:pPr>
        <w:pStyle w:val="Ttulo2"/>
        <w:spacing w:after="0"/>
        <w:jc w:val="both"/>
        <w:rPr>
          <w:rFonts w:cs="Arial"/>
          <w:szCs w:val="24"/>
        </w:rPr>
      </w:pPr>
      <w:r>
        <w:rPr>
          <w:rFonts w:cs="Arial"/>
          <w:szCs w:val="24"/>
        </w:rPr>
        <w:t>3.1.1)</w:t>
      </w:r>
      <w:r w:rsidRPr="0023661F">
        <w:rPr>
          <w:rFonts w:cs="Arial"/>
          <w:szCs w:val="24"/>
        </w:rPr>
        <w:t xml:space="preserve"> Estados de Resultado del Ejercicio</w:t>
      </w:r>
      <w:r>
        <w:rPr>
          <w:rFonts w:cs="Arial"/>
          <w:szCs w:val="24"/>
        </w:rPr>
        <w:t xml:space="preserve">, </w:t>
      </w:r>
      <w:r w:rsidRPr="0023661F">
        <w:rPr>
          <w:rFonts w:cs="Arial"/>
          <w:szCs w:val="24"/>
        </w:rPr>
        <w:t>de Resultado Acumulado</w:t>
      </w:r>
      <w:r>
        <w:rPr>
          <w:rFonts w:cs="Arial"/>
          <w:szCs w:val="24"/>
        </w:rPr>
        <w:t xml:space="preserve"> y de Ejecución en relación a los créditos presupuestales</w:t>
      </w:r>
    </w:p>
    <w:p w:rsidR="00905065" w:rsidRDefault="00905065" w:rsidP="00C2747E">
      <w:pPr>
        <w:pStyle w:val="Textoindependiente"/>
        <w:rPr>
          <w:rFonts w:cs="Arial"/>
        </w:rPr>
      </w:pPr>
      <w:r w:rsidRPr="0023661F">
        <w:rPr>
          <w:rFonts w:cs="Arial"/>
        </w:rPr>
        <w:t xml:space="preserve">La Intendencia deberá ajustar su forma de determinación de acuerdo con lo expuesto en los numerales 1.1) </w:t>
      </w:r>
      <w:r>
        <w:rPr>
          <w:rFonts w:cs="Arial"/>
        </w:rPr>
        <w:t xml:space="preserve">a </w:t>
      </w:r>
      <w:r w:rsidRPr="0023661F">
        <w:rPr>
          <w:rFonts w:cs="Arial"/>
        </w:rPr>
        <w:t xml:space="preserve"> 1.</w:t>
      </w:r>
      <w:r>
        <w:rPr>
          <w:rFonts w:cs="Arial"/>
        </w:rPr>
        <w:t>5</w:t>
      </w:r>
      <w:r w:rsidRPr="0023661F">
        <w:rPr>
          <w:rFonts w:cs="Arial"/>
        </w:rPr>
        <w:t>)</w:t>
      </w:r>
      <w:r>
        <w:rPr>
          <w:rFonts w:cs="Arial"/>
        </w:rPr>
        <w:t xml:space="preserve"> de este informe</w:t>
      </w:r>
      <w:r w:rsidRPr="0023661F">
        <w:rPr>
          <w:rFonts w:cs="Arial"/>
        </w:rPr>
        <w:t>, e incluir los conceptos que establece el Instructivo para la presentación de la Rendición de Cuentas aprobado por este Tribunal.</w:t>
      </w:r>
    </w:p>
    <w:p w:rsidR="00905065" w:rsidRPr="0023661F" w:rsidRDefault="00905065" w:rsidP="00C2747E">
      <w:pPr>
        <w:pStyle w:val="Ttulo2"/>
        <w:spacing w:after="0"/>
        <w:jc w:val="both"/>
        <w:rPr>
          <w:rFonts w:cs="Arial"/>
          <w:szCs w:val="24"/>
        </w:rPr>
      </w:pPr>
      <w:r>
        <w:rPr>
          <w:rFonts w:cs="Arial"/>
          <w:szCs w:val="24"/>
        </w:rPr>
        <w:t>3.1.2)</w:t>
      </w:r>
      <w:r w:rsidRPr="0023661F">
        <w:rPr>
          <w:rFonts w:cs="Arial"/>
          <w:szCs w:val="24"/>
        </w:rPr>
        <w:t xml:space="preserve">  Instruc</w:t>
      </w:r>
      <w:r w:rsidR="00EE4E3A">
        <w:rPr>
          <w:rFonts w:cs="Arial"/>
          <w:szCs w:val="24"/>
        </w:rPr>
        <w:t>tivo del Tribunal de Cuentas</w:t>
      </w:r>
    </w:p>
    <w:p w:rsidR="00905065" w:rsidRPr="0023661F" w:rsidRDefault="00905065" w:rsidP="00C2747E">
      <w:pPr>
        <w:pStyle w:val="Textoindependiente"/>
        <w:rPr>
          <w:rFonts w:cs="Arial"/>
        </w:rPr>
      </w:pPr>
      <w:r>
        <w:rPr>
          <w:rFonts w:cs="Arial"/>
          <w:b/>
        </w:rPr>
        <w:t>3</w:t>
      </w:r>
      <w:r w:rsidRPr="0023661F">
        <w:rPr>
          <w:rFonts w:cs="Arial"/>
          <w:b/>
        </w:rPr>
        <w:t>.1.2.1</w:t>
      </w:r>
      <w:r>
        <w:rPr>
          <w:rFonts w:cs="Arial"/>
          <w:b/>
        </w:rPr>
        <w:t xml:space="preserve">) </w:t>
      </w:r>
      <w:r w:rsidRPr="0023661F">
        <w:rPr>
          <w:rFonts w:cs="Arial"/>
          <w:b/>
        </w:rPr>
        <w:t xml:space="preserve">Fondos </w:t>
      </w:r>
      <w:proofErr w:type="spellStart"/>
      <w:r w:rsidRPr="0023661F">
        <w:rPr>
          <w:rFonts w:cs="Arial"/>
          <w:b/>
        </w:rPr>
        <w:t>extrapresupuestales</w:t>
      </w:r>
      <w:proofErr w:type="spellEnd"/>
    </w:p>
    <w:p w:rsidR="00905065" w:rsidRPr="0023661F" w:rsidRDefault="00905065" w:rsidP="00C2747E">
      <w:pPr>
        <w:pStyle w:val="Textoindependiente"/>
        <w:rPr>
          <w:rFonts w:cs="Arial"/>
        </w:rPr>
      </w:pPr>
      <w:r w:rsidRPr="0023661F">
        <w:rPr>
          <w:rFonts w:cs="Arial"/>
        </w:rPr>
        <w:t xml:space="preserve">El estado correspondiente a los fondos </w:t>
      </w:r>
      <w:proofErr w:type="spellStart"/>
      <w:r w:rsidRPr="0023661F">
        <w:rPr>
          <w:rFonts w:cs="Arial"/>
        </w:rPr>
        <w:t>extrapresupuestales</w:t>
      </w:r>
      <w:proofErr w:type="spellEnd"/>
      <w:r w:rsidRPr="0023661F">
        <w:rPr>
          <w:rFonts w:cs="Arial"/>
        </w:rPr>
        <w:t xml:space="preserve"> debe ser presentado en la forma establecida en el Instructivo de este Tribunal aprobado </w:t>
      </w:r>
      <w:r>
        <w:rPr>
          <w:rFonts w:cs="Arial"/>
        </w:rPr>
        <w:t xml:space="preserve">por Resolución 1235/18 </w:t>
      </w:r>
      <w:r w:rsidRPr="0023661F">
        <w:rPr>
          <w:rFonts w:cs="Arial"/>
        </w:rPr>
        <w:t>en Sesión de fecha 2</w:t>
      </w:r>
      <w:r>
        <w:rPr>
          <w:rFonts w:cs="Arial"/>
        </w:rPr>
        <w:t>1/03/2018</w:t>
      </w:r>
      <w:r w:rsidRPr="0023661F">
        <w:rPr>
          <w:rFonts w:cs="Arial"/>
        </w:rPr>
        <w:t>, de forma que estén claramente identificadas las partidas que permanecen con saldos al cierre del ejercicio y las que, por el contrario, son afectadas al resultado del ejercicio.</w:t>
      </w:r>
    </w:p>
    <w:p w:rsidR="00905065" w:rsidRPr="0023661F" w:rsidRDefault="00905065" w:rsidP="00C2747E">
      <w:pPr>
        <w:pStyle w:val="Ttulo2"/>
        <w:tabs>
          <w:tab w:val="num" w:pos="2880"/>
        </w:tabs>
        <w:spacing w:after="0"/>
        <w:jc w:val="both"/>
        <w:rPr>
          <w:rFonts w:cs="Arial"/>
          <w:szCs w:val="24"/>
        </w:rPr>
      </w:pPr>
      <w:r>
        <w:rPr>
          <w:rFonts w:cs="Arial"/>
          <w:szCs w:val="24"/>
        </w:rPr>
        <w:t>3.1.2.2)</w:t>
      </w:r>
      <w:r w:rsidRPr="0023661F">
        <w:rPr>
          <w:rFonts w:cs="Arial"/>
          <w:szCs w:val="24"/>
        </w:rPr>
        <w:t xml:space="preserve"> Caducidad de obligaciones presupuestales impagas</w:t>
      </w:r>
    </w:p>
    <w:p w:rsidR="00905065" w:rsidRDefault="00905065" w:rsidP="00C2747E">
      <w:pPr>
        <w:pStyle w:val="Textoindependiente"/>
        <w:rPr>
          <w:rFonts w:cs="Arial"/>
        </w:rPr>
      </w:pPr>
      <w:r w:rsidRPr="0023661F">
        <w:rPr>
          <w:rFonts w:cs="Arial"/>
        </w:rPr>
        <w:t xml:space="preserve">Si deben darse de baja determinadas obligaciones, en razón de que no corresponde abonarlas, deberá indicarse el detalle de las mismas y el motivo por el que se dan de baja, de acuerdo con lo previsto en el Instructivo de este Tribunal </w:t>
      </w:r>
      <w:r>
        <w:rPr>
          <w:rFonts w:cs="Arial"/>
        </w:rPr>
        <w:t xml:space="preserve">vigente a la fecha de presentación </w:t>
      </w:r>
      <w:r w:rsidRPr="0023661F">
        <w:rPr>
          <w:rFonts w:cs="Arial"/>
        </w:rPr>
        <w:t xml:space="preserve">de </w:t>
      </w:r>
      <w:r>
        <w:rPr>
          <w:rFonts w:cs="Arial"/>
        </w:rPr>
        <w:t>la Rendición de Cuentas</w:t>
      </w:r>
      <w:r w:rsidRPr="0023661F">
        <w:rPr>
          <w:rFonts w:cs="Arial"/>
        </w:rPr>
        <w:t>.</w:t>
      </w:r>
    </w:p>
    <w:p w:rsidR="00905065" w:rsidRPr="0023661F" w:rsidRDefault="00905065" w:rsidP="00C2747E">
      <w:pPr>
        <w:pStyle w:val="Ttulo2"/>
        <w:tabs>
          <w:tab w:val="num" w:pos="2880"/>
        </w:tabs>
        <w:spacing w:after="0"/>
        <w:jc w:val="both"/>
        <w:rPr>
          <w:rFonts w:cs="Arial"/>
          <w:szCs w:val="24"/>
        </w:rPr>
      </w:pPr>
      <w:r>
        <w:rPr>
          <w:rFonts w:cs="Arial"/>
          <w:szCs w:val="24"/>
        </w:rPr>
        <w:t>3.1.3)</w:t>
      </w:r>
      <w:r w:rsidRPr="0023661F">
        <w:rPr>
          <w:rFonts w:cs="Arial"/>
          <w:szCs w:val="24"/>
        </w:rPr>
        <w:t xml:space="preserve"> </w:t>
      </w:r>
      <w:r w:rsidR="00EE4E3A">
        <w:rPr>
          <w:rFonts w:cs="Arial"/>
          <w:szCs w:val="24"/>
        </w:rPr>
        <w:t>Control Interno</w:t>
      </w:r>
    </w:p>
    <w:p w:rsidR="00905065" w:rsidRPr="0023661F" w:rsidRDefault="00905065" w:rsidP="00C2747E">
      <w:pPr>
        <w:pStyle w:val="Textoindependiente"/>
        <w:rPr>
          <w:rFonts w:cs="Arial"/>
        </w:rPr>
      </w:pPr>
      <w:r>
        <w:rPr>
          <w:rFonts w:cs="Arial"/>
        </w:rPr>
        <w:t>La Intendencia d</w:t>
      </w:r>
      <w:r w:rsidRPr="0023661F">
        <w:rPr>
          <w:rFonts w:cs="Arial"/>
        </w:rPr>
        <w:t xml:space="preserve">eberá arbitrar los mecanismos a fin de </w:t>
      </w:r>
      <w:r>
        <w:rPr>
          <w:rFonts w:cs="Arial"/>
        </w:rPr>
        <w:t>superar las debilidades de control interno señaladas en el numeral 2) del presente Informe.</w:t>
      </w:r>
    </w:p>
    <w:p w:rsidR="00905065" w:rsidRPr="0023661F" w:rsidRDefault="00905065" w:rsidP="00C2747E">
      <w:pPr>
        <w:pStyle w:val="Ttulo2"/>
        <w:spacing w:after="0"/>
        <w:jc w:val="both"/>
        <w:rPr>
          <w:rFonts w:cs="Arial"/>
          <w:szCs w:val="24"/>
        </w:rPr>
      </w:pPr>
      <w:bookmarkStart w:id="8" w:name="_Toc207699455"/>
      <w:bookmarkStart w:id="9" w:name="_Toc343587290"/>
      <w:bookmarkStart w:id="10" w:name="_Toc407008335"/>
      <w:r>
        <w:rPr>
          <w:rFonts w:cs="Arial"/>
          <w:szCs w:val="24"/>
        </w:rPr>
        <w:t>3</w:t>
      </w:r>
      <w:r w:rsidRPr="0023661F">
        <w:rPr>
          <w:rFonts w:cs="Arial"/>
          <w:szCs w:val="24"/>
        </w:rPr>
        <w:t>.2</w:t>
      </w:r>
      <w:r>
        <w:rPr>
          <w:rFonts w:cs="Arial"/>
          <w:szCs w:val="24"/>
        </w:rPr>
        <w:t>)</w:t>
      </w:r>
      <w:r w:rsidRPr="0023661F">
        <w:rPr>
          <w:rFonts w:cs="Arial"/>
          <w:szCs w:val="24"/>
        </w:rPr>
        <w:t xml:space="preserve"> Recomendaciones del ejercicio</w:t>
      </w:r>
      <w:bookmarkEnd w:id="8"/>
      <w:bookmarkEnd w:id="9"/>
      <w:bookmarkEnd w:id="10"/>
    </w:p>
    <w:p w:rsidR="00905065" w:rsidRPr="0023661F" w:rsidRDefault="00905065" w:rsidP="00C2747E">
      <w:pPr>
        <w:pStyle w:val="Textoindependiente"/>
        <w:widowControl w:val="0"/>
        <w:rPr>
          <w:rFonts w:cs="Arial"/>
        </w:rPr>
      </w:pPr>
      <w:r w:rsidRPr="0023661F">
        <w:rPr>
          <w:rFonts w:cs="Arial"/>
        </w:rPr>
        <w:t xml:space="preserve">Se reiteran las recomendaciones señaladas en el Numeral </w:t>
      </w:r>
      <w:r>
        <w:rPr>
          <w:rFonts w:cs="Arial"/>
        </w:rPr>
        <w:t>3</w:t>
      </w:r>
      <w:r w:rsidRPr="0023661F">
        <w:rPr>
          <w:rFonts w:cs="Arial"/>
        </w:rPr>
        <w:t>.1 y se agrega la siguiente:</w:t>
      </w:r>
    </w:p>
    <w:p w:rsidR="00905065" w:rsidRPr="0023661F" w:rsidRDefault="00905065" w:rsidP="00C2747E">
      <w:pPr>
        <w:pStyle w:val="Textoindependiente"/>
        <w:widowControl w:val="0"/>
        <w:rPr>
          <w:rFonts w:cs="Arial"/>
          <w:b/>
          <w:bCs w:val="0"/>
        </w:rPr>
      </w:pPr>
      <w:r>
        <w:rPr>
          <w:rFonts w:cs="Arial"/>
          <w:b/>
          <w:spacing w:val="-3"/>
        </w:rPr>
        <w:t>3.2.1) Modificaciones de recursos</w:t>
      </w:r>
    </w:p>
    <w:p w:rsidR="00905065" w:rsidRDefault="00905065" w:rsidP="00C2747E">
      <w:pPr>
        <w:suppressAutoHyphens/>
        <w:spacing w:line="360" w:lineRule="auto"/>
        <w:jc w:val="both"/>
        <w:rPr>
          <w:rFonts w:cs="Arial"/>
          <w:bCs/>
          <w:spacing w:val="-3"/>
        </w:rPr>
      </w:pPr>
      <w:r>
        <w:rPr>
          <w:rFonts w:cs="Arial"/>
          <w:bCs/>
          <w:spacing w:val="-3"/>
        </w:rPr>
        <w:t>En cumplimiento de la Ordenanza Nº 62 de este Tribunal, toda creación o modificación de recursos que aplique la Intendencia, debe ser sometida a dictamen de este Tribunal por la respectiva Junta Departamental, previamente a su aprobación.</w:t>
      </w:r>
    </w:p>
    <w:p w:rsidR="00905065" w:rsidRDefault="00905065" w:rsidP="00C2747E">
      <w:pPr>
        <w:pStyle w:val="Sangra3detindependiente"/>
        <w:jc w:val="right"/>
        <w:rPr>
          <w:rFonts w:cs="Arial"/>
          <w:szCs w:val="24"/>
        </w:rPr>
      </w:pPr>
      <w:r w:rsidRPr="0023661F">
        <w:rPr>
          <w:rFonts w:cs="Arial"/>
          <w:szCs w:val="24"/>
        </w:rPr>
        <w:t>Montevideo,</w:t>
      </w:r>
      <w:r>
        <w:rPr>
          <w:rFonts w:cs="Arial"/>
          <w:szCs w:val="24"/>
        </w:rPr>
        <w:t xml:space="preserve"> 7 de diciembre de 2018</w:t>
      </w:r>
      <w:bookmarkEnd w:id="6"/>
      <w:bookmarkEnd w:id="7"/>
    </w:p>
    <w:p w:rsidR="00905065" w:rsidRDefault="00905065" w:rsidP="00C2747E">
      <w:pPr>
        <w:pStyle w:val="Sangra3detindependiente"/>
        <w:jc w:val="right"/>
        <w:rPr>
          <w:rFonts w:cs="Arial"/>
          <w:szCs w:val="24"/>
        </w:rPr>
      </w:pPr>
    </w:p>
    <w:p w:rsidR="00905065" w:rsidRPr="00905065" w:rsidRDefault="00905065" w:rsidP="00905065">
      <w:pPr>
        <w:pStyle w:val="Sangra3detindependiente"/>
        <w:ind w:firstLine="0"/>
        <w:jc w:val="left"/>
        <w:rPr>
          <w:rFonts w:cs="Arial"/>
          <w:color w:val="000000"/>
        </w:rPr>
      </w:pPr>
      <w:proofErr w:type="spellStart"/>
      <w:proofErr w:type="gramStart"/>
      <w:r>
        <w:rPr>
          <w:rFonts w:cs="Arial"/>
          <w:szCs w:val="24"/>
        </w:rPr>
        <w:t>cr</w:t>
      </w:r>
      <w:proofErr w:type="spellEnd"/>
      <w:proofErr w:type="gramEnd"/>
    </w:p>
    <w:sectPr w:rsidR="00905065" w:rsidRPr="00905065" w:rsidSect="00B26EE5">
      <w:footerReference w:type="even" r:id="rId9"/>
      <w:footerReference w:type="default" r:id="rId10"/>
      <w:pgSz w:w="11906" w:h="16838" w:code="9"/>
      <w:pgMar w:top="3402" w:right="1701" w:bottom="1701"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4E" w:rsidRDefault="0038044E">
      <w:r>
        <w:separator/>
      </w:r>
    </w:p>
  </w:endnote>
  <w:endnote w:type="continuationSeparator" w:id="0">
    <w:p w:rsidR="0038044E" w:rsidRDefault="0038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B1" w:rsidRDefault="00AB61B1">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B61B1" w:rsidRDefault="00AB61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B1" w:rsidRDefault="00AB61B1">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4E3A">
      <w:rPr>
        <w:rStyle w:val="Nmerodepgina"/>
        <w:noProof/>
      </w:rPr>
      <w:t>1</w:t>
    </w:r>
    <w:r>
      <w:rPr>
        <w:rStyle w:val="Nmerodepgina"/>
      </w:rPr>
      <w:fldChar w:fldCharType="end"/>
    </w:r>
  </w:p>
  <w:p w:rsidR="00AB61B1" w:rsidRDefault="00AB61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4E" w:rsidRDefault="0038044E">
      <w:r>
        <w:separator/>
      </w:r>
    </w:p>
  </w:footnote>
  <w:footnote w:type="continuationSeparator" w:id="0">
    <w:p w:rsidR="0038044E" w:rsidRDefault="00380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7C0"/>
    <w:multiLevelType w:val="hybridMultilevel"/>
    <w:tmpl w:val="E2A8D05C"/>
    <w:lvl w:ilvl="0" w:tplc="AAFCFD2A">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0CA7E40"/>
    <w:multiLevelType w:val="hybridMultilevel"/>
    <w:tmpl w:val="D30E78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086C5018"/>
    <w:multiLevelType w:val="hybridMultilevel"/>
    <w:tmpl w:val="8ED0586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179B4B82"/>
    <w:multiLevelType w:val="hybridMultilevel"/>
    <w:tmpl w:val="2096A064"/>
    <w:lvl w:ilvl="0" w:tplc="380A000F">
      <w:start w:val="1"/>
      <w:numFmt w:val="decimal"/>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5">
    <w:nsid w:val="3D0E0A51"/>
    <w:multiLevelType w:val="hybridMultilevel"/>
    <w:tmpl w:val="5FF2616E"/>
    <w:lvl w:ilvl="0" w:tplc="F3A6EFF6">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47AE236C"/>
    <w:multiLevelType w:val="hybridMultilevel"/>
    <w:tmpl w:val="498CEB6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FC04BF8"/>
    <w:multiLevelType w:val="hybridMultilevel"/>
    <w:tmpl w:val="7528F4FC"/>
    <w:lvl w:ilvl="0" w:tplc="0C0A0011">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nsid w:val="57B63764"/>
    <w:multiLevelType w:val="hybridMultilevel"/>
    <w:tmpl w:val="90C65F40"/>
    <w:lvl w:ilvl="0" w:tplc="6D166090">
      <w:start w:val="1"/>
      <w:numFmt w:val="decimal"/>
      <w:lvlText w:val="%1)"/>
      <w:lvlJc w:val="left"/>
      <w:pPr>
        <w:tabs>
          <w:tab w:val="num" w:pos="360"/>
        </w:tabs>
        <w:ind w:left="340" w:hanging="34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5DFC5887"/>
    <w:multiLevelType w:val="hybridMultilevel"/>
    <w:tmpl w:val="9F6A2EAE"/>
    <w:lvl w:ilvl="0" w:tplc="FFFFFFFF">
      <w:start w:val="1"/>
      <w:numFmt w:val="decimal"/>
      <w:lvlText w:val="%1)"/>
      <w:lvlJc w:val="left"/>
      <w:pPr>
        <w:tabs>
          <w:tab w:val="num" w:pos="360"/>
        </w:tabs>
        <w:ind w:left="340" w:hanging="34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60764B5E"/>
    <w:multiLevelType w:val="multilevel"/>
    <w:tmpl w:val="47FCFB16"/>
    <w:lvl w:ilvl="0">
      <w:start w:val="1"/>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700E2441"/>
    <w:multiLevelType w:val="hybridMultilevel"/>
    <w:tmpl w:val="05FCF546"/>
    <w:lvl w:ilvl="0" w:tplc="7540734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7DD10451"/>
    <w:multiLevelType w:val="hybridMultilevel"/>
    <w:tmpl w:val="F8A09E6A"/>
    <w:lvl w:ilvl="0" w:tplc="3C0CE606">
      <w:start w:val="5"/>
      <w:numFmt w:val="decimal"/>
      <w:lvlText w:val="%1)"/>
      <w:lvlJc w:val="left"/>
      <w:pPr>
        <w:ind w:left="720" w:hanging="360"/>
      </w:pPr>
      <w:rPr>
        <w:rFonts w:cs="Times New Roman" w:hint="default"/>
        <w:b/>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9"/>
  </w:num>
  <w:num w:numId="2">
    <w:abstractNumId w:val="8"/>
  </w:num>
  <w:num w:numId="3">
    <w:abstractNumId w:val="2"/>
  </w:num>
  <w:num w:numId="4">
    <w:abstractNumId w:val="1"/>
  </w:num>
  <w:num w:numId="5">
    <w:abstractNumId w:val="7"/>
  </w:num>
  <w:num w:numId="6">
    <w:abstractNumId w:val="10"/>
  </w:num>
  <w:num w:numId="7">
    <w:abstractNumId w:val="13"/>
  </w:num>
  <w:num w:numId="8">
    <w:abstractNumId w:val="3"/>
  </w:num>
  <w:num w:numId="9">
    <w:abstractNumId w:val="6"/>
  </w:num>
  <w:num w:numId="10">
    <w:abstractNumId w:val="11"/>
  </w:num>
  <w:num w:numId="11">
    <w:abstractNumId w:val="2"/>
  </w:num>
  <w:num w:numId="12">
    <w:abstractNumId w:val="1"/>
  </w:num>
  <w:num w:numId="13">
    <w:abstractNumId w:val="0"/>
  </w:num>
  <w:num w:numId="14">
    <w:abstractNumId w:val="1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58"/>
    <w:rsid w:val="00001144"/>
    <w:rsid w:val="000053CD"/>
    <w:rsid w:val="00023D58"/>
    <w:rsid w:val="00024987"/>
    <w:rsid w:val="000470D7"/>
    <w:rsid w:val="000531E1"/>
    <w:rsid w:val="00065E05"/>
    <w:rsid w:val="00097A84"/>
    <w:rsid w:val="000C54CB"/>
    <w:rsid w:val="000D022F"/>
    <w:rsid w:val="000D5986"/>
    <w:rsid w:val="000F2535"/>
    <w:rsid w:val="00110884"/>
    <w:rsid w:val="00116613"/>
    <w:rsid w:val="00126EEC"/>
    <w:rsid w:val="00162056"/>
    <w:rsid w:val="00165727"/>
    <w:rsid w:val="001759C9"/>
    <w:rsid w:val="00181613"/>
    <w:rsid w:val="001825FE"/>
    <w:rsid w:val="001B7595"/>
    <w:rsid w:val="001D3490"/>
    <w:rsid w:val="001F3E88"/>
    <w:rsid w:val="001F43D6"/>
    <w:rsid w:val="00213BA2"/>
    <w:rsid w:val="0023212C"/>
    <w:rsid w:val="0023661F"/>
    <w:rsid w:val="00237856"/>
    <w:rsid w:val="00244226"/>
    <w:rsid w:val="00264C41"/>
    <w:rsid w:val="0026501C"/>
    <w:rsid w:val="00270CF7"/>
    <w:rsid w:val="002B3056"/>
    <w:rsid w:val="002B4DA9"/>
    <w:rsid w:val="002C61B0"/>
    <w:rsid w:val="002D311B"/>
    <w:rsid w:val="002F2091"/>
    <w:rsid w:val="002F323D"/>
    <w:rsid w:val="00305D4A"/>
    <w:rsid w:val="003238DB"/>
    <w:rsid w:val="00336F7D"/>
    <w:rsid w:val="00360642"/>
    <w:rsid w:val="003702DF"/>
    <w:rsid w:val="00372D07"/>
    <w:rsid w:val="00376843"/>
    <w:rsid w:val="0038044E"/>
    <w:rsid w:val="00396D6A"/>
    <w:rsid w:val="003C23F3"/>
    <w:rsid w:val="003C5E0F"/>
    <w:rsid w:val="003E2D5F"/>
    <w:rsid w:val="00413C52"/>
    <w:rsid w:val="004234B3"/>
    <w:rsid w:val="004238DF"/>
    <w:rsid w:val="004242D4"/>
    <w:rsid w:val="00435E8B"/>
    <w:rsid w:val="00442358"/>
    <w:rsid w:val="00452CA7"/>
    <w:rsid w:val="00454D64"/>
    <w:rsid w:val="0048552C"/>
    <w:rsid w:val="004B168B"/>
    <w:rsid w:val="004B477B"/>
    <w:rsid w:val="004B4B18"/>
    <w:rsid w:val="004C664A"/>
    <w:rsid w:val="004E50E0"/>
    <w:rsid w:val="004F32B5"/>
    <w:rsid w:val="004F4077"/>
    <w:rsid w:val="004F50D2"/>
    <w:rsid w:val="004F59C8"/>
    <w:rsid w:val="00511E2C"/>
    <w:rsid w:val="005127D6"/>
    <w:rsid w:val="00525E49"/>
    <w:rsid w:val="0052740F"/>
    <w:rsid w:val="005446FF"/>
    <w:rsid w:val="005869EB"/>
    <w:rsid w:val="005873D9"/>
    <w:rsid w:val="005941DC"/>
    <w:rsid w:val="005A1868"/>
    <w:rsid w:val="005B27ED"/>
    <w:rsid w:val="005B30C2"/>
    <w:rsid w:val="005D19AA"/>
    <w:rsid w:val="005D450F"/>
    <w:rsid w:val="00610A2E"/>
    <w:rsid w:val="00611BD7"/>
    <w:rsid w:val="00622A6E"/>
    <w:rsid w:val="00625FDD"/>
    <w:rsid w:val="00632661"/>
    <w:rsid w:val="00654DF8"/>
    <w:rsid w:val="00672A2A"/>
    <w:rsid w:val="00677845"/>
    <w:rsid w:val="00691488"/>
    <w:rsid w:val="006A0E49"/>
    <w:rsid w:val="006B59AA"/>
    <w:rsid w:val="006B6D60"/>
    <w:rsid w:val="006C1BC7"/>
    <w:rsid w:val="006E02B5"/>
    <w:rsid w:val="00717912"/>
    <w:rsid w:val="00720339"/>
    <w:rsid w:val="007347E7"/>
    <w:rsid w:val="00753FEC"/>
    <w:rsid w:val="0076209A"/>
    <w:rsid w:val="007753B2"/>
    <w:rsid w:val="007B7B94"/>
    <w:rsid w:val="007E08BD"/>
    <w:rsid w:val="007F25E8"/>
    <w:rsid w:val="007F3F70"/>
    <w:rsid w:val="0082383D"/>
    <w:rsid w:val="00847137"/>
    <w:rsid w:val="008519D3"/>
    <w:rsid w:val="00864BCA"/>
    <w:rsid w:val="00870FC3"/>
    <w:rsid w:val="00881A74"/>
    <w:rsid w:val="008A5625"/>
    <w:rsid w:val="008B387E"/>
    <w:rsid w:val="008B3CED"/>
    <w:rsid w:val="008D0124"/>
    <w:rsid w:val="008D6884"/>
    <w:rsid w:val="00905065"/>
    <w:rsid w:val="0090619B"/>
    <w:rsid w:val="00920DF5"/>
    <w:rsid w:val="00925C0F"/>
    <w:rsid w:val="00926777"/>
    <w:rsid w:val="009272A4"/>
    <w:rsid w:val="00927F1A"/>
    <w:rsid w:val="00930FEB"/>
    <w:rsid w:val="00937752"/>
    <w:rsid w:val="00945858"/>
    <w:rsid w:val="00975A6D"/>
    <w:rsid w:val="00994151"/>
    <w:rsid w:val="009A3E16"/>
    <w:rsid w:val="009B0B9F"/>
    <w:rsid w:val="009B39DD"/>
    <w:rsid w:val="009B686B"/>
    <w:rsid w:val="009C4B7A"/>
    <w:rsid w:val="00A06C1E"/>
    <w:rsid w:val="00A12195"/>
    <w:rsid w:val="00A15DDE"/>
    <w:rsid w:val="00A21109"/>
    <w:rsid w:val="00A25D4A"/>
    <w:rsid w:val="00A40797"/>
    <w:rsid w:val="00A4452C"/>
    <w:rsid w:val="00A44BBF"/>
    <w:rsid w:val="00A51DE1"/>
    <w:rsid w:val="00A74629"/>
    <w:rsid w:val="00AA5C37"/>
    <w:rsid w:val="00AB61B1"/>
    <w:rsid w:val="00AC20BF"/>
    <w:rsid w:val="00AC5D1E"/>
    <w:rsid w:val="00AF3BEC"/>
    <w:rsid w:val="00AF4C6A"/>
    <w:rsid w:val="00B022F4"/>
    <w:rsid w:val="00B11F57"/>
    <w:rsid w:val="00B26EE5"/>
    <w:rsid w:val="00B343C8"/>
    <w:rsid w:val="00B34C1E"/>
    <w:rsid w:val="00B41693"/>
    <w:rsid w:val="00B44D57"/>
    <w:rsid w:val="00B54EF8"/>
    <w:rsid w:val="00B639FE"/>
    <w:rsid w:val="00B71E05"/>
    <w:rsid w:val="00B94CF0"/>
    <w:rsid w:val="00BA7A98"/>
    <w:rsid w:val="00BB6B1D"/>
    <w:rsid w:val="00BB799C"/>
    <w:rsid w:val="00BC02CF"/>
    <w:rsid w:val="00BD3767"/>
    <w:rsid w:val="00BE332E"/>
    <w:rsid w:val="00BF6E47"/>
    <w:rsid w:val="00C40E34"/>
    <w:rsid w:val="00C52745"/>
    <w:rsid w:val="00C623D1"/>
    <w:rsid w:val="00C91345"/>
    <w:rsid w:val="00C947CB"/>
    <w:rsid w:val="00CB11DA"/>
    <w:rsid w:val="00CD5FFA"/>
    <w:rsid w:val="00CF59C1"/>
    <w:rsid w:val="00D01CC3"/>
    <w:rsid w:val="00D0616B"/>
    <w:rsid w:val="00D13470"/>
    <w:rsid w:val="00D44D65"/>
    <w:rsid w:val="00D47A43"/>
    <w:rsid w:val="00D8157E"/>
    <w:rsid w:val="00D8541B"/>
    <w:rsid w:val="00D91607"/>
    <w:rsid w:val="00D951EE"/>
    <w:rsid w:val="00DB1507"/>
    <w:rsid w:val="00DD04C9"/>
    <w:rsid w:val="00DD64B5"/>
    <w:rsid w:val="00E04776"/>
    <w:rsid w:val="00E165C3"/>
    <w:rsid w:val="00E24557"/>
    <w:rsid w:val="00E30755"/>
    <w:rsid w:val="00E4302A"/>
    <w:rsid w:val="00E45AD2"/>
    <w:rsid w:val="00E5198B"/>
    <w:rsid w:val="00E61B1A"/>
    <w:rsid w:val="00E632A9"/>
    <w:rsid w:val="00E81693"/>
    <w:rsid w:val="00E93F02"/>
    <w:rsid w:val="00E94F81"/>
    <w:rsid w:val="00EA024B"/>
    <w:rsid w:val="00EA1EAF"/>
    <w:rsid w:val="00EB180E"/>
    <w:rsid w:val="00EB6B2C"/>
    <w:rsid w:val="00ED0702"/>
    <w:rsid w:val="00ED5E46"/>
    <w:rsid w:val="00ED6AAD"/>
    <w:rsid w:val="00EE4E3A"/>
    <w:rsid w:val="00EE5C28"/>
    <w:rsid w:val="00EF4E33"/>
    <w:rsid w:val="00F04889"/>
    <w:rsid w:val="00F11553"/>
    <w:rsid w:val="00F22988"/>
    <w:rsid w:val="00F347B4"/>
    <w:rsid w:val="00F35170"/>
    <w:rsid w:val="00F36BCF"/>
    <w:rsid w:val="00F43385"/>
    <w:rsid w:val="00F561C2"/>
    <w:rsid w:val="00F65F05"/>
    <w:rsid w:val="00FB1B57"/>
    <w:rsid w:val="00FB71CF"/>
    <w:rsid w:val="00FE55E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List" w:locked="1"/>
    <w:lsdException w:name="Title" w:locked="1" w:qFormat="1"/>
    <w:lsdException w:name="Default Paragraph Font" w:locked="1"/>
    <w:lsdException w:name="Body Text" w:locked="1"/>
    <w:lsdException w:name="Subtitle" w:locked="1" w:qFormat="1"/>
    <w:lsdException w:name="Body Text Indent 3"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8"/>
    <w:rPr>
      <w:rFonts w:ascii="Arial" w:hAnsi="Arial"/>
      <w:sz w:val="24"/>
      <w:szCs w:val="24"/>
      <w:lang w:val="es-ES" w:eastAsia="es-ES"/>
    </w:rPr>
  </w:style>
  <w:style w:type="paragraph" w:styleId="Ttulo1">
    <w:name w:val="heading 1"/>
    <w:basedOn w:val="Normal"/>
    <w:next w:val="Normal"/>
    <w:link w:val="Ttulo1Car"/>
    <w:qFormat/>
    <w:rsid w:val="0023661F"/>
    <w:pPr>
      <w:spacing w:after="180" w:line="360" w:lineRule="auto"/>
      <w:outlineLvl w:val="0"/>
    </w:pPr>
    <w:rPr>
      <w:b/>
      <w:caps/>
      <w:kern w:val="18"/>
      <w:szCs w:val="20"/>
    </w:rPr>
  </w:style>
  <w:style w:type="paragraph" w:styleId="Ttulo2">
    <w:name w:val="heading 2"/>
    <w:basedOn w:val="Normal"/>
    <w:next w:val="Textoindependiente"/>
    <w:link w:val="Ttulo2Car"/>
    <w:qFormat/>
    <w:rsid w:val="0023661F"/>
    <w:pPr>
      <w:spacing w:after="170" w:line="360" w:lineRule="auto"/>
      <w:outlineLvl w:val="1"/>
    </w:pPr>
    <w:rPr>
      <w:b/>
      <w:kern w:val="18"/>
      <w:szCs w:val="20"/>
    </w:rPr>
  </w:style>
  <w:style w:type="paragraph" w:styleId="Ttulo6">
    <w:name w:val="heading 6"/>
    <w:basedOn w:val="Normal"/>
    <w:next w:val="Normal"/>
    <w:link w:val="Ttulo6Car"/>
    <w:qFormat/>
    <w:rsid w:val="00442358"/>
    <w:pPr>
      <w:keepNext/>
      <w:spacing w:line="360" w:lineRule="auto"/>
      <w:jc w:val="center"/>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link w:val="Ttulo6"/>
    <w:locked/>
    <w:rsid w:val="00442358"/>
    <w:rPr>
      <w:rFonts w:ascii="Arial" w:hAnsi="Arial" w:cs="Times New Roman"/>
      <w:b/>
      <w:sz w:val="20"/>
      <w:szCs w:val="20"/>
      <w:lang w:val="es-ES" w:eastAsia="es-ES"/>
    </w:rPr>
  </w:style>
  <w:style w:type="paragraph" w:styleId="Textoindependiente">
    <w:name w:val="Body Text"/>
    <w:basedOn w:val="Normal"/>
    <w:link w:val="TextoindependienteCar"/>
    <w:rsid w:val="00442358"/>
    <w:pPr>
      <w:spacing w:line="360" w:lineRule="auto"/>
      <w:jc w:val="both"/>
    </w:pPr>
    <w:rPr>
      <w:bCs/>
    </w:rPr>
  </w:style>
  <w:style w:type="character" w:customStyle="1" w:styleId="TextoindependienteCar">
    <w:name w:val="Texto independiente Car"/>
    <w:link w:val="Textoindependiente"/>
    <w:locked/>
    <w:rsid w:val="00442358"/>
    <w:rPr>
      <w:rFonts w:ascii="Arial" w:hAnsi="Arial" w:cs="Times New Roman"/>
      <w:bCs/>
      <w:sz w:val="24"/>
      <w:szCs w:val="24"/>
      <w:lang w:val="es-ES" w:eastAsia="es-ES"/>
    </w:rPr>
  </w:style>
  <w:style w:type="paragraph" w:styleId="Piedepgina">
    <w:name w:val="footer"/>
    <w:basedOn w:val="Normal"/>
    <w:link w:val="PiedepginaCar"/>
    <w:semiHidden/>
    <w:rsid w:val="00442358"/>
    <w:pPr>
      <w:tabs>
        <w:tab w:val="center" w:pos="4252"/>
        <w:tab w:val="right" w:pos="8504"/>
      </w:tabs>
    </w:pPr>
  </w:style>
  <w:style w:type="character" w:customStyle="1" w:styleId="PiedepginaCar">
    <w:name w:val="Pie de página Car"/>
    <w:link w:val="Piedepgina"/>
    <w:semiHidden/>
    <w:locked/>
    <w:rsid w:val="00442358"/>
    <w:rPr>
      <w:rFonts w:ascii="Arial" w:hAnsi="Arial" w:cs="Times New Roman"/>
      <w:sz w:val="24"/>
      <w:szCs w:val="24"/>
      <w:lang w:val="es-ES" w:eastAsia="es-ES"/>
    </w:rPr>
  </w:style>
  <w:style w:type="character" w:styleId="Nmerodepgina">
    <w:name w:val="page number"/>
    <w:semiHidden/>
    <w:rsid w:val="00442358"/>
    <w:rPr>
      <w:rFonts w:cs="Times New Roman"/>
    </w:rPr>
  </w:style>
  <w:style w:type="paragraph" w:styleId="Lista">
    <w:name w:val="List"/>
    <w:basedOn w:val="Normal"/>
    <w:semiHidden/>
    <w:rsid w:val="00442358"/>
    <w:pPr>
      <w:spacing w:line="360" w:lineRule="auto"/>
      <w:ind w:left="283" w:hanging="283"/>
      <w:jc w:val="both"/>
    </w:pPr>
    <w:rPr>
      <w:kern w:val="18"/>
      <w:szCs w:val="20"/>
      <w:lang w:val="es-ES_tradnl"/>
    </w:rPr>
  </w:style>
  <w:style w:type="character" w:customStyle="1" w:styleId="Ttulo1Car">
    <w:name w:val="Título 1 Car"/>
    <w:link w:val="Ttulo1"/>
    <w:locked/>
    <w:rsid w:val="0023661F"/>
    <w:rPr>
      <w:rFonts w:ascii="Arial" w:hAnsi="Arial" w:cs="Times New Roman"/>
      <w:b/>
      <w:caps/>
      <w:kern w:val="18"/>
      <w:sz w:val="20"/>
      <w:szCs w:val="20"/>
      <w:lang w:val="es-ES" w:eastAsia="es-ES"/>
    </w:rPr>
  </w:style>
  <w:style w:type="character" w:customStyle="1" w:styleId="Ttulo2Car">
    <w:name w:val="Título 2 Car"/>
    <w:link w:val="Ttulo2"/>
    <w:locked/>
    <w:rsid w:val="0023661F"/>
    <w:rPr>
      <w:rFonts w:ascii="Arial" w:hAnsi="Arial" w:cs="Times New Roman"/>
      <w:b/>
      <w:kern w:val="18"/>
      <w:sz w:val="20"/>
      <w:szCs w:val="20"/>
      <w:lang w:val="es-ES" w:eastAsia="es-ES"/>
    </w:rPr>
  </w:style>
  <w:style w:type="paragraph" w:styleId="Subttulo">
    <w:name w:val="Subtitle"/>
    <w:basedOn w:val="Normal"/>
    <w:link w:val="SubttuloCar"/>
    <w:qFormat/>
    <w:rsid w:val="0023661F"/>
    <w:pPr>
      <w:spacing w:line="360" w:lineRule="auto"/>
      <w:jc w:val="both"/>
    </w:pPr>
    <w:rPr>
      <w:rFonts w:ascii="Bookman Old Style" w:hAnsi="Bookman Old Style"/>
      <w:b/>
      <w:kern w:val="18"/>
      <w:szCs w:val="20"/>
    </w:rPr>
  </w:style>
  <w:style w:type="character" w:customStyle="1" w:styleId="SubttuloCar">
    <w:name w:val="Subtítulo Car"/>
    <w:link w:val="Subttulo"/>
    <w:locked/>
    <w:rsid w:val="0023661F"/>
    <w:rPr>
      <w:rFonts w:ascii="Bookman Old Style" w:hAnsi="Bookman Old Style" w:cs="Times New Roman"/>
      <w:b/>
      <w:kern w:val="18"/>
      <w:sz w:val="20"/>
      <w:szCs w:val="20"/>
      <w:lang w:val="es-ES" w:eastAsia="es-ES"/>
    </w:rPr>
  </w:style>
  <w:style w:type="paragraph" w:styleId="NormalWeb">
    <w:name w:val="Normal (Web)"/>
    <w:basedOn w:val="Normal"/>
    <w:rsid w:val="0023661F"/>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rsid w:val="0023661F"/>
  </w:style>
  <w:style w:type="paragraph" w:styleId="Sangra3detindependiente">
    <w:name w:val="Body Text Indent 3"/>
    <w:basedOn w:val="Normal"/>
    <w:link w:val="Sangra3detindependienteCar"/>
    <w:rsid w:val="0023661F"/>
    <w:pPr>
      <w:suppressAutoHyphens/>
      <w:spacing w:line="360" w:lineRule="auto"/>
      <w:ind w:firstLine="851"/>
      <w:jc w:val="both"/>
    </w:pPr>
    <w:rPr>
      <w:kern w:val="18"/>
      <w:szCs w:val="20"/>
      <w:lang w:val="es-ES_tradnl"/>
    </w:rPr>
  </w:style>
  <w:style w:type="character" w:customStyle="1" w:styleId="Sangra3detindependienteCar">
    <w:name w:val="Sangría 3 de t. independiente Car"/>
    <w:link w:val="Sangra3detindependiente"/>
    <w:locked/>
    <w:rsid w:val="0023661F"/>
    <w:rPr>
      <w:rFonts w:ascii="Arial" w:hAnsi="Arial" w:cs="Times New Roman"/>
      <w:kern w:val="18"/>
      <w:sz w:val="20"/>
      <w:szCs w:val="20"/>
      <w:lang w:val="es-ES_tradnl" w:eastAsia="es-ES"/>
    </w:rPr>
  </w:style>
  <w:style w:type="paragraph" w:styleId="Textodeglobo">
    <w:name w:val="Balloon Text"/>
    <w:basedOn w:val="Normal"/>
    <w:link w:val="TextodegloboCar"/>
    <w:rsid w:val="00A4452C"/>
    <w:rPr>
      <w:rFonts w:ascii="Tahoma" w:hAnsi="Tahoma" w:cs="Tahoma"/>
      <w:sz w:val="16"/>
      <w:szCs w:val="16"/>
    </w:rPr>
  </w:style>
  <w:style w:type="character" w:customStyle="1" w:styleId="TextodegloboCar">
    <w:name w:val="Texto de globo Car"/>
    <w:link w:val="Textodeglobo"/>
    <w:rsid w:val="00A44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List" w:locked="1"/>
    <w:lsdException w:name="Title" w:locked="1" w:qFormat="1"/>
    <w:lsdException w:name="Default Paragraph Font" w:locked="1"/>
    <w:lsdException w:name="Body Text" w:locked="1"/>
    <w:lsdException w:name="Subtitle" w:locked="1" w:qFormat="1"/>
    <w:lsdException w:name="Body Text Indent 3"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8"/>
    <w:rPr>
      <w:rFonts w:ascii="Arial" w:hAnsi="Arial"/>
      <w:sz w:val="24"/>
      <w:szCs w:val="24"/>
      <w:lang w:val="es-ES" w:eastAsia="es-ES"/>
    </w:rPr>
  </w:style>
  <w:style w:type="paragraph" w:styleId="Ttulo1">
    <w:name w:val="heading 1"/>
    <w:basedOn w:val="Normal"/>
    <w:next w:val="Normal"/>
    <w:link w:val="Ttulo1Car"/>
    <w:qFormat/>
    <w:rsid w:val="0023661F"/>
    <w:pPr>
      <w:spacing w:after="180" w:line="360" w:lineRule="auto"/>
      <w:outlineLvl w:val="0"/>
    </w:pPr>
    <w:rPr>
      <w:b/>
      <w:caps/>
      <w:kern w:val="18"/>
      <w:szCs w:val="20"/>
    </w:rPr>
  </w:style>
  <w:style w:type="paragraph" w:styleId="Ttulo2">
    <w:name w:val="heading 2"/>
    <w:basedOn w:val="Normal"/>
    <w:next w:val="Textoindependiente"/>
    <w:link w:val="Ttulo2Car"/>
    <w:qFormat/>
    <w:rsid w:val="0023661F"/>
    <w:pPr>
      <w:spacing w:after="170" w:line="360" w:lineRule="auto"/>
      <w:outlineLvl w:val="1"/>
    </w:pPr>
    <w:rPr>
      <w:b/>
      <w:kern w:val="18"/>
      <w:szCs w:val="20"/>
    </w:rPr>
  </w:style>
  <w:style w:type="paragraph" w:styleId="Ttulo6">
    <w:name w:val="heading 6"/>
    <w:basedOn w:val="Normal"/>
    <w:next w:val="Normal"/>
    <w:link w:val="Ttulo6Car"/>
    <w:qFormat/>
    <w:rsid w:val="00442358"/>
    <w:pPr>
      <w:keepNext/>
      <w:spacing w:line="360" w:lineRule="auto"/>
      <w:jc w:val="center"/>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link w:val="Ttulo6"/>
    <w:locked/>
    <w:rsid w:val="00442358"/>
    <w:rPr>
      <w:rFonts w:ascii="Arial" w:hAnsi="Arial" w:cs="Times New Roman"/>
      <w:b/>
      <w:sz w:val="20"/>
      <w:szCs w:val="20"/>
      <w:lang w:val="es-ES" w:eastAsia="es-ES"/>
    </w:rPr>
  </w:style>
  <w:style w:type="paragraph" w:styleId="Textoindependiente">
    <w:name w:val="Body Text"/>
    <w:basedOn w:val="Normal"/>
    <w:link w:val="TextoindependienteCar"/>
    <w:rsid w:val="00442358"/>
    <w:pPr>
      <w:spacing w:line="360" w:lineRule="auto"/>
      <w:jc w:val="both"/>
    </w:pPr>
    <w:rPr>
      <w:bCs/>
    </w:rPr>
  </w:style>
  <w:style w:type="character" w:customStyle="1" w:styleId="TextoindependienteCar">
    <w:name w:val="Texto independiente Car"/>
    <w:link w:val="Textoindependiente"/>
    <w:locked/>
    <w:rsid w:val="00442358"/>
    <w:rPr>
      <w:rFonts w:ascii="Arial" w:hAnsi="Arial" w:cs="Times New Roman"/>
      <w:bCs/>
      <w:sz w:val="24"/>
      <w:szCs w:val="24"/>
      <w:lang w:val="es-ES" w:eastAsia="es-ES"/>
    </w:rPr>
  </w:style>
  <w:style w:type="paragraph" w:styleId="Piedepgina">
    <w:name w:val="footer"/>
    <w:basedOn w:val="Normal"/>
    <w:link w:val="PiedepginaCar"/>
    <w:semiHidden/>
    <w:rsid w:val="00442358"/>
    <w:pPr>
      <w:tabs>
        <w:tab w:val="center" w:pos="4252"/>
        <w:tab w:val="right" w:pos="8504"/>
      </w:tabs>
    </w:pPr>
  </w:style>
  <w:style w:type="character" w:customStyle="1" w:styleId="PiedepginaCar">
    <w:name w:val="Pie de página Car"/>
    <w:link w:val="Piedepgina"/>
    <w:semiHidden/>
    <w:locked/>
    <w:rsid w:val="00442358"/>
    <w:rPr>
      <w:rFonts w:ascii="Arial" w:hAnsi="Arial" w:cs="Times New Roman"/>
      <w:sz w:val="24"/>
      <w:szCs w:val="24"/>
      <w:lang w:val="es-ES" w:eastAsia="es-ES"/>
    </w:rPr>
  </w:style>
  <w:style w:type="character" w:styleId="Nmerodepgina">
    <w:name w:val="page number"/>
    <w:semiHidden/>
    <w:rsid w:val="00442358"/>
    <w:rPr>
      <w:rFonts w:cs="Times New Roman"/>
    </w:rPr>
  </w:style>
  <w:style w:type="paragraph" w:styleId="Lista">
    <w:name w:val="List"/>
    <w:basedOn w:val="Normal"/>
    <w:semiHidden/>
    <w:rsid w:val="00442358"/>
    <w:pPr>
      <w:spacing w:line="360" w:lineRule="auto"/>
      <w:ind w:left="283" w:hanging="283"/>
      <w:jc w:val="both"/>
    </w:pPr>
    <w:rPr>
      <w:kern w:val="18"/>
      <w:szCs w:val="20"/>
      <w:lang w:val="es-ES_tradnl"/>
    </w:rPr>
  </w:style>
  <w:style w:type="character" w:customStyle="1" w:styleId="Ttulo1Car">
    <w:name w:val="Título 1 Car"/>
    <w:link w:val="Ttulo1"/>
    <w:locked/>
    <w:rsid w:val="0023661F"/>
    <w:rPr>
      <w:rFonts w:ascii="Arial" w:hAnsi="Arial" w:cs="Times New Roman"/>
      <w:b/>
      <w:caps/>
      <w:kern w:val="18"/>
      <w:sz w:val="20"/>
      <w:szCs w:val="20"/>
      <w:lang w:val="es-ES" w:eastAsia="es-ES"/>
    </w:rPr>
  </w:style>
  <w:style w:type="character" w:customStyle="1" w:styleId="Ttulo2Car">
    <w:name w:val="Título 2 Car"/>
    <w:link w:val="Ttulo2"/>
    <w:locked/>
    <w:rsid w:val="0023661F"/>
    <w:rPr>
      <w:rFonts w:ascii="Arial" w:hAnsi="Arial" w:cs="Times New Roman"/>
      <w:b/>
      <w:kern w:val="18"/>
      <w:sz w:val="20"/>
      <w:szCs w:val="20"/>
      <w:lang w:val="es-ES" w:eastAsia="es-ES"/>
    </w:rPr>
  </w:style>
  <w:style w:type="paragraph" w:styleId="Subttulo">
    <w:name w:val="Subtitle"/>
    <w:basedOn w:val="Normal"/>
    <w:link w:val="SubttuloCar"/>
    <w:qFormat/>
    <w:rsid w:val="0023661F"/>
    <w:pPr>
      <w:spacing w:line="360" w:lineRule="auto"/>
      <w:jc w:val="both"/>
    </w:pPr>
    <w:rPr>
      <w:rFonts w:ascii="Bookman Old Style" w:hAnsi="Bookman Old Style"/>
      <w:b/>
      <w:kern w:val="18"/>
      <w:szCs w:val="20"/>
    </w:rPr>
  </w:style>
  <w:style w:type="character" w:customStyle="1" w:styleId="SubttuloCar">
    <w:name w:val="Subtítulo Car"/>
    <w:link w:val="Subttulo"/>
    <w:locked/>
    <w:rsid w:val="0023661F"/>
    <w:rPr>
      <w:rFonts w:ascii="Bookman Old Style" w:hAnsi="Bookman Old Style" w:cs="Times New Roman"/>
      <w:b/>
      <w:kern w:val="18"/>
      <w:sz w:val="20"/>
      <w:szCs w:val="20"/>
      <w:lang w:val="es-ES" w:eastAsia="es-ES"/>
    </w:rPr>
  </w:style>
  <w:style w:type="paragraph" w:styleId="NormalWeb">
    <w:name w:val="Normal (Web)"/>
    <w:basedOn w:val="Normal"/>
    <w:rsid w:val="0023661F"/>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rsid w:val="0023661F"/>
  </w:style>
  <w:style w:type="paragraph" w:styleId="Sangra3detindependiente">
    <w:name w:val="Body Text Indent 3"/>
    <w:basedOn w:val="Normal"/>
    <w:link w:val="Sangra3detindependienteCar"/>
    <w:rsid w:val="0023661F"/>
    <w:pPr>
      <w:suppressAutoHyphens/>
      <w:spacing w:line="360" w:lineRule="auto"/>
      <w:ind w:firstLine="851"/>
      <w:jc w:val="both"/>
    </w:pPr>
    <w:rPr>
      <w:kern w:val="18"/>
      <w:szCs w:val="20"/>
      <w:lang w:val="es-ES_tradnl"/>
    </w:rPr>
  </w:style>
  <w:style w:type="character" w:customStyle="1" w:styleId="Sangra3detindependienteCar">
    <w:name w:val="Sangría 3 de t. independiente Car"/>
    <w:link w:val="Sangra3detindependiente"/>
    <w:locked/>
    <w:rsid w:val="0023661F"/>
    <w:rPr>
      <w:rFonts w:ascii="Arial" w:hAnsi="Arial" w:cs="Times New Roman"/>
      <w:kern w:val="18"/>
      <w:sz w:val="20"/>
      <w:szCs w:val="20"/>
      <w:lang w:val="es-ES_tradnl" w:eastAsia="es-ES"/>
    </w:rPr>
  </w:style>
  <w:style w:type="paragraph" w:styleId="Textodeglobo">
    <w:name w:val="Balloon Text"/>
    <w:basedOn w:val="Normal"/>
    <w:link w:val="TextodegloboCar"/>
    <w:rsid w:val="00A4452C"/>
    <w:rPr>
      <w:rFonts w:ascii="Tahoma" w:hAnsi="Tahoma" w:cs="Tahoma"/>
      <w:sz w:val="16"/>
      <w:szCs w:val="16"/>
    </w:rPr>
  </w:style>
  <w:style w:type="character" w:customStyle="1" w:styleId="TextodegloboCar">
    <w:name w:val="Texto de globo Car"/>
    <w:link w:val="Textodeglobo"/>
    <w:rsid w:val="00A44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58045-B28A-47DE-9E4B-CCAD97EF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2577</Words>
  <Characters>13990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RESOLUCION ADOPTADA POR EL</vt:lpstr>
    </vt:vector>
  </TitlesOfParts>
  <Company/>
  <LinksUpToDate>false</LinksUpToDate>
  <CharactersWithSpaces>16534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ADOPTADA POR EL</dc:title>
  <dc:creator>Gustavo De Souza</dc:creator>
  <cp:lastModifiedBy>Tribunal1</cp:lastModifiedBy>
  <cp:revision>4</cp:revision>
  <cp:lastPrinted>2018-12-17T16:47:00Z</cp:lastPrinted>
  <dcterms:created xsi:type="dcterms:W3CDTF">2018-12-17T16:47:00Z</dcterms:created>
  <dcterms:modified xsi:type="dcterms:W3CDTF">2019-01-15T20:49:00Z</dcterms:modified>
</cp:coreProperties>
</file>