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39B" w:rsidRPr="00786EEB" w:rsidRDefault="00B9239B" w:rsidP="00B9239B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3778/18</w:t>
      </w:r>
    </w:p>
    <w:p w:rsidR="00B9239B" w:rsidRPr="00B9239B" w:rsidRDefault="00B9239B" w:rsidP="00B9239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9239B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B9239B" w:rsidRPr="00B9239B" w:rsidRDefault="00B9239B" w:rsidP="00B9239B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9239B" w:rsidRPr="00B9239B" w:rsidRDefault="00B9239B" w:rsidP="00B9239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9239B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B9239B" w:rsidRPr="00B9239B" w:rsidRDefault="00B9239B" w:rsidP="00B9239B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9239B" w:rsidRPr="00B9239B" w:rsidRDefault="00B9239B" w:rsidP="00B9239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9239B">
        <w:rPr>
          <w:rFonts w:ascii="Arial" w:hAnsi="Arial" w:cs="Arial"/>
          <w:b/>
          <w:sz w:val="24"/>
          <w:szCs w:val="24"/>
          <w:lang w:val="es-ES_tradnl"/>
        </w:rPr>
        <w:t xml:space="preserve">EN SESION DE FECHA 12 DE DICIEMBRE </w:t>
      </w:r>
      <w:r w:rsidRPr="00B9239B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B9239B" w:rsidRPr="00B9239B" w:rsidRDefault="00B9239B" w:rsidP="00B9239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9239B" w:rsidRPr="000B08CC" w:rsidRDefault="00B9239B" w:rsidP="00B9239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D743F">
        <w:rPr>
          <w:rFonts w:ascii="Arial" w:hAnsi="Arial" w:cs="Arial"/>
          <w:b/>
          <w:sz w:val="24"/>
          <w:szCs w:val="24"/>
        </w:rPr>
        <w:t xml:space="preserve">(E. E. Nº 2018-17-1-0004082, </w:t>
      </w:r>
      <w:proofErr w:type="spellStart"/>
      <w:r w:rsidRPr="00DD743F">
        <w:rPr>
          <w:rFonts w:ascii="Arial" w:hAnsi="Arial" w:cs="Arial"/>
          <w:b/>
          <w:sz w:val="24"/>
          <w:szCs w:val="24"/>
        </w:rPr>
        <w:t>Ent</w:t>
      </w:r>
      <w:proofErr w:type="spellEnd"/>
      <w:r w:rsidRPr="00DD743F">
        <w:rPr>
          <w:rFonts w:ascii="Arial" w:hAnsi="Arial" w:cs="Arial"/>
          <w:b/>
          <w:sz w:val="24"/>
          <w:szCs w:val="24"/>
        </w:rPr>
        <w:t>.</w:t>
      </w:r>
      <w:r w:rsidRPr="000B08CC">
        <w:rPr>
          <w:rFonts w:ascii="Arial" w:hAnsi="Arial" w:cs="Arial"/>
          <w:b/>
          <w:sz w:val="24"/>
          <w:szCs w:val="24"/>
        </w:rPr>
        <w:t xml:space="preserve"> N° 5317/18)</w:t>
      </w:r>
    </w:p>
    <w:p w:rsidR="00B9239B" w:rsidRPr="000B08CC" w:rsidRDefault="00B9239B" w:rsidP="00B9239B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</w:rPr>
      </w:pPr>
    </w:p>
    <w:p w:rsidR="002F42E6" w:rsidRPr="00571788" w:rsidRDefault="002F42E6" w:rsidP="000B08CC">
      <w:pPr>
        <w:spacing w:after="0" w:line="36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571788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>VISTO:</w:t>
      </w:r>
      <w:r w:rsidRPr="00571788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los antecedentes remitidos por 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>la Dirección General de Casinos</w:t>
      </w:r>
      <w:r w:rsidRPr="00571788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relacionados con 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>la Nota de fecha 13/11/18</w:t>
      </w:r>
      <w:r w:rsidRPr="00571788">
        <w:rPr>
          <w:rFonts w:ascii="Arial" w:eastAsia="Times New Roman" w:hAnsi="Arial" w:cs="Times New Roman"/>
          <w:sz w:val="24"/>
          <w:szCs w:val="24"/>
          <w:lang w:val="es-ES" w:eastAsia="es-ES"/>
        </w:rPr>
        <w:t>, formulando descargos r</w:t>
      </w:r>
      <w:r w:rsidRPr="00571788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especto a la observación realizada por este Tribunal en 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S</w:t>
      </w:r>
      <w:r w:rsidRPr="00571788">
        <w:rPr>
          <w:rFonts w:ascii="Arial" w:eastAsia="Times New Roman" w:hAnsi="Arial" w:cs="Arial"/>
          <w:bCs/>
          <w:sz w:val="24"/>
          <w:szCs w:val="24"/>
          <w:lang w:val="es-ES" w:eastAsia="es-ES"/>
        </w:rPr>
        <w:t>esión de fecha 2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4/07/18</w:t>
      </w:r>
      <w:r w:rsidRPr="00571788">
        <w:rPr>
          <w:rFonts w:ascii="Arial" w:eastAsia="Times New Roman" w:hAnsi="Arial" w:cs="Arial"/>
          <w:bCs/>
          <w:sz w:val="24"/>
          <w:szCs w:val="24"/>
          <w:lang w:val="es-ES" w:eastAsia="es-ES"/>
        </w:rPr>
        <w:t>;</w:t>
      </w:r>
    </w:p>
    <w:p w:rsidR="001B2C9D" w:rsidRDefault="002F42E6" w:rsidP="000B08CC">
      <w:pPr>
        <w:tabs>
          <w:tab w:val="left" w:pos="0"/>
        </w:tabs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 w:rsidRPr="00571788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>RESULTANDO:</w:t>
      </w:r>
      <w:r w:rsidR="00B9239B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 xml:space="preserve"> </w:t>
      </w:r>
      <w:r w:rsidRPr="00CD70CC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 xml:space="preserve">1) </w:t>
      </w:r>
      <w:r w:rsidRPr="00CD70CC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que </w:t>
      </w:r>
      <w:r w:rsidR="001B2C9D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este Tribunal de Cuentas en base a la información proporcionada por la Dirección General de Casinos </w:t>
      </w:r>
      <w:r w:rsidR="008C5CB5">
        <w:rPr>
          <w:rFonts w:ascii="Arial" w:eastAsia="Times New Roman" w:hAnsi="Arial" w:cs="Times New Roman"/>
          <w:sz w:val="24"/>
          <w:szCs w:val="24"/>
          <w:lang w:val="es-MX" w:eastAsia="es-ES"/>
        </w:rPr>
        <w:t>por Resolución N</w:t>
      </w:r>
      <w:r w:rsidR="00F83E9F">
        <w:rPr>
          <w:rFonts w:ascii="Arial" w:eastAsia="Times New Roman" w:hAnsi="Arial" w:cs="Times New Roman"/>
          <w:sz w:val="24"/>
          <w:szCs w:val="24"/>
          <w:lang w:val="es-MX" w:eastAsia="es-ES"/>
        </w:rPr>
        <w:t>°</w:t>
      </w:r>
      <w:r w:rsidR="008C5CB5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2380/18 </w:t>
      </w:r>
      <w:r w:rsidR="001B2C9D">
        <w:rPr>
          <w:rFonts w:ascii="Arial" w:eastAsia="Times New Roman" w:hAnsi="Arial" w:cs="Times New Roman"/>
          <w:sz w:val="24"/>
          <w:szCs w:val="24"/>
          <w:lang w:val="es-MX" w:eastAsia="es-ES"/>
        </w:rPr>
        <w:t>observó el procedimiento seguido por la Dirección General de Casinos por haber entregado fondos a la Fundación Jardín Maternal Asistencial del MEF y a HRU, cuando mantenían pa</w:t>
      </w:r>
      <w:r w:rsidR="00DD743F">
        <w:rPr>
          <w:rFonts w:ascii="Arial" w:eastAsia="Times New Roman" w:hAnsi="Arial" w:cs="Times New Roman"/>
          <w:sz w:val="24"/>
          <w:szCs w:val="24"/>
          <w:lang w:val="es-MX" w:eastAsia="es-ES"/>
        </w:rPr>
        <w:t>rtidas pendientes de Rendición;</w:t>
      </w:r>
    </w:p>
    <w:p w:rsidR="00B9239B" w:rsidRDefault="002F42E6" w:rsidP="000B08CC">
      <w:pPr>
        <w:tabs>
          <w:tab w:val="left" w:pos="0"/>
        </w:tabs>
        <w:spacing w:after="0" w:line="360" w:lineRule="auto"/>
        <w:ind w:firstLine="2694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 w:rsidRPr="00CD70CC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>2)</w:t>
      </w:r>
      <w:r w:rsidRPr="00CD70CC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</w:t>
      </w:r>
      <w:r w:rsidR="003A6643" w:rsidRPr="00CD70CC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que en dicha oportunidad la DGC informó que se entregaron </w:t>
      </w:r>
      <w:r w:rsidR="00F83E9F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</w:t>
      </w:r>
      <w:r w:rsidR="003A6643" w:rsidRPr="00CD70CC">
        <w:rPr>
          <w:rFonts w:ascii="Arial" w:eastAsia="Times New Roman" w:hAnsi="Arial" w:cs="Times New Roman"/>
          <w:sz w:val="24"/>
          <w:szCs w:val="24"/>
          <w:lang w:val="es-MX" w:eastAsia="es-ES"/>
        </w:rPr>
        <w:t>fondos</w:t>
      </w:r>
      <w:r w:rsidR="003647D9" w:rsidRPr="00CD70CC">
        <w:rPr>
          <w:rFonts w:ascii="Arial" w:eastAsia="Times New Roman" w:hAnsi="Arial" w:cs="Times New Roman"/>
          <w:sz w:val="24"/>
          <w:szCs w:val="24"/>
          <w:lang w:val="es-MX" w:eastAsia="es-ES"/>
        </w:rPr>
        <w:t>:</w:t>
      </w:r>
    </w:p>
    <w:p w:rsidR="00E86775" w:rsidRPr="00CD70CC" w:rsidRDefault="00E86775" w:rsidP="00DD180B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 w:rsidRPr="00CD70CC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>a)</w:t>
      </w:r>
      <w:r w:rsidRPr="00CD70CC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</w:t>
      </w:r>
      <w:r w:rsidR="003A6643" w:rsidRPr="00CD70CC">
        <w:rPr>
          <w:rFonts w:ascii="Arial" w:eastAsia="Times New Roman" w:hAnsi="Arial" w:cs="Times New Roman"/>
          <w:sz w:val="24"/>
          <w:szCs w:val="24"/>
          <w:lang w:val="es-MX" w:eastAsia="es-ES"/>
        </w:rPr>
        <w:t>Fundación Jardín m</w:t>
      </w:r>
      <w:r w:rsidR="00DD180B" w:rsidRPr="00CD70CC">
        <w:rPr>
          <w:rFonts w:ascii="Arial" w:eastAsia="Times New Roman" w:hAnsi="Arial" w:cs="Times New Roman"/>
          <w:sz w:val="24"/>
          <w:szCs w:val="24"/>
          <w:lang w:val="es-MX" w:eastAsia="es-ES"/>
        </w:rPr>
        <w:t>aternal del MEF el 25-07-2017</w:t>
      </w:r>
      <w:r w:rsidRPr="00CD70CC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por </w:t>
      </w:r>
      <w:r w:rsidR="00DD180B" w:rsidRPr="00CD70CC">
        <w:rPr>
          <w:rFonts w:ascii="Arial" w:eastAsia="Times New Roman" w:hAnsi="Arial" w:cs="Times New Roman"/>
          <w:sz w:val="24"/>
          <w:szCs w:val="24"/>
          <w:lang w:val="es-MX" w:eastAsia="es-ES"/>
        </w:rPr>
        <w:t>u</w:t>
      </w:r>
      <w:r w:rsidR="003A6643" w:rsidRPr="00CD70CC">
        <w:rPr>
          <w:rFonts w:ascii="Arial" w:eastAsia="Times New Roman" w:hAnsi="Arial" w:cs="Times New Roman"/>
          <w:sz w:val="24"/>
          <w:szCs w:val="24"/>
          <w:lang w:val="es-MX" w:eastAsia="es-ES"/>
        </w:rPr>
        <w:t>n importe de</w:t>
      </w:r>
      <w:r w:rsidR="000B08CC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$</w:t>
      </w:r>
      <w:r w:rsidR="003A6643" w:rsidRPr="00CD70CC">
        <w:rPr>
          <w:rFonts w:ascii="Arial" w:eastAsia="Times New Roman" w:hAnsi="Arial" w:cs="Times New Roman"/>
          <w:sz w:val="24"/>
          <w:szCs w:val="24"/>
          <w:lang w:val="es-MX" w:eastAsia="es-ES"/>
        </w:rPr>
        <w:t>2.000.000 y el 05-12-2017 por $ 1.720.000</w:t>
      </w:r>
      <w:r w:rsidR="0022695F" w:rsidRPr="00CD70CC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y que</w:t>
      </w:r>
      <w:r w:rsidR="003A6643" w:rsidRPr="00CD70CC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ambas </w:t>
      </w:r>
      <w:r w:rsidR="0022695F" w:rsidRPr="00CD70CC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partidas permanecían sin </w:t>
      </w:r>
      <w:r w:rsidR="003A6643" w:rsidRPr="00CD70CC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rendir a la fecha del informe</w:t>
      </w:r>
      <w:r w:rsidR="0022695F" w:rsidRPr="00CD70CC">
        <w:rPr>
          <w:rFonts w:ascii="Arial" w:eastAsia="Times New Roman" w:hAnsi="Arial" w:cs="Times New Roman"/>
          <w:sz w:val="24"/>
          <w:szCs w:val="24"/>
          <w:lang w:val="es-MX" w:eastAsia="es-ES"/>
        </w:rPr>
        <w:t>.</w:t>
      </w:r>
    </w:p>
    <w:p w:rsidR="00DD180B" w:rsidRDefault="00E86775" w:rsidP="00DD180B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CD70CC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>b)</w:t>
      </w:r>
      <w:r w:rsidRPr="00CD70CC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</w:t>
      </w:r>
      <w:r w:rsidR="00DD180B" w:rsidRPr="00CD70CC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HRU </w:t>
      </w:r>
      <w:r w:rsidRPr="00CD70CC">
        <w:rPr>
          <w:rFonts w:ascii="Arial" w:eastAsia="Times New Roman" w:hAnsi="Arial" w:cs="Times New Roman"/>
          <w:sz w:val="24"/>
          <w:szCs w:val="24"/>
          <w:lang w:val="es-MX" w:eastAsia="es-ES"/>
        </w:rPr>
        <w:t>el</w:t>
      </w:r>
      <w:r w:rsidR="00DD180B" w:rsidRPr="00CD70CC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16-11-2017 </w:t>
      </w:r>
      <w:r w:rsidRPr="00CD70CC">
        <w:rPr>
          <w:rFonts w:ascii="Arial" w:eastAsia="Times New Roman" w:hAnsi="Arial" w:cs="Times New Roman"/>
          <w:sz w:val="24"/>
          <w:szCs w:val="24"/>
          <w:lang w:val="es-MX" w:eastAsia="es-ES"/>
        </w:rPr>
        <w:t>por un importe d</w:t>
      </w:r>
      <w:r w:rsidR="00DD180B" w:rsidRPr="00CD70CC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e </w:t>
      </w:r>
      <w:r w:rsidR="00DD180B" w:rsidRPr="00CD70CC">
        <w:rPr>
          <w:rFonts w:ascii="Arial" w:eastAsia="Times New Roman" w:hAnsi="Arial" w:cs="Times New Roman"/>
          <w:sz w:val="24"/>
          <w:szCs w:val="24"/>
          <w:lang w:val="es-ES" w:eastAsia="es-ES"/>
        </w:rPr>
        <w:t>$ 112.446.081 estando pendiente de rendición la partida de $ 10.931.813 otorgada con fecha 23-08-2017</w:t>
      </w:r>
      <w:r w:rsidR="003647D9" w:rsidRPr="00CD70CC">
        <w:rPr>
          <w:rFonts w:ascii="Arial" w:eastAsia="Times New Roman" w:hAnsi="Arial" w:cs="Times New Roman"/>
          <w:sz w:val="24"/>
          <w:szCs w:val="24"/>
          <w:lang w:val="es-ES" w:eastAsia="es-ES"/>
        </w:rPr>
        <w:t>.</w:t>
      </w:r>
    </w:p>
    <w:p w:rsidR="002F42E6" w:rsidRDefault="001B2C9D" w:rsidP="000B08CC">
      <w:pPr>
        <w:tabs>
          <w:tab w:val="left" w:pos="0"/>
        </w:tabs>
        <w:spacing w:after="0" w:line="360" w:lineRule="auto"/>
        <w:ind w:firstLine="2694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3</w:t>
      </w:r>
      <w:r w:rsidR="002F42E6" w:rsidRPr="00654CD5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)</w:t>
      </w:r>
      <w:r w:rsidR="002F42E6" w:rsidRPr="00AC00D3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que con fecha 13 de noviembre de 2018, la Dirección General</w:t>
      </w:r>
      <w:r w:rsidR="002F42E6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de Casinos</w:t>
      </w:r>
      <w:r w:rsidR="002F42E6" w:rsidRPr="00571788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remitió</w:t>
      </w:r>
      <w:r w:rsidR="002F42E6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</w:t>
      </w:r>
      <w:r w:rsidR="00654CD5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copia de las rendiciones efectuadas  por la Fundación Maternal Asistencial realizadas directamente ante la Secretaría del Ministerio de Economía y Finanzas, en </w:t>
      </w:r>
      <w:r w:rsidR="002F42E6">
        <w:rPr>
          <w:rFonts w:ascii="Arial" w:eastAsia="Times New Roman" w:hAnsi="Arial" w:cs="Times New Roman"/>
          <w:sz w:val="24"/>
          <w:szCs w:val="24"/>
          <w:lang w:val="es-ES" w:eastAsia="es-ES"/>
        </w:rPr>
        <w:t>a</w:t>
      </w:r>
      <w:r w:rsidR="00654CD5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tención a la </w:t>
      </w:r>
      <w:r w:rsidR="002F42E6">
        <w:rPr>
          <w:rFonts w:ascii="Arial" w:eastAsia="Times New Roman" w:hAnsi="Arial" w:cs="Times New Roman"/>
          <w:sz w:val="24"/>
          <w:szCs w:val="24"/>
          <w:lang w:val="es-ES" w:eastAsia="es-ES"/>
        </w:rPr>
        <w:t>observación ref</w:t>
      </w:r>
      <w:r w:rsidR="00654CD5">
        <w:rPr>
          <w:rFonts w:ascii="Arial" w:eastAsia="Times New Roman" w:hAnsi="Arial" w:cs="Times New Roman"/>
          <w:sz w:val="24"/>
          <w:szCs w:val="24"/>
          <w:lang w:val="es-ES" w:eastAsia="es-ES"/>
        </w:rPr>
        <w:t>erida en el Resultando anterior siendo las misma</w:t>
      </w:r>
      <w:r w:rsidR="000B08CC">
        <w:rPr>
          <w:rFonts w:ascii="Arial" w:eastAsia="Times New Roman" w:hAnsi="Arial" w:cs="Times New Roman"/>
          <w:sz w:val="24"/>
          <w:szCs w:val="24"/>
          <w:lang w:val="es-ES" w:eastAsia="es-ES"/>
        </w:rPr>
        <w:t>s presentadas en tiempo y forma;</w:t>
      </w:r>
    </w:p>
    <w:p w:rsidR="001B2C9D" w:rsidRDefault="002F42E6" w:rsidP="000B08CC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b/>
          <w:sz w:val="24"/>
          <w:szCs w:val="24"/>
          <w:lang w:val="es-MX" w:eastAsia="es-ES"/>
        </w:rPr>
      </w:pPr>
      <w:r w:rsidRPr="00571788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lastRenderedPageBreak/>
        <w:t>CONSIDERANDO:</w:t>
      </w:r>
      <w:r w:rsidR="000B08CC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 xml:space="preserve"> </w:t>
      </w:r>
      <w:r w:rsidRPr="00571788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>1)</w:t>
      </w:r>
      <w:r w:rsidRPr="00571788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que</w:t>
      </w:r>
      <w:r w:rsidR="007C6C3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</w:t>
      </w:r>
      <w:r w:rsidR="003647D9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corresponde dejar sin efecto la observación formulada </w:t>
      </w:r>
      <w:r w:rsidR="001B2C9D">
        <w:rPr>
          <w:rFonts w:ascii="Arial" w:eastAsia="Times New Roman" w:hAnsi="Arial" w:cs="Times New Roman"/>
          <w:sz w:val="24"/>
          <w:szCs w:val="24"/>
          <w:lang w:val="es-MX" w:eastAsia="es-ES"/>
        </w:rPr>
        <w:t>por las pa</w:t>
      </w:r>
      <w:r w:rsidR="003647D9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rtidas de la Fundación </w:t>
      </w:r>
      <w:r w:rsidR="001B4940">
        <w:rPr>
          <w:rFonts w:ascii="Arial" w:eastAsia="Times New Roman" w:hAnsi="Arial" w:cs="Times New Roman"/>
          <w:sz w:val="24"/>
          <w:szCs w:val="24"/>
          <w:lang w:val="es-MX" w:eastAsia="es-ES"/>
        </w:rPr>
        <w:t>Jard</w:t>
      </w:r>
      <w:r w:rsidR="001B2C9D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ín </w:t>
      </w:r>
      <w:r w:rsidR="003647D9">
        <w:rPr>
          <w:rFonts w:ascii="Arial" w:eastAsia="Times New Roman" w:hAnsi="Arial" w:cs="Times New Roman"/>
          <w:sz w:val="24"/>
          <w:szCs w:val="24"/>
          <w:lang w:val="es-MX" w:eastAsia="es-ES"/>
        </w:rPr>
        <w:t>M</w:t>
      </w:r>
      <w:r w:rsidR="001B4940">
        <w:rPr>
          <w:rFonts w:ascii="Arial" w:eastAsia="Times New Roman" w:hAnsi="Arial" w:cs="Times New Roman"/>
          <w:sz w:val="24"/>
          <w:szCs w:val="24"/>
          <w:lang w:val="es-MX" w:eastAsia="es-ES"/>
        </w:rPr>
        <w:t>aternal</w:t>
      </w:r>
      <w:r w:rsidR="003647D9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Asistencial del MEF</w:t>
      </w:r>
      <w:r w:rsidR="00F83E9F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por lo expuesta en el Resultado </w:t>
      </w:r>
      <w:r w:rsidR="00F76AE2">
        <w:rPr>
          <w:rFonts w:ascii="Arial" w:eastAsia="Times New Roman" w:hAnsi="Arial" w:cs="Times New Roman"/>
          <w:sz w:val="24"/>
          <w:szCs w:val="24"/>
          <w:lang w:val="es-MX" w:eastAsia="es-ES"/>
        </w:rPr>
        <w:t>3</w:t>
      </w:r>
      <w:r w:rsidR="00F83E9F">
        <w:rPr>
          <w:rFonts w:ascii="Arial" w:eastAsia="Times New Roman" w:hAnsi="Arial" w:cs="Times New Roman"/>
          <w:sz w:val="24"/>
          <w:szCs w:val="24"/>
          <w:lang w:val="es-MX" w:eastAsia="es-ES"/>
        </w:rPr>
        <w:t>)</w:t>
      </w:r>
      <w:r w:rsidR="001B2C9D">
        <w:rPr>
          <w:rFonts w:ascii="Arial" w:eastAsia="Times New Roman" w:hAnsi="Arial" w:cs="Times New Roman"/>
          <w:sz w:val="24"/>
          <w:szCs w:val="24"/>
          <w:lang w:val="es-MX" w:eastAsia="es-ES"/>
        </w:rPr>
        <w:t>;</w:t>
      </w:r>
    </w:p>
    <w:p w:rsidR="00F83E9F" w:rsidRDefault="000B08CC" w:rsidP="000B08CC">
      <w:pPr>
        <w:spacing w:after="0" w:line="360" w:lineRule="auto"/>
        <w:ind w:firstLine="2977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 xml:space="preserve"> </w:t>
      </w:r>
      <w:r w:rsidR="001B4940" w:rsidRPr="00553491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>2)</w:t>
      </w:r>
      <w:r w:rsidR="001B494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que </w:t>
      </w:r>
      <w:r w:rsidR="00F83E9F">
        <w:rPr>
          <w:rFonts w:ascii="Arial" w:eastAsia="Times New Roman" w:hAnsi="Arial" w:cs="Times New Roman"/>
          <w:sz w:val="24"/>
          <w:szCs w:val="24"/>
          <w:lang w:val="es-MX" w:eastAsia="es-ES"/>
        </w:rPr>
        <w:t>de los nuevos antecedentes remitidos por la DGC, en relación con las partidas entregadas a HRU; no se modifica la Resolución adoptada por este Cuerpo;</w:t>
      </w:r>
    </w:p>
    <w:p w:rsidR="002F42E6" w:rsidRPr="00571788" w:rsidRDefault="002F42E6" w:rsidP="000B08CC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 w:rsidRPr="00571788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 xml:space="preserve">ATENTO: </w:t>
      </w:r>
      <w:r w:rsidRPr="00571788">
        <w:rPr>
          <w:rFonts w:ascii="Arial" w:eastAsia="Times New Roman" w:hAnsi="Arial" w:cs="Times New Roman"/>
          <w:sz w:val="24"/>
          <w:szCs w:val="24"/>
          <w:lang w:val="es-MX" w:eastAsia="es-ES"/>
        </w:rPr>
        <w:t>a lo</w:t>
      </w:r>
      <w:r w:rsidR="00622ECF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precedentemente expuesto</w:t>
      </w:r>
      <w:r w:rsidRPr="00571788">
        <w:rPr>
          <w:rFonts w:ascii="Arial" w:eastAsia="Times New Roman" w:hAnsi="Arial" w:cs="Times New Roman"/>
          <w:sz w:val="24"/>
          <w:szCs w:val="24"/>
          <w:lang w:val="es-MX" w:eastAsia="es-ES"/>
        </w:rPr>
        <w:t>;</w:t>
      </w:r>
    </w:p>
    <w:p w:rsidR="002F42E6" w:rsidRDefault="002F42E6" w:rsidP="002F42E6">
      <w:pPr>
        <w:spacing w:after="0" w:line="360" w:lineRule="auto"/>
        <w:ind w:left="2124" w:firstLine="708"/>
        <w:jc w:val="both"/>
        <w:rPr>
          <w:rFonts w:ascii="Arial" w:eastAsia="Times New Roman" w:hAnsi="Arial" w:cs="Times New Roman"/>
          <w:b/>
          <w:sz w:val="24"/>
          <w:szCs w:val="24"/>
          <w:lang w:val="es-MX" w:eastAsia="es-ES"/>
        </w:rPr>
      </w:pPr>
      <w:r w:rsidRPr="00571788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>EL TRIBUNAL ACUERDA</w:t>
      </w:r>
    </w:p>
    <w:p w:rsidR="00622ECF" w:rsidRPr="00622ECF" w:rsidRDefault="00622ECF" w:rsidP="00B9239B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 xml:space="preserve">Levantar la observación formulada a lo actuado por la DGC-MEF por la </w:t>
      </w:r>
      <w:r w:rsidRPr="00622ECF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Fundación Jardín Maternal Asistencial según Resolución N 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>2380</w:t>
      </w:r>
      <w:r w:rsidRPr="00571788">
        <w:rPr>
          <w:rFonts w:ascii="Arial" w:eastAsia="Times New Roman" w:hAnsi="Arial" w:cs="Times New Roman"/>
          <w:sz w:val="24"/>
          <w:szCs w:val="24"/>
          <w:lang w:val="es-MX" w:eastAsia="es-ES"/>
        </w:rPr>
        <w:t>/201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>8</w:t>
      </w:r>
      <w:r w:rsidRPr="00571788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de fecha 2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>4</w:t>
      </w:r>
      <w:r w:rsidRPr="00571788">
        <w:rPr>
          <w:rFonts w:ascii="Arial" w:eastAsia="Times New Roman" w:hAnsi="Arial" w:cs="Times New Roman"/>
          <w:sz w:val="24"/>
          <w:szCs w:val="24"/>
          <w:lang w:val="es-MX" w:eastAsia="es-ES"/>
        </w:rPr>
        <w:t>/0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>7</w:t>
      </w:r>
      <w:r w:rsidRPr="00571788">
        <w:rPr>
          <w:rFonts w:ascii="Arial" w:eastAsia="Times New Roman" w:hAnsi="Arial" w:cs="Times New Roman"/>
          <w:sz w:val="24"/>
          <w:szCs w:val="24"/>
          <w:lang w:val="es-MX" w:eastAsia="es-ES"/>
        </w:rPr>
        <w:t>/201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>8 (EE 2018-17-1-0004082, entrada 3130/2018)</w:t>
      </w:r>
      <w:r w:rsidR="000B08CC">
        <w:rPr>
          <w:rFonts w:ascii="Arial" w:eastAsia="Times New Roman" w:hAnsi="Arial" w:cs="Times New Roman"/>
          <w:sz w:val="24"/>
          <w:szCs w:val="24"/>
          <w:lang w:val="es-MX" w:eastAsia="es-ES"/>
        </w:rPr>
        <w:t>;</w:t>
      </w:r>
    </w:p>
    <w:p w:rsidR="002F42E6" w:rsidRPr="00571788" w:rsidRDefault="00622ECF" w:rsidP="00B9239B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 xml:space="preserve"> </w:t>
      </w:r>
      <w:r w:rsidR="002F42E6" w:rsidRPr="00571788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>Mantener la observaci</w:t>
      </w:r>
      <w:r w:rsidR="002F42E6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>ón</w:t>
      </w:r>
      <w:r w:rsidR="002F42E6" w:rsidRPr="00571788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 xml:space="preserve"> formulada</w:t>
      </w:r>
      <w:r w:rsidR="00F83E9F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 xml:space="preserve"> respecto de </w:t>
      </w:r>
      <w:proofErr w:type="gramStart"/>
      <w:r w:rsidR="00F83E9F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>la partidas entregadas</w:t>
      </w:r>
      <w:proofErr w:type="gramEnd"/>
      <w:r w:rsidR="00F83E9F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 xml:space="preserve"> a 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>HRU</w:t>
      </w:r>
      <w:r w:rsidR="00F76AE2">
        <w:rPr>
          <w:rFonts w:ascii="Arial" w:eastAsia="Times New Roman" w:hAnsi="Arial" w:cs="Times New Roman"/>
          <w:sz w:val="24"/>
          <w:szCs w:val="24"/>
          <w:lang w:val="es-MX" w:eastAsia="es-ES"/>
        </w:rPr>
        <w:t>.</w:t>
      </w:r>
    </w:p>
    <w:p w:rsidR="002F42E6" w:rsidRPr="005F5E14" w:rsidRDefault="00B9239B" w:rsidP="00B9239B">
      <w:pPr>
        <w:spacing w:after="0" w:line="360" w:lineRule="auto"/>
        <w:ind w:left="284" w:hanging="284"/>
        <w:jc w:val="both"/>
      </w:pPr>
      <w:r w:rsidRPr="00B9239B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>3)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</w:t>
      </w:r>
      <w:r w:rsidR="002F42E6" w:rsidRPr="005F5E14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Comunicar la presente Resolución a la Dirección General de Casinos </w:t>
      </w:r>
      <w:r w:rsidR="002F42E6">
        <w:rPr>
          <w:rFonts w:ascii="Arial" w:eastAsia="Times New Roman" w:hAnsi="Arial" w:cs="Times New Roman"/>
          <w:sz w:val="24"/>
          <w:szCs w:val="24"/>
          <w:lang w:val="es-MX" w:eastAsia="es-ES"/>
        </w:rPr>
        <w:t>y al Ministerio de Economía y Finanzas;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y</w:t>
      </w:r>
    </w:p>
    <w:p w:rsidR="002F42E6" w:rsidRDefault="00B9239B" w:rsidP="00B9239B">
      <w:pPr>
        <w:spacing w:after="0" w:line="360" w:lineRule="auto"/>
        <w:jc w:val="both"/>
      </w:pPr>
      <w:r w:rsidRPr="00B9239B">
        <w:rPr>
          <w:rFonts w:ascii="Arial" w:eastAsia="Times New Roman" w:hAnsi="Arial" w:cs="Times New Roman"/>
          <w:b/>
          <w:sz w:val="24"/>
          <w:szCs w:val="24"/>
          <w:lang w:eastAsia="es-ES"/>
        </w:rPr>
        <w:t>4)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</w:t>
      </w:r>
      <w:r w:rsidR="002F42E6">
        <w:rPr>
          <w:rFonts w:ascii="Arial" w:eastAsia="Times New Roman" w:hAnsi="Arial" w:cs="Times New Roman"/>
          <w:sz w:val="24"/>
          <w:szCs w:val="24"/>
          <w:lang w:val="es-MX" w:eastAsia="es-ES"/>
        </w:rPr>
        <w:t>Devuélvase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>.</w:t>
      </w:r>
    </w:p>
    <w:p w:rsidR="00D407B2" w:rsidRDefault="00D407B2"/>
    <w:p w:rsidR="00B9239B" w:rsidRDefault="00B9239B"/>
    <w:p w:rsidR="00B9239B" w:rsidRDefault="00B9239B"/>
    <w:p w:rsidR="00B9239B" w:rsidRPr="00B9239B" w:rsidRDefault="00B9239B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9239B"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B9239B" w:rsidRPr="00B9239B" w:rsidSect="00B9239B">
      <w:footerReference w:type="default" r:id="rId8"/>
      <w:pgSz w:w="12240" w:h="15840" w:code="1"/>
      <w:pgMar w:top="3402" w:right="1701" w:bottom="1418" w:left="1701" w:header="720" w:footer="363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86B" w:rsidRDefault="002F186B">
      <w:pPr>
        <w:spacing w:after="0" w:line="240" w:lineRule="auto"/>
      </w:pPr>
      <w:r>
        <w:separator/>
      </w:r>
    </w:p>
  </w:endnote>
  <w:endnote w:type="continuationSeparator" w:id="0">
    <w:p w:rsidR="002F186B" w:rsidRDefault="002F1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37A" w:rsidRDefault="00DD743F">
    <w:pPr>
      <w:pStyle w:val="Piedepgina"/>
      <w:rPr>
        <w:b/>
        <w:sz w:val="18"/>
        <w:lang w:val="es-MX"/>
      </w:rPr>
    </w:pPr>
  </w:p>
  <w:p w:rsidR="0086237A" w:rsidRDefault="00DD743F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86B" w:rsidRDefault="002F186B">
      <w:pPr>
        <w:spacing w:after="0" w:line="240" w:lineRule="auto"/>
      </w:pPr>
      <w:r>
        <w:separator/>
      </w:r>
    </w:p>
  </w:footnote>
  <w:footnote w:type="continuationSeparator" w:id="0">
    <w:p w:rsidR="002F186B" w:rsidRDefault="002F1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02297"/>
    <w:multiLevelType w:val="hybridMultilevel"/>
    <w:tmpl w:val="D9D42E4C"/>
    <w:lvl w:ilvl="0" w:tplc="383804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2E6"/>
    <w:rsid w:val="00004D4D"/>
    <w:rsid w:val="000B08CC"/>
    <w:rsid w:val="001B2C9D"/>
    <w:rsid w:val="001B4940"/>
    <w:rsid w:val="0020177B"/>
    <w:rsid w:val="0022695F"/>
    <w:rsid w:val="002F186B"/>
    <w:rsid w:val="002F42E6"/>
    <w:rsid w:val="003647D9"/>
    <w:rsid w:val="003A6643"/>
    <w:rsid w:val="00457593"/>
    <w:rsid w:val="00460508"/>
    <w:rsid w:val="00503912"/>
    <w:rsid w:val="00553491"/>
    <w:rsid w:val="00622ECF"/>
    <w:rsid w:val="00654CD5"/>
    <w:rsid w:val="00774538"/>
    <w:rsid w:val="007C6C30"/>
    <w:rsid w:val="008C5CB5"/>
    <w:rsid w:val="00A03414"/>
    <w:rsid w:val="00AA6A78"/>
    <w:rsid w:val="00AE2B19"/>
    <w:rsid w:val="00B9239B"/>
    <w:rsid w:val="00C345FA"/>
    <w:rsid w:val="00CD70CC"/>
    <w:rsid w:val="00D407B2"/>
    <w:rsid w:val="00DD180B"/>
    <w:rsid w:val="00DD743F"/>
    <w:rsid w:val="00E86775"/>
    <w:rsid w:val="00E94CD3"/>
    <w:rsid w:val="00EB1DD7"/>
    <w:rsid w:val="00EE13F2"/>
    <w:rsid w:val="00F43DDA"/>
    <w:rsid w:val="00F76AE2"/>
    <w:rsid w:val="00F83E9F"/>
    <w:rsid w:val="00FE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2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F42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2E6"/>
  </w:style>
  <w:style w:type="paragraph" w:styleId="Textodeglobo">
    <w:name w:val="Balloon Text"/>
    <w:basedOn w:val="Normal"/>
    <w:link w:val="TextodegloboCar"/>
    <w:uiPriority w:val="99"/>
    <w:semiHidden/>
    <w:unhideWhenUsed/>
    <w:rsid w:val="00CD7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0C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923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239B"/>
  </w:style>
  <w:style w:type="paragraph" w:styleId="Prrafodelista">
    <w:name w:val="List Paragraph"/>
    <w:basedOn w:val="Normal"/>
    <w:uiPriority w:val="34"/>
    <w:qFormat/>
    <w:rsid w:val="00B923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2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F42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2E6"/>
  </w:style>
  <w:style w:type="paragraph" w:styleId="Textodeglobo">
    <w:name w:val="Balloon Text"/>
    <w:basedOn w:val="Normal"/>
    <w:link w:val="TextodegloboCar"/>
    <w:uiPriority w:val="99"/>
    <w:semiHidden/>
    <w:unhideWhenUsed/>
    <w:rsid w:val="00CD7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0C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923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239B"/>
  </w:style>
  <w:style w:type="paragraph" w:styleId="Prrafodelista">
    <w:name w:val="List Paragraph"/>
    <w:basedOn w:val="Normal"/>
    <w:uiPriority w:val="34"/>
    <w:qFormat/>
    <w:rsid w:val="00B92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4</cp:revision>
  <cp:lastPrinted>2018-12-14T18:25:00Z</cp:lastPrinted>
  <dcterms:created xsi:type="dcterms:W3CDTF">2018-12-14T18:25:00Z</dcterms:created>
  <dcterms:modified xsi:type="dcterms:W3CDTF">2019-01-15T16:49:00Z</dcterms:modified>
</cp:coreProperties>
</file>