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DC" w:rsidRPr="00786EEB" w:rsidRDefault="00CC7FD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3677/18</w:t>
      </w:r>
    </w:p>
    <w:p w:rsidR="00CC7FDC" w:rsidRPr="00CC7FDC" w:rsidRDefault="00CC7FDC" w:rsidP="00CC7FD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CC7FDC" w:rsidRPr="00CC7FDC" w:rsidRDefault="00CC7FDC" w:rsidP="00CC7F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C7FD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C7FDC" w:rsidRPr="00CC7FDC" w:rsidRDefault="00CC7FDC" w:rsidP="00CC7FD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C7FDC" w:rsidRPr="00CC7FDC" w:rsidRDefault="00CC7FDC" w:rsidP="00CC7F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C7FD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C7FDC" w:rsidRPr="00CC7FDC" w:rsidRDefault="00CC7FDC" w:rsidP="00CC7FD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C7FDC" w:rsidRPr="00CC7FDC" w:rsidRDefault="00CC7FDC" w:rsidP="00CC7F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C7FDC">
        <w:rPr>
          <w:rFonts w:ascii="Arial" w:hAnsi="Arial" w:cs="Arial"/>
          <w:b/>
          <w:sz w:val="24"/>
          <w:szCs w:val="24"/>
          <w:lang w:val="es-ES_tradnl"/>
        </w:rPr>
        <w:t xml:space="preserve">EN SESION DE FECHA 5 DE DICIEMBRE </w:t>
      </w:r>
      <w:r w:rsidRPr="00CC7FDC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CC7FDC" w:rsidRPr="00CC7FDC" w:rsidRDefault="00CC7FDC" w:rsidP="00CC7F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C7FDC" w:rsidRPr="00CC7FDC" w:rsidRDefault="00CC7FDC" w:rsidP="00CC7F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C7FD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2018-17-1-0004381</w:t>
      </w:r>
      <w:r w:rsidRPr="00CC7FD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CC7FDC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CC7FDC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5134/18</w:t>
      </w:r>
      <w:r w:rsidRPr="00CC7FDC">
        <w:rPr>
          <w:rFonts w:ascii="Arial" w:hAnsi="Arial" w:cs="Arial"/>
          <w:b/>
          <w:sz w:val="24"/>
          <w:szCs w:val="24"/>
          <w:lang w:val="en-US"/>
        </w:rPr>
        <w:t>)</w:t>
      </w:r>
    </w:p>
    <w:p w:rsidR="00CC7FDC" w:rsidRDefault="00CC7FDC">
      <w:pPr>
        <w:rPr>
          <w:lang w:val="en-US"/>
        </w:rPr>
      </w:pPr>
    </w:p>
    <w:p w:rsidR="00CC7FDC" w:rsidRDefault="00ED61C6" w:rsidP="00CC7FD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870960">
        <w:rPr>
          <w:rFonts w:ascii="Arial" w:hAnsi="Arial" w:cs="Arial"/>
          <w:sz w:val="24"/>
          <w:szCs w:val="24"/>
        </w:rPr>
        <w:t xml:space="preserve"> e</w:t>
      </w:r>
      <w:r w:rsidR="009467FC">
        <w:rPr>
          <w:rFonts w:ascii="Arial" w:hAnsi="Arial" w:cs="Arial"/>
          <w:sz w:val="24"/>
          <w:szCs w:val="24"/>
        </w:rPr>
        <w:t xml:space="preserve">l Oficio Nº </w:t>
      </w:r>
      <w:r w:rsidR="00F47A8D">
        <w:rPr>
          <w:rFonts w:ascii="Arial" w:hAnsi="Arial" w:cs="Arial"/>
          <w:sz w:val="24"/>
          <w:szCs w:val="24"/>
        </w:rPr>
        <w:t>21/</w:t>
      </w:r>
      <w:r w:rsidR="00C673E2">
        <w:rPr>
          <w:rFonts w:ascii="Arial" w:hAnsi="Arial" w:cs="Arial"/>
          <w:sz w:val="24"/>
          <w:szCs w:val="24"/>
        </w:rPr>
        <w:t>18</w:t>
      </w:r>
      <w:r w:rsidR="009467FC">
        <w:rPr>
          <w:rFonts w:ascii="Arial" w:hAnsi="Arial" w:cs="Arial"/>
          <w:sz w:val="24"/>
          <w:szCs w:val="24"/>
        </w:rPr>
        <w:t xml:space="preserve">, de fecha </w:t>
      </w:r>
      <w:r w:rsidR="00C673E2">
        <w:rPr>
          <w:rFonts w:ascii="Arial" w:hAnsi="Arial" w:cs="Arial"/>
          <w:sz w:val="24"/>
          <w:szCs w:val="24"/>
        </w:rPr>
        <w:t>1</w:t>
      </w:r>
      <w:r w:rsidR="008C767C">
        <w:rPr>
          <w:rFonts w:ascii="Arial" w:hAnsi="Arial" w:cs="Arial"/>
          <w:sz w:val="24"/>
          <w:szCs w:val="24"/>
        </w:rPr>
        <w:t>.</w:t>
      </w:r>
      <w:r w:rsidR="00C673E2">
        <w:rPr>
          <w:rFonts w:ascii="Arial" w:hAnsi="Arial" w:cs="Arial"/>
          <w:sz w:val="24"/>
          <w:szCs w:val="24"/>
        </w:rPr>
        <w:t>10</w:t>
      </w:r>
      <w:r w:rsidR="008C767C">
        <w:rPr>
          <w:rFonts w:ascii="Arial" w:hAnsi="Arial" w:cs="Arial"/>
          <w:sz w:val="24"/>
          <w:szCs w:val="24"/>
        </w:rPr>
        <w:t>.1</w:t>
      </w:r>
      <w:r w:rsidR="00C673E2">
        <w:rPr>
          <w:rFonts w:ascii="Arial" w:hAnsi="Arial" w:cs="Arial"/>
          <w:sz w:val="24"/>
          <w:szCs w:val="24"/>
        </w:rPr>
        <w:t>8</w:t>
      </w:r>
      <w:r w:rsidR="009467FC">
        <w:rPr>
          <w:rFonts w:ascii="Arial" w:hAnsi="Arial" w:cs="Arial"/>
          <w:sz w:val="24"/>
          <w:szCs w:val="24"/>
        </w:rPr>
        <w:t xml:space="preserve"> </w:t>
      </w:r>
      <w:r w:rsidR="00255E33">
        <w:rPr>
          <w:rFonts w:ascii="Arial" w:hAnsi="Arial" w:cs="Arial"/>
          <w:sz w:val="24"/>
          <w:szCs w:val="24"/>
        </w:rPr>
        <w:t xml:space="preserve">y la resolución del 1678/18 </w:t>
      </w:r>
      <w:r w:rsidR="009467FC">
        <w:rPr>
          <w:rFonts w:ascii="Arial" w:hAnsi="Arial" w:cs="Arial"/>
          <w:sz w:val="24"/>
          <w:szCs w:val="24"/>
        </w:rPr>
        <w:t>remitido</w:t>
      </w:r>
      <w:r w:rsidR="00255E33">
        <w:rPr>
          <w:rFonts w:ascii="Arial" w:hAnsi="Arial" w:cs="Arial"/>
          <w:sz w:val="24"/>
          <w:szCs w:val="24"/>
        </w:rPr>
        <w:t>s</w:t>
      </w:r>
      <w:r w:rsidR="00CC7FDC">
        <w:rPr>
          <w:rFonts w:ascii="Arial" w:hAnsi="Arial" w:cs="Arial"/>
          <w:sz w:val="24"/>
          <w:szCs w:val="24"/>
        </w:rPr>
        <w:t xml:space="preserve"> por la Contadora Delegada en</w:t>
      </w:r>
      <w:r w:rsidR="009467FC">
        <w:rPr>
          <w:rFonts w:ascii="Arial" w:hAnsi="Arial" w:cs="Arial"/>
          <w:sz w:val="24"/>
          <w:szCs w:val="24"/>
        </w:rPr>
        <w:t xml:space="preserve"> la </w:t>
      </w:r>
      <w:r w:rsidR="00870960">
        <w:rPr>
          <w:rFonts w:ascii="Arial" w:hAnsi="Arial" w:cs="Arial"/>
          <w:sz w:val="24"/>
          <w:szCs w:val="24"/>
        </w:rPr>
        <w:t>Intendencia de Rocha</w:t>
      </w:r>
      <w:r w:rsidR="009467FC">
        <w:rPr>
          <w:rFonts w:ascii="Arial" w:hAnsi="Arial" w:cs="Arial"/>
          <w:sz w:val="24"/>
          <w:szCs w:val="24"/>
        </w:rPr>
        <w:t xml:space="preserve">, </w:t>
      </w:r>
      <w:r w:rsidR="008C767C">
        <w:rPr>
          <w:rFonts w:ascii="Arial" w:hAnsi="Arial" w:cs="Arial"/>
          <w:sz w:val="24"/>
          <w:szCs w:val="24"/>
        </w:rPr>
        <w:t>relacionad</w:t>
      </w:r>
      <w:r w:rsidR="00255E33">
        <w:rPr>
          <w:rFonts w:ascii="Arial" w:hAnsi="Arial" w:cs="Arial"/>
          <w:sz w:val="24"/>
          <w:szCs w:val="24"/>
        </w:rPr>
        <w:t>os</w:t>
      </w:r>
      <w:r w:rsidR="008C767C">
        <w:rPr>
          <w:rFonts w:ascii="Arial" w:hAnsi="Arial" w:cs="Arial"/>
          <w:sz w:val="24"/>
          <w:szCs w:val="24"/>
        </w:rPr>
        <w:t xml:space="preserve"> con la </w:t>
      </w:r>
      <w:r w:rsidR="00C24B62">
        <w:rPr>
          <w:rFonts w:ascii="Arial" w:hAnsi="Arial" w:cs="Arial"/>
          <w:sz w:val="24"/>
          <w:szCs w:val="24"/>
        </w:rPr>
        <w:t xml:space="preserve">reiteración del gasto emergente de </w:t>
      </w:r>
      <w:r w:rsidR="00C673E2">
        <w:rPr>
          <w:rFonts w:ascii="Arial" w:hAnsi="Arial" w:cs="Arial"/>
          <w:sz w:val="24"/>
          <w:szCs w:val="24"/>
        </w:rPr>
        <w:t>la</w:t>
      </w:r>
      <w:r w:rsidR="00F47A8D">
        <w:rPr>
          <w:rFonts w:ascii="Arial" w:hAnsi="Arial" w:cs="Arial"/>
          <w:sz w:val="24"/>
          <w:szCs w:val="24"/>
        </w:rPr>
        <w:t xml:space="preserve"> ampliación de la Contratación Directa con la empresa </w:t>
      </w:r>
      <w:proofErr w:type="spellStart"/>
      <w:r w:rsidR="00F47A8D">
        <w:rPr>
          <w:rFonts w:ascii="Arial" w:hAnsi="Arial" w:cs="Arial"/>
          <w:sz w:val="24"/>
          <w:szCs w:val="24"/>
        </w:rPr>
        <w:t>Esco</w:t>
      </w:r>
      <w:proofErr w:type="spellEnd"/>
      <w:r w:rsidR="00F47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A8D">
        <w:rPr>
          <w:rFonts w:ascii="Arial" w:hAnsi="Arial" w:cs="Arial"/>
          <w:sz w:val="24"/>
          <w:szCs w:val="24"/>
        </w:rPr>
        <w:t>Peusa</w:t>
      </w:r>
      <w:proofErr w:type="spellEnd"/>
      <w:r w:rsidR="00F47A8D">
        <w:rPr>
          <w:rFonts w:ascii="Arial" w:hAnsi="Arial" w:cs="Arial"/>
          <w:sz w:val="24"/>
          <w:szCs w:val="24"/>
        </w:rPr>
        <w:t>., con el fin de efectuar el cambio de luminarios en la totalidad del Departamento</w:t>
      </w:r>
      <w:r w:rsidR="00C673E2">
        <w:rPr>
          <w:rFonts w:ascii="Arial" w:hAnsi="Arial" w:cs="Arial"/>
          <w:sz w:val="24"/>
          <w:szCs w:val="24"/>
        </w:rPr>
        <w:t>;</w:t>
      </w:r>
    </w:p>
    <w:p w:rsidR="00CC7FDC" w:rsidRDefault="008A43E1" w:rsidP="00CC7FD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9467FC">
        <w:rPr>
          <w:rFonts w:ascii="Arial" w:hAnsi="Arial" w:cs="Arial"/>
          <w:b/>
          <w:sz w:val="24"/>
          <w:szCs w:val="24"/>
        </w:rPr>
        <w:t>1</w:t>
      </w:r>
      <w:r w:rsidR="00461C1B" w:rsidRPr="00E55E3F">
        <w:rPr>
          <w:rFonts w:ascii="Arial" w:hAnsi="Arial" w:cs="Arial"/>
          <w:b/>
          <w:sz w:val="24"/>
          <w:szCs w:val="24"/>
        </w:rPr>
        <w:t>)</w:t>
      </w:r>
      <w:r w:rsidR="00461C1B">
        <w:rPr>
          <w:rFonts w:ascii="Arial" w:hAnsi="Arial" w:cs="Arial"/>
          <w:sz w:val="24"/>
          <w:szCs w:val="24"/>
        </w:rPr>
        <w:t xml:space="preserve"> </w:t>
      </w:r>
      <w:r w:rsidR="00014B32">
        <w:rPr>
          <w:rFonts w:ascii="Arial" w:hAnsi="Arial" w:cs="Arial"/>
          <w:sz w:val="24"/>
          <w:szCs w:val="24"/>
        </w:rPr>
        <w:t xml:space="preserve">que </w:t>
      </w:r>
      <w:r w:rsidR="00F47A8D">
        <w:rPr>
          <w:rFonts w:ascii="Arial" w:hAnsi="Arial" w:cs="Arial"/>
          <w:sz w:val="24"/>
          <w:szCs w:val="24"/>
        </w:rPr>
        <w:t>el Intendente</w:t>
      </w:r>
      <w:r w:rsidR="00255E33">
        <w:rPr>
          <w:rFonts w:ascii="Arial" w:hAnsi="Arial" w:cs="Arial"/>
          <w:sz w:val="24"/>
          <w:szCs w:val="24"/>
        </w:rPr>
        <w:t>,</w:t>
      </w:r>
      <w:r w:rsidR="00F47A8D">
        <w:rPr>
          <w:rFonts w:ascii="Arial" w:hAnsi="Arial" w:cs="Arial"/>
          <w:sz w:val="24"/>
          <w:szCs w:val="24"/>
        </w:rPr>
        <w:t xml:space="preserve"> por Resolución Nº 1658 de fecha 12/06/2018</w:t>
      </w:r>
      <w:r w:rsidR="00255E33">
        <w:rPr>
          <w:rFonts w:ascii="Arial" w:hAnsi="Arial" w:cs="Arial"/>
          <w:sz w:val="24"/>
          <w:szCs w:val="24"/>
        </w:rPr>
        <w:t>,</w:t>
      </w:r>
      <w:r w:rsidR="00F47A8D">
        <w:rPr>
          <w:rFonts w:ascii="Arial" w:hAnsi="Arial" w:cs="Arial"/>
          <w:sz w:val="24"/>
          <w:szCs w:val="24"/>
        </w:rPr>
        <w:t xml:space="preserve"> dispuso ampliar el contrato con la empresa PEUS</w:t>
      </w:r>
      <w:r w:rsidR="00CC7FDC">
        <w:rPr>
          <w:rFonts w:ascii="Arial" w:hAnsi="Arial" w:cs="Arial"/>
          <w:sz w:val="24"/>
          <w:szCs w:val="24"/>
        </w:rPr>
        <w:t>A, por el precio total de U$S 1:</w:t>
      </w:r>
      <w:r w:rsidR="00F47A8D">
        <w:rPr>
          <w:rFonts w:ascii="Arial" w:hAnsi="Arial" w:cs="Arial"/>
          <w:sz w:val="24"/>
          <w:szCs w:val="24"/>
        </w:rPr>
        <w:t>483.611</w:t>
      </w:r>
      <w:r w:rsidR="00C673E2">
        <w:rPr>
          <w:rFonts w:ascii="Arial" w:hAnsi="Arial" w:cs="Arial"/>
          <w:sz w:val="24"/>
          <w:szCs w:val="24"/>
        </w:rPr>
        <w:t>;</w:t>
      </w:r>
    </w:p>
    <w:p w:rsidR="00366CBB" w:rsidRDefault="009467FC" w:rsidP="00366CB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A43E1">
        <w:rPr>
          <w:rFonts w:ascii="Arial" w:hAnsi="Arial" w:cs="Arial"/>
          <w:b/>
          <w:sz w:val="24"/>
          <w:szCs w:val="24"/>
        </w:rPr>
        <w:t>)</w:t>
      </w:r>
      <w:r w:rsidR="00BB5D49">
        <w:rPr>
          <w:rFonts w:ascii="Arial" w:hAnsi="Arial" w:cs="Arial"/>
          <w:b/>
          <w:sz w:val="24"/>
          <w:szCs w:val="24"/>
        </w:rPr>
        <w:t xml:space="preserve"> </w:t>
      </w:r>
      <w:r w:rsidR="009D6721" w:rsidRPr="009D6721">
        <w:rPr>
          <w:rFonts w:ascii="Arial" w:hAnsi="Arial" w:cs="Arial"/>
          <w:sz w:val="24"/>
          <w:szCs w:val="24"/>
        </w:rPr>
        <w:t>que</w:t>
      </w:r>
      <w:r w:rsidR="009D6721">
        <w:rPr>
          <w:rFonts w:ascii="Arial" w:hAnsi="Arial" w:cs="Arial"/>
          <w:sz w:val="24"/>
          <w:szCs w:val="24"/>
        </w:rPr>
        <w:t xml:space="preserve"> este Tribunal</w:t>
      </w:r>
      <w:r w:rsidR="00255E33">
        <w:rPr>
          <w:rFonts w:ascii="Arial" w:hAnsi="Arial" w:cs="Arial"/>
          <w:sz w:val="24"/>
          <w:szCs w:val="24"/>
        </w:rPr>
        <w:t>,</w:t>
      </w:r>
      <w:r w:rsidR="009D6721">
        <w:rPr>
          <w:rFonts w:ascii="Arial" w:hAnsi="Arial" w:cs="Arial"/>
          <w:sz w:val="24"/>
          <w:szCs w:val="24"/>
        </w:rPr>
        <w:t xml:space="preserve">  por Resolución N° </w:t>
      </w:r>
      <w:r w:rsidR="00404934">
        <w:rPr>
          <w:rFonts w:ascii="Arial" w:hAnsi="Arial" w:cs="Arial"/>
          <w:sz w:val="24"/>
          <w:szCs w:val="24"/>
        </w:rPr>
        <w:t>2512/2018</w:t>
      </w:r>
      <w:r w:rsidR="009D6721">
        <w:rPr>
          <w:rFonts w:ascii="Arial" w:hAnsi="Arial" w:cs="Arial"/>
          <w:sz w:val="24"/>
          <w:szCs w:val="24"/>
        </w:rPr>
        <w:t xml:space="preserve"> de fecha </w:t>
      </w:r>
      <w:r w:rsidR="00404934">
        <w:rPr>
          <w:rFonts w:ascii="Arial" w:hAnsi="Arial" w:cs="Arial"/>
          <w:sz w:val="24"/>
          <w:szCs w:val="24"/>
        </w:rPr>
        <w:t>01/08/2018</w:t>
      </w:r>
      <w:r w:rsidR="009D6721">
        <w:rPr>
          <w:rFonts w:ascii="Arial" w:hAnsi="Arial" w:cs="Arial"/>
          <w:sz w:val="24"/>
          <w:szCs w:val="24"/>
        </w:rPr>
        <w:t>, observó el gasto, por</w:t>
      </w:r>
      <w:r w:rsidR="00EC4046">
        <w:rPr>
          <w:rFonts w:ascii="Arial" w:hAnsi="Arial" w:cs="Arial"/>
          <w:sz w:val="24"/>
          <w:szCs w:val="24"/>
        </w:rPr>
        <w:t xml:space="preserve"> </w:t>
      </w:r>
      <w:r w:rsidR="00366CBB">
        <w:rPr>
          <w:rFonts w:ascii="Arial" w:hAnsi="Arial" w:cs="Arial"/>
          <w:sz w:val="24"/>
          <w:szCs w:val="24"/>
        </w:rPr>
        <w:t>haber</w:t>
      </w:r>
      <w:r w:rsidR="00EC4046">
        <w:rPr>
          <w:rFonts w:ascii="Arial" w:hAnsi="Arial" w:cs="Arial"/>
          <w:sz w:val="24"/>
          <w:szCs w:val="24"/>
        </w:rPr>
        <w:t xml:space="preserve"> comprometido un gasto sin</w:t>
      </w:r>
      <w:r w:rsidR="009D6721">
        <w:rPr>
          <w:rFonts w:ascii="Arial" w:hAnsi="Arial" w:cs="Arial"/>
          <w:sz w:val="24"/>
          <w:szCs w:val="24"/>
        </w:rPr>
        <w:t xml:space="preserve"> disponibilidad suficiente</w:t>
      </w:r>
      <w:r w:rsidR="00EC4046">
        <w:rPr>
          <w:rFonts w:ascii="Arial" w:hAnsi="Arial" w:cs="Arial"/>
          <w:sz w:val="24"/>
          <w:szCs w:val="24"/>
        </w:rPr>
        <w:t xml:space="preserve"> en el rubro de imputación,</w:t>
      </w:r>
      <w:r w:rsidR="009D6721">
        <w:rPr>
          <w:rFonts w:ascii="Arial" w:hAnsi="Arial" w:cs="Arial"/>
          <w:sz w:val="24"/>
          <w:szCs w:val="24"/>
        </w:rPr>
        <w:t xml:space="preserve"> en contravención </w:t>
      </w:r>
      <w:r w:rsidR="00366CBB">
        <w:rPr>
          <w:rFonts w:ascii="Arial" w:hAnsi="Arial" w:cs="Arial"/>
          <w:sz w:val="24"/>
          <w:szCs w:val="24"/>
        </w:rPr>
        <w:t>con</w:t>
      </w:r>
      <w:r w:rsidR="009D6721">
        <w:rPr>
          <w:rFonts w:ascii="Arial" w:hAnsi="Arial" w:cs="Arial"/>
          <w:sz w:val="24"/>
          <w:szCs w:val="24"/>
        </w:rPr>
        <w:t xml:space="preserve"> lo dispuesto por el </w:t>
      </w:r>
      <w:r w:rsidR="00366CBB">
        <w:rPr>
          <w:rFonts w:ascii="Arial" w:hAnsi="Arial" w:cs="Arial"/>
          <w:sz w:val="24"/>
          <w:szCs w:val="24"/>
        </w:rPr>
        <w:t>A</w:t>
      </w:r>
      <w:r w:rsidR="009D6721">
        <w:rPr>
          <w:rFonts w:ascii="Arial" w:hAnsi="Arial" w:cs="Arial"/>
          <w:sz w:val="24"/>
          <w:szCs w:val="24"/>
        </w:rPr>
        <w:t>rt</w:t>
      </w:r>
      <w:r w:rsidR="00366CBB">
        <w:rPr>
          <w:rFonts w:ascii="Arial" w:hAnsi="Arial" w:cs="Arial"/>
          <w:sz w:val="24"/>
          <w:szCs w:val="24"/>
        </w:rPr>
        <w:t>ículo</w:t>
      </w:r>
      <w:r w:rsidR="009D6721">
        <w:rPr>
          <w:rFonts w:ascii="Arial" w:hAnsi="Arial" w:cs="Arial"/>
          <w:sz w:val="24"/>
          <w:szCs w:val="24"/>
        </w:rPr>
        <w:t xml:space="preserve"> 15 del TOCAF</w:t>
      </w:r>
      <w:r w:rsidR="00A46FB7" w:rsidRPr="009D6721">
        <w:rPr>
          <w:rFonts w:ascii="Arial" w:hAnsi="Arial" w:cs="Arial"/>
          <w:sz w:val="24"/>
          <w:szCs w:val="24"/>
        </w:rPr>
        <w:t>;</w:t>
      </w:r>
    </w:p>
    <w:p w:rsidR="00A46FB7" w:rsidRPr="000F2DBA" w:rsidRDefault="00A46FB7" w:rsidP="00366CB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46FB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F2DBA">
        <w:rPr>
          <w:rFonts w:ascii="Arial" w:hAnsi="Arial" w:cs="Arial"/>
          <w:sz w:val="24"/>
          <w:szCs w:val="24"/>
        </w:rPr>
        <w:t xml:space="preserve">que </w:t>
      </w:r>
      <w:r w:rsidR="00EC4046">
        <w:rPr>
          <w:rFonts w:ascii="Arial" w:hAnsi="Arial" w:cs="Arial"/>
          <w:sz w:val="24"/>
          <w:szCs w:val="24"/>
        </w:rPr>
        <w:t>en la oportunidad, el Intendente, por Resolu</w:t>
      </w:r>
      <w:r w:rsidR="00366CBB">
        <w:rPr>
          <w:rFonts w:ascii="Arial" w:hAnsi="Arial" w:cs="Arial"/>
          <w:sz w:val="24"/>
          <w:szCs w:val="24"/>
        </w:rPr>
        <w:softHyphen/>
      </w:r>
      <w:r w:rsidR="00EC4046">
        <w:rPr>
          <w:rFonts w:ascii="Arial" w:hAnsi="Arial" w:cs="Arial"/>
          <w:sz w:val="24"/>
          <w:szCs w:val="24"/>
        </w:rPr>
        <w:t xml:space="preserve">ción N° </w:t>
      </w:r>
      <w:r w:rsidR="00404934">
        <w:rPr>
          <w:rFonts w:ascii="Arial" w:hAnsi="Arial" w:cs="Arial"/>
          <w:sz w:val="24"/>
          <w:szCs w:val="24"/>
        </w:rPr>
        <w:t>2228</w:t>
      </w:r>
      <w:r w:rsidR="00EC4046">
        <w:rPr>
          <w:rFonts w:ascii="Arial" w:hAnsi="Arial" w:cs="Arial"/>
          <w:sz w:val="24"/>
          <w:szCs w:val="24"/>
        </w:rPr>
        <w:t xml:space="preserve">/18 de fecha </w:t>
      </w:r>
      <w:r w:rsidR="00404934">
        <w:rPr>
          <w:rFonts w:ascii="Arial" w:hAnsi="Arial" w:cs="Arial"/>
          <w:sz w:val="24"/>
          <w:szCs w:val="24"/>
        </w:rPr>
        <w:t>16/08/2018</w:t>
      </w:r>
      <w:r w:rsidR="00EC4046">
        <w:rPr>
          <w:rFonts w:ascii="Arial" w:hAnsi="Arial" w:cs="Arial"/>
          <w:sz w:val="24"/>
          <w:szCs w:val="24"/>
        </w:rPr>
        <w:t>, reiteró el gasto,</w:t>
      </w:r>
      <w:r w:rsidR="00404934">
        <w:rPr>
          <w:rFonts w:ascii="Arial" w:hAnsi="Arial" w:cs="Arial"/>
          <w:sz w:val="24"/>
          <w:szCs w:val="24"/>
        </w:rPr>
        <w:t xml:space="preserve"> sin expresar fundamen</w:t>
      </w:r>
      <w:r w:rsidR="00366CBB">
        <w:rPr>
          <w:rFonts w:ascii="Arial" w:hAnsi="Arial" w:cs="Arial"/>
          <w:sz w:val="24"/>
          <w:szCs w:val="24"/>
        </w:rPr>
        <w:softHyphen/>
      </w:r>
      <w:r w:rsidR="00404934">
        <w:rPr>
          <w:rFonts w:ascii="Arial" w:hAnsi="Arial" w:cs="Arial"/>
          <w:sz w:val="24"/>
          <w:szCs w:val="24"/>
        </w:rPr>
        <w:t>tos</w:t>
      </w:r>
      <w:r w:rsidR="00EC4046">
        <w:rPr>
          <w:rFonts w:ascii="Arial" w:hAnsi="Arial" w:cs="Arial"/>
          <w:sz w:val="24"/>
          <w:szCs w:val="24"/>
        </w:rPr>
        <w:t>;</w:t>
      </w:r>
    </w:p>
    <w:p w:rsidR="00366CBB" w:rsidRDefault="003E6B1F" w:rsidP="00366CBB">
      <w:pPr>
        <w:spacing w:line="360" w:lineRule="auto"/>
        <w:ind w:firstLine="851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D170AD">
        <w:rPr>
          <w:rFonts w:ascii="Arial" w:hAnsi="Arial" w:cs="Arial"/>
          <w:b/>
          <w:sz w:val="24"/>
          <w:szCs w:val="24"/>
        </w:rPr>
        <w:t>CONSIDERANDO:</w:t>
      </w:r>
      <w:r w:rsidR="005B2256"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que el </w:t>
      </w:r>
      <w:r w:rsidR="00366CBB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A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rt</w:t>
      </w:r>
      <w:r w:rsidR="00366CBB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ículo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475 de la Ley 17.296 establece que los Ordenadores de gastos y pagos, al ejercer la facultad de insistencia o reiteración que les acuerda el </w:t>
      </w:r>
      <w:r w:rsidR="00366CBB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L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it</w:t>
      </w:r>
      <w:r w:rsidR="00366CBB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eral B) del A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rt</w:t>
      </w:r>
      <w:r w:rsidR="00366CBB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ículo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211 de la Constitución de la República, deben hacerlo en forma fundada,  expresando de manera detallada los motivos que justifican a su juicio seguir el curso del gasto</w:t>
      </w:r>
      <w:r w:rsidR="00366CBB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o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del pago;</w:t>
      </w:r>
    </w:p>
    <w:p w:rsidR="00756A99" w:rsidRPr="00756A99" w:rsidRDefault="00756A99" w:rsidP="00366CBB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</w:pPr>
      <w:r w:rsidRPr="00756A99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lastRenderedPageBreak/>
        <w:t>ATENTO:</w:t>
      </w:r>
      <w:r w:rsidRPr="00756A99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a lo expuesto, y a lo dispuesto por el </w:t>
      </w:r>
      <w:r w:rsidR="00366CBB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A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rtículo 211 </w:t>
      </w:r>
      <w:r w:rsidR="00255E33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l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iteral B) de la Constitución de la República;</w:t>
      </w:r>
    </w:p>
    <w:p w:rsidR="00756A99" w:rsidRPr="00EC4046" w:rsidRDefault="00EC4046" w:rsidP="00366CBB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EL TRIBUNAL ACUERDA</w:t>
      </w:r>
    </w:p>
    <w:p w:rsidR="00756A99" w:rsidRPr="00756A99" w:rsidRDefault="00756A99" w:rsidP="00366CBB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1)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 Mantener la observación de fecha </w:t>
      </w:r>
      <w:r w:rsidR="00404934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01/08/2018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;</w:t>
      </w:r>
    </w:p>
    <w:p w:rsidR="00756A99" w:rsidRPr="00756A99" w:rsidRDefault="00756A99" w:rsidP="00366CBB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2)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 Dar cuenta a la Junta Departamental de Rocha; </w:t>
      </w:r>
    </w:p>
    <w:p w:rsidR="00756A99" w:rsidRDefault="00756A99" w:rsidP="00366CBB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3)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Comunicar a la Intendencia de Rocha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y a la Contadora Delegada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</w:p>
    <w:p w:rsidR="00366CBB" w:rsidRDefault="00366CBB" w:rsidP="00366CBB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366CBB" w:rsidRDefault="00366CBB" w:rsidP="00366CBB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366CBB" w:rsidRDefault="00366CBB" w:rsidP="00366CBB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366CBB" w:rsidRDefault="00366CBB" w:rsidP="00366CBB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366CBB" w:rsidRPr="00756A99" w:rsidRDefault="00366CBB" w:rsidP="00366CBB">
      <w:pPr>
        <w:spacing w:after="0" w:line="360" w:lineRule="auto"/>
        <w:ind w:hanging="284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dc</w:t>
      </w:r>
      <w:proofErr w:type="gramEnd"/>
    </w:p>
    <w:sectPr w:rsidR="00366CBB" w:rsidRPr="00756A99" w:rsidSect="008D1249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387"/>
    <w:multiLevelType w:val="hybridMultilevel"/>
    <w:tmpl w:val="4C34E084"/>
    <w:lvl w:ilvl="0" w:tplc="A3E02F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6"/>
    <w:rsid w:val="00006A0E"/>
    <w:rsid w:val="00014B32"/>
    <w:rsid w:val="000206B3"/>
    <w:rsid w:val="00031143"/>
    <w:rsid w:val="00097DD5"/>
    <w:rsid w:val="000C1554"/>
    <w:rsid w:val="000C1BF4"/>
    <w:rsid w:val="000E0618"/>
    <w:rsid w:val="000F2DBA"/>
    <w:rsid w:val="00166493"/>
    <w:rsid w:val="001723AA"/>
    <w:rsid w:val="00195188"/>
    <w:rsid w:val="001A6F32"/>
    <w:rsid w:val="001B7289"/>
    <w:rsid w:val="001C6BEB"/>
    <w:rsid w:val="001D5B51"/>
    <w:rsid w:val="001F054B"/>
    <w:rsid w:val="001F0C4A"/>
    <w:rsid w:val="001F6720"/>
    <w:rsid w:val="0021145A"/>
    <w:rsid w:val="00255E33"/>
    <w:rsid w:val="00287F05"/>
    <w:rsid w:val="0029193E"/>
    <w:rsid w:val="002C1292"/>
    <w:rsid w:val="002C5E37"/>
    <w:rsid w:val="002D1E21"/>
    <w:rsid w:val="00317B06"/>
    <w:rsid w:val="00344BD2"/>
    <w:rsid w:val="00366CBB"/>
    <w:rsid w:val="00371B1A"/>
    <w:rsid w:val="003E4A66"/>
    <w:rsid w:val="003E6B1F"/>
    <w:rsid w:val="003F2B82"/>
    <w:rsid w:val="00404934"/>
    <w:rsid w:val="00404C16"/>
    <w:rsid w:val="0043518D"/>
    <w:rsid w:val="00461C1B"/>
    <w:rsid w:val="00461C90"/>
    <w:rsid w:val="00467435"/>
    <w:rsid w:val="004720EB"/>
    <w:rsid w:val="00477A3A"/>
    <w:rsid w:val="00493670"/>
    <w:rsid w:val="004C07E2"/>
    <w:rsid w:val="004E7139"/>
    <w:rsid w:val="005042BF"/>
    <w:rsid w:val="00515DAF"/>
    <w:rsid w:val="00541134"/>
    <w:rsid w:val="005554EE"/>
    <w:rsid w:val="005658E8"/>
    <w:rsid w:val="00583959"/>
    <w:rsid w:val="005B2256"/>
    <w:rsid w:val="005F0D87"/>
    <w:rsid w:val="0064079C"/>
    <w:rsid w:val="006B65A2"/>
    <w:rsid w:val="006C276A"/>
    <w:rsid w:val="006D769B"/>
    <w:rsid w:val="006F1C21"/>
    <w:rsid w:val="00701F14"/>
    <w:rsid w:val="0074435D"/>
    <w:rsid w:val="00744B94"/>
    <w:rsid w:val="00756A99"/>
    <w:rsid w:val="00773147"/>
    <w:rsid w:val="007A3E56"/>
    <w:rsid w:val="007C790B"/>
    <w:rsid w:val="00822A48"/>
    <w:rsid w:val="00830855"/>
    <w:rsid w:val="00834B09"/>
    <w:rsid w:val="00862102"/>
    <w:rsid w:val="00863C60"/>
    <w:rsid w:val="00870960"/>
    <w:rsid w:val="008A26DC"/>
    <w:rsid w:val="008A43E1"/>
    <w:rsid w:val="008C767C"/>
    <w:rsid w:val="008D1249"/>
    <w:rsid w:val="008D5F86"/>
    <w:rsid w:val="008F4CF9"/>
    <w:rsid w:val="00914BA0"/>
    <w:rsid w:val="009467FC"/>
    <w:rsid w:val="009A7D2E"/>
    <w:rsid w:val="009C3AC2"/>
    <w:rsid w:val="009D6721"/>
    <w:rsid w:val="009E5169"/>
    <w:rsid w:val="009F04AE"/>
    <w:rsid w:val="00A016F4"/>
    <w:rsid w:val="00A0313C"/>
    <w:rsid w:val="00A46FB7"/>
    <w:rsid w:val="00A51ED7"/>
    <w:rsid w:val="00A7438A"/>
    <w:rsid w:val="00A83438"/>
    <w:rsid w:val="00A8383B"/>
    <w:rsid w:val="00A9338B"/>
    <w:rsid w:val="00B03D9F"/>
    <w:rsid w:val="00B17D2A"/>
    <w:rsid w:val="00B55438"/>
    <w:rsid w:val="00B605D0"/>
    <w:rsid w:val="00B918E4"/>
    <w:rsid w:val="00B93A4D"/>
    <w:rsid w:val="00BB5D49"/>
    <w:rsid w:val="00BD4E14"/>
    <w:rsid w:val="00BD798C"/>
    <w:rsid w:val="00C043A1"/>
    <w:rsid w:val="00C24B62"/>
    <w:rsid w:val="00C32946"/>
    <w:rsid w:val="00C3316D"/>
    <w:rsid w:val="00C673E2"/>
    <w:rsid w:val="00C70A60"/>
    <w:rsid w:val="00C7293F"/>
    <w:rsid w:val="00CC7FDC"/>
    <w:rsid w:val="00D170AD"/>
    <w:rsid w:val="00D20022"/>
    <w:rsid w:val="00D41954"/>
    <w:rsid w:val="00D51F05"/>
    <w:rsid w:val="00D54AB3"/>
    <w:rsid w:val="00D7749E"/>
    <w:rsid w:val="00DC4458"/>
    <w:rsid w:val="00DC6906"/>
    <w:rsid w:val="00DE2734"/>
    <w:rsid w:val="00DF6A66"/>
    <w:rsid w:val="00E2110D"/>
    <w:rsid w:val="00E523F5"/>
    <w:rsid w:val="00E55E3F"/>
    <w:rsid w:val="00E84ED3"/>
    <w:rsid w:val="00E9094D"/>
    <w:rsid w:val="00E92A60"/>
    <w:rsid w:val="00EA30B3"/>
    <w:rsid w:val="00EA3A8A"/>
    <w:rsid w:val="00EC4046"/>
    <w:rsid w:val="00ED61C6"/>
    <w:rsid w:val="00EE1B1F"/>
    <w:rsid w:val="00EF2870"/>
    <w:rsid w:val="00F01234"/>
    <w:rsid w:val="00F270D8"/>
    <w:rsid w:val="00F47A8D"/>
    <w:rsid w:val="00F81F23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A89B-8966-4E62-A3B7-CE5655BB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2018-12-06T15:19:00Z</cp:lastPrinted>
  <dcterms:created xsi:type="dcterms:W3CDTF">2018-12-06T14:41:00Z</dcterms:created>
  <dcterms:modified xsi:type="dcterms:W3CDTF">2018-12-06T15:19:00Z</dcterms:modified>
</cp:coreProperties>
</file>