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86" w:rsidRPr="00786EEB" w:rsidRDefault="00146B86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RES.3692 /18</w:t>
      </w:r>
    </w:p>
    <w:p w:rsidR="00146B86" w:rsidRDefault="00146B86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146B86" w:rsidRPr="00762B34" w:rsidRDefault="00146B8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146B86" w:rsidRPr="00762B34" w:rsidRDefault="00146B8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46B86" w:rsidRPr="00762B34" w:rsidRDefault="00146B8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146B86" w:rsidRPr="00762B34" w:rsidRDefault="00146B86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46B86" w:rsidRPr="00762B34" w:rsidRDefault="00146B8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5 DE DICIEMBRE </w:t>
      </w:r>
      <w:r>
        <w:rPr>
          <w:rFonts w:ascii="Helvetica" w:hAnsi="Helvetica"/>
          <w:b/>
          <w:lang w:val="es-ES_tradnl"/>
        </w:rPr>
        <w:t>DE 2018</w:t>
      </w:r>
    </w:p>
    <w:p w:rsidR="00146B86" w:rsidRPr="00762B34" w:rsidRDefault="00146B86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146B86" w:rsidRPr="00146B86" w:rsidRDefault="00146B86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146B86">
        <w:rPr>
          <w:rFonts w:cs="Arial"/>
          <w:b/>
          <w:lang w:val="en-US"/>
        </w:rPr>
        <w:t>(E. E. Nº</w:t>
      </w:r>
      <w:r w:rsidRPr="00146B86">
        <w:rPr>
          <w:rFonts w:cs="Arial"/>
          <w:b/>
          <w:lang w:val="es-MX"/>
        </w:rPr>
        <w:t>2018-17-1-0006663</w:t>
      </w:r>
      <w:r w:rsidRPr="00146B86">
        <w:rPr>
          <w:rFonts w:cs="Arial"/>
          <w:b/>
          <w:lang w:val="en-US"/>
        </w:rPr>
        <w:t xml:space="preserve">, </w:t>
      </w:r>
      <w:proofErr w:type="gramStart"/>
      <w:r w:rsidRPr="00146B86">
        <w:rPr>
          <w:rFonts w:cs="Arial"/>
          <w:b/>
          <w:lang w:val="en-US"/>
        </w:rPr>
        <w:t>Ent</w:t>
      </w:r>
      <w:proofErr w:type="gramEnd"/>
      <w:r w:rsidRPr="00146B86">
        <w:rPr>
          <w:rFonts w:cs="Arial"/>
          <w:b/>
          <w:lang w:val="en-US"/>
        </w:rPr>
        <w:t>. N°</w:t>
      </w:r>
      <w:r w:rsidRPr="00146B86">
        <w:rPr>
          <w:rFonts w:cs="Arial"/>
          <w:b/>
          <w:lang w:val="es-MX"/>
        </w:rPr>
        <w:t>5339</w:t>
      </w:r>
      <w:r w:rsidRPr="00146B86">
        <w:rPr>
          <w:rFonts w:cs="Arial"/>
          <w:b/>
          <w:lang w:val="es-MX"/>
        </w:rPr>
        <w:t>/17</w:t>
      </w:r>
      <w:r w:rsidRPr="00146B86">
        <w:rPr>
          <w:rFonts w:cs="Arial"/>
          <w:b/>
          <w:lang w:val="en-US"/>
        </w:rPr>
        <w:t>)</w:t>
      </w:r>
    </w:p>
    <w:p w:rsidR="00F204AF" w:rsidRPr="00D5260E" w:rsidRDefault="00F204AF" w:rsidP="00146B86">
      <w:pPr>
        <w:rPr>
          <w:rFonts w:cs="Arial"/>
          <w:b/>
          <w:bCs/>
        </w:rPr>
      </w:pPr>
    </w:p>
    <w:p w:rsidR="00F204AF" w:rsidRDefault="00F204AF" w:rsidP="00F204AF">
      <w:pPr>
        <w:jc w:val="center"/>
        <w:rPr>
          <w:b/>
          <w:bCs/>
        </w:rPr>
      </w:pPr>
    </w:p>
    <w:p w:rsidR="00A5717E" w:rsidRDefault="00F204AF" w:rsidP="00146B86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b/>
          <w:bCs/>
        </w:rPr>
        <w:t xml:space="preserve">VISTO: </w:t>
      </w:r>
      <w:r>
        <w:rPr>
          <w:rFonts w:cs="Arial"/>
          <w:lang w:val="es-MX"/>
        </w:rPr>
        <w:t xml:space="preserve">los antecedentes remitidos por la Presidencia de la República, relacionados con  </w:t>
      </w:r>
      <w:r w:rsidR="00A5717E">
        <w:rPr>
          <w:rFonts w:cs="Arial"/>
          <w:lang w:val="es-MX"/>
        </w:rPr>
        <w:t>el Proyecto “Producción ganadera climáticamente inteligente y restauración del suelo en pastizales uruguayos”</w:t>
      </w:r>
      <w:r w:rsidR="00A5717E" w:rsidRPr="00A5717E">
        <w:rPr>
          <w:rFonts w:cs="Arial"/>
          <w:lang w:val="es-MX"/>
        </w:rPr>
        <w:t xml:space="preserve"> </w:t>
      </w:r>
      <w:r w:rsidR="00A5717E">
        <w:rPr>
          <w:rFonts w:cs="Arial"/>
          <w:lang w:val="es-MX"/>
        </w:rPr>
        <w:t>(GCP/URU/034/GFF)</w:t>
      </w:r>
      <w:r w:rsidR="00170E7E">
        <w:rPr>
          <w:rFonts w:cs="Arial"/>
          <w:lang w:val="es-MX"/>
        </w:rPr>
        <w:t>,</w:t>
      </w:r>
      <w:r w:rsidR="00A5717E">
        <w:rPr>
          <w:rFonts w:cs="Arial"/>
          <w:lang w:val="es-MX"/>
        </w:rPr>
        <w:t xml:space="preserve"> y </w:t>
      </w:r>
      <w:r w:rsidR="003A42CE">
        <w:rPr>
          <w:rFonts w:cs="Arial"/>
          <w:lang w:val="es-MX"/>
        </w:rPr>
        <w:t>el acuerdo  a celebrar  por</w:t>
      </w:r>
      <w:r>
        <w:rPr>
          <w:rFonts w:cs="Arial"/>
          <w:lang w:val="es-MX"/>
        </w:rPr>
        <w:t xml:space="preserve"> la Organización de las </w:t>
      </w:r>
      <w:r w:rsidR="00656409">
        <w:rPr>
          <w:rFonts w:cs="Arial"/>
          <w:lang w:val="es-MX"/>
        </w:rPr>
        <w:t>Naciones</w:t>
      </w:r>
      <w:r>
        <w:rPr>
          <w:rFonts w:cs="Arial"/>
          <w:lang w:val="es-MX"/>
        </w:rPr>
        <w:t xml:space="preserve"> Unidas </w:t>
      </w:r>
      <w:r w:rsidR="00E415B3">
        <w:rPr>
          <w:rFonts w:cs="Arial"/>
          <w:lang w:val="es-MX"/>
        </w:rPr>
        <w:t>para</w:t>
      </w:r>
      <w:r>
        <w:rPr>
          <w:rFonts w:cs="Arial"/>
          <w:lang w:val="es-MX"/>
        </w:rPr>
        <w:t xml:space="preserve"> la </w:t>
      </w:r>
      <w:r w:rsidR="00E415B3">
        <w:rPr>
          <w:rFonts w:cs="Arial"/>
          <w:lang w:val="es-MX"/>
        </w:rPr>
        <w:t>Alimentación</w:t>
      </w:r>
      <w:r>
        <w:rPr>
          <w:rFonts w:cs="Arial"/>
          <w:lang w:val="es-MX"/>
        </w:rPr>
        <w:t xml:space="preserve"> y la Agricultura (FAO) y la Agencia </w:t>
      </w:r>
      <w:r w:rsidR="00E415B3">
        <w:rPr>
          <w:rFonts w:cs="Arial"/>
          <w:lang w:val="es-MX"/>
        </w:rPr>
        <w:t>Uruguay</w:t>
      </w:r>
      <w:r w:rsidR="00A5717E">
        <w:rPr>
          <w:rFonts w:cs="Arial"/>
          <w:lang w:val="es-MX"/>
        </w:rPr>
        <w:t>a</w:t>
      </w:r>
      <w:r>
        <w:rPr>
          <w:rFonts w:cs="Arial"/>
          <w:lang w:val="es-MX"/>
        </w:rPr>
        <w:t xml:space="preserve"> de </w:t>
      </w:r>
      <w:r w:rsidR="00E415B3">
        <w:rPr>
          <w:rFonts w:cs="Arial"/>
          <w:lang w:val="es-MX"/>
        </w:rPr>
        <w:t>Cooperación</w:t>
      </w:r>
      <w:r>
        <w:rPr>
          <w:rFonts w:cs="Arial"/>
          <w:lang w:val="es-MX"/>
        </w:rPr>
        <w:t xml:space="preserve"> Internacional (AUCI)</w:t>
      </w:r>
      <w:r w:rsidR="00170E7E">
        <w:rPr>
          <w:rFonts w:cs="Arial"/>
          <w:lang w:val="es-MX"/>
        </w:rPr>
        <w:t>,</w:t>
      </w:r>
      <w:r>
        <w:rPr>
          <w:rFonts w:cs="Arial"/>
          <w:lang w:val="es-MX"/>
        </w:rPr>
        <w:t xml:space="preserve"> referido a la </w:t>
      </w:r>
      <w:r w:rsidR="00E415B3">
        <w:rPr>
          <w:rFonts w:cs="Arial"/>
          <w:lang w:val="es-MX"/>
        </w:rPr>
        <w:t>ejecución</w:t>
      </w:r>
      <w:r>
        <w:rPr>
          <w:rFonts w:cs="Arial"/>
          <w:lang w:val="es-MX"/>
        </w:rPr>
        <w:t xml:space="preserve"> del </w:t>
      </w:r>
      <w:r w:rsidR="00A5717E">
        <w:rPr>
          <w:rFonts w:cs="Arial"/>
          <w:lang w:val="es-MX"/>
        </w:rPr>
        <w:t>mismo;</w:t>
      </w:r>
    </w:p>
    <w:p w:rsidR="00E415B3" w:rsidRDefault="00F204AF" w:rsidP="00146B86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b/>
          <w:bCs/>
        </w:rPr>
        <w:t>RESULTANDO:</w:t>
      </w:r>
      <w:r>
        <w:t xml:space="preserve"> </w:t>
      </w:r>
      <w:r>
        <w:rPr>
          <w:b/>
        </w:rPr>
        <w:t>1)</w:t>
      </w:r>
      <w:r>
        <w:t xml:space="preserve"> que la </w:t>
      </w:r>
      <w:r w:rsidR="00E415B3">
        <w:t>Presidencia</w:t>
      </w:r>
      <w:r>
        <w:t xml:space="preserve"> de la </w:t>
      </w:r>
      <w:r w:rsidR="00E415B3">
        <w:t>República</w:t>
      </w:r>
      <w:r>
        <w:t xml:space="preserve"> remite para su intervención, un acuerdo  </w:t>
      </w:r>
      <w:r w:rsidR="003A42CE">
        <w:rPr>
          <w:rFonts w:cs="Arial"/>
          <w:lang w:val="es-MX"/>
        </w:rPr>
        <w:t xml:space="preserve">a celebrar  por  la FAO  con </w:t>
      </w:r>
      <w:r>
        <w:rPr>
          <w:rFonts w:cs="Arial"/>
          <w:lang w:val="es-MX"/>
        </w:rPr>
        <w:t>la AUC</w:t>
      </w:r>
      <w:r w:rsidR="003A42CE">
        <w:rPr>
          <w:rFonts w:cs="Arial"/>
          <w:lang w:val="es-MX"/>
        </w:rPr>
        <w:t>I, con el objeto de establecer</w:t>
      </w:r>
      <w:r w:rsidR="00E415B3">
        <w:rPr>
          <w:rFonts w:cs="Arial"/>
          <w:lang w:val="es-MX"/>
        </w:rPr>
        <w:t xml:space="preserve"> las condiciones básicas bajo las </w:t>
      </w:r>
      <w:r w:rsidR="008E06E0">
        <w:rPr>
          <w:rFonts w:cs="Arial"/>
          <w:lang w:val="es-MX"/>
        </w:rPr>
        <w:t>que</w:t>
      </w:r>
      <w:r w:rsidR="00E415B3">
        <w:rPr>
          <w:rFonts w:cs="Arial"/>
          <w:lang w:val="es-MX"/>
        </w:rPr>
        <w:t xml:space="preserve"> la FAO proporcionará asistencia al Gobierno de la </w:t>
      </w:r>
      <w:r w:rsidR="00656409">
        <w:rPr>
          <w:rFonts w:cs="Arial"/>
          <w:lang w:val="es-MX"/>
        </w:rPr>
        <w:t>República</w:t>
      </w:r>
      <w:r w:rsidR="00E415B3">
        <w:rPr>
          <w:rFonts w:cs="Arial"/>
          <w:lang w:val="es-MX"/>
        </w:rPr>
        <w:t xml:space="preserve"> Oriental del Uruguay</w:t>
      </w:r>
      <w:r w:rsidR="00170E7E">
        <w:rPr>
          <w:rFonts w:cs="Arial"/>
          <w:lang w:val="es-MX"/>
        </w:rPr>
        <w:t>,</w:t>
      </w:r>
      <w:r w:rsidR="00E415B3">
        <w:rPr>
          <w:rFonts w:cs="Arial"/>
          <w:lang w:val="es-MX"/>
        </w:rPr>
        <w:t xml:space="preserve"> para la ejecución del Proyecto “Producción ganadera climáticamente inteligente y restauración del suelo en pastizales uruguayos” (GCP/URU/034/GFF);</w:t>
      </w:r>
    </w:p>
    <w:p w:rsidR="00146B86" w:rsidRDefault="007953E6" w:rsidP="00146B86">
      <w:pPr>
        <w:spacing w:line="360" w:lineRule="auto"/>
        <w:ind w:firstLine="2694"/>
        <w:jc w:val="both"/>
        <w:rPr>
          <w:rFonts w:cs="Arial"/>
          <w:lang w:val="es-MX"/>
        </w:rPr>
      </w:pPr>
      <w:r w:rsidRPr="004C347C">
        <w:rPr>
          <w:rFonts w:cs="Arial"/>
          <w:b/>
          <w:lang w:val="es-MX"/>
        </w:rPr>
        <w:t>2</w:t>
      </w:r>
      <w:r w:rsidR="00EC61D5" w:rsidRPr="004C347C">
        <w:rPr>
          <w:rFonts w:cs="Arial"/>
          <w:b/>
          <w:lang w:val="es-MX"/>
        </w:rPr>
        <w:t>)</w:t>
      </w:r>
      <w:r w:rsidR="00EC61D5">
        <w:rPr>
          <w:rFonts w:cs="Arial"/>
          <w:lang w:val="es-MX"/>
        </w:rPr>
        <w:t xml:space="preserve"> </w:t>
      </w:r>
      <w:r w:rsidR="003A42CE">
        <w:rPr>
          <w:rFonts w:cs="Arial"/>
          <w:lang w:val="es-MX"/>
        </w:rPr>
        <w:t xml:space="preserve">que </w:t>
      </w:r>
      <w:r w:rsidR="00170E7E">
        <w:rPr>
          <w:rFonts w:cs="Arial"/>
          <w:lang w:val="es-MX"/>
        </w:rPr>
        <w:t xml:space="preserve">se remite </w:t>
      </w:r>
      <w:r>
        <w:rPr>
          <w:rFonts w:cs="Arial"/>
          <w:lang w:val="es-MX"/>
        </w:rPr>
        <w:t>el Proyecto GCP/URU/034/GFF</w:t>
      </w:r>
      <w:r w:rsidR="00C96304">
        <w:rPr>
          <w:rFonts w:cs="Arial"/>
          <w:lang w:val="es-MX"/>
        </w:rPr>
        <w:t>,</w:t>
      </w:r>
      <w:r w:rsidR="003A42CE">
        <w:rPr>
          <w:rFonts w:cs="Arial"/>
          <w:lang w:val="es-MX"/>
        </w:rPr>
        <w:t xml:space="preserve"> destinado a </w:t>
      </w:r>
      <w:r>
        <w:rPr>
          <w:rFonts w:cs="Arial"/>
          <w:lang w:val="es-MX"/>
        </w:rPr>
        <w:t xml:space="preserve">mitigar el cambio climático y restaurar </w:t>
      </w:r>
      <w:r w:rsidR="00656409">
        <w:rPr>
          <w:rFonts w:cs="Arial"/>
          <w:lang w:val="es-MX"/>
        </w:rPr>
        <w:t>tierras</w:t>
      </w:r>
      <w:r>
        <w:rPr>
          <w:rFonts w:cs="Arial"/>
          <w:lang w:val="es-MX"/>
        </w:rPr>
        <w:t xml:space="preserve"> degradadas a través de la </w:t>
      </w:r>
      <w:r w:rsidR="00656409">
        <w:rPr>
          <w:rFonts w:cs="Arial"/>
          <w:lang w:val="es-MX"/>
        </w:rPr>
        <w:t>promoción</w:t>
      </w:r>
      <w:r>
        <w:rPr>
          <w:rFonts w:cs="Arial"/>
          <w:lang w:val="es-MX"/>
        </w:rPr>
        <w:t xml:space="preserve"> de prácticas </w:t>
      </w:r>
      <w:r w:rsidR="00656409">
        <w:rPr>
          <w:rFonts w:cs="Arial"/>
          <w:lang w:val="es-MX"/>
        </w:rPr>
        <w:t>climáticamente</w:t>
      </w:r>
      <w:r>
        <w:rPr>
          <w:rFonts w:cs="Arial"/>
          <w:lang w:val="es-MX"/>
        </w:rPr>
        <w:t xml:space="preserve"> inteligentes en el sector </w:t>
      </w:r>
      <w:r w:rsidR="00656409">
        <w:rPr>
          <w:rFonts w:cs="Arial"/>
          <w:lang w:val="es-MX"/>
        </w:rPr>
        <w:t>ganadero</w:t>
      </w:r>
      <w:r>
        <w:rPr>
          <w:rFonts w:cs="Arial"/>
          <w:lang w:val="es-MX"/>
        </w:rPr>
        <w:t>, con énfasis en la p</w:t>
      </w:r>
      <w:r w:rsidR="003A42CE">
        <w:rPr>
          <w:rFonts w:cs="Arial"/>
          <w:lang w:val="es-MX"/>
        </w:rPr>
        <w:t>roducción familiar. Dicho Proyecto</w:t>
      </w:r>
      <w:r>
        <w:rPr>
          <w:rFonts w:cs="Arial"/>
          <w:lang w:val="es-MX"/>
        </w:rPr>
        <w:t xml:space="preserve"> está </w:t>
      </w:r>
      <w:r w:rsidR="00656409">
        <w:rPr>
          <w:rFonts w:cs="Arial"/>
          <w:lang w:val="es-MX"/>
        </w:rPr>
        <w:t>estructurado</w:t>
      </w:r>
      <w:r>
        <w:rPr>
          <w:rFonts w:cs="Arial"/>
          <w:lang w:val="es-MX"/>
        </w:rPr>
        <w:t xml:space="preserve"> en 3 componentes que conjuntamente contribuye</w:t>
      </w:r>
      <w:r w:rsidR="003A42CE">
        <w:rPr>
          <w:rFonts w:cs="Arial"/>
          <w:lang w:val="es-MX"/>
        </w:rPr>
        <w:t>n al cumplimiento de dicho objetivo. El primero refiere a</w:t>
      </w:r>
      <w:r>
        <w:rPr>
          <w:rFonts w:cs="Arial"/>
          <w:lang w:val="es-MX"/>
        </w:rPr>
        <w:t>l fortalecimi</w:t>
      </w:r>
      <w:r w:rsidR="00656409">
        <w:rPr>
          <w:rFonts w:cs="Arial"/>
          <w:lang w:val="es-MX"/>
        </w:rPr>
        <w:t>e</w:t>
      </w:r>
      <w:r>
        <w:rPr>
          <w:rFonts w:cs="Arial"/>
          <w:lang w:val="es-MX"/>
        </w:rPr>
        <w:t>n</w:t>
      </w:r>
      <w:r w:rsidR="00656409">
        <w:rPr>
          <w:rFonts w:cs="Arial"/>
          <w:lang w:val="es-MX"/>
        </w:rPr>
        <w:t>t</w:t>
      </w:r>
      <w:r>
        <w:rPr>
          <w:rFonts w:cs="Arial"/>
          <w:lang w:val="es-MX"/>
        </w:rPr>
        <w:t xml:space="preserve">o del </w:t>
      </w:r>
      <w:r w:rsidR="00656409">
        <w:rPr>
          <w:rFonts w:cs="Arial"/>
          <w:lang w:val="es-MX"/>
        </w:rPr>
        <w:t>marco</w:t>
      </w:r>
      <w:r>
        <w:rPr>
          <w:rFonts w:cs="Arial"/>
          <w:lang w:val="es-MX"/>
        </w:rPr>
        <w:t xml:space="preserve"> institucional de </w:t>
      </w:r>
      <w:r w:rsidR="00656409">
        <w:rPr>
          <w:rFonts w:cs="Arial"/>
          <w:lang w:val="es-MX"/>
        </w:rPr>
        <w:t>las capacidades nacionales</w:t>
      </w:r>
      <w:r>
        <w:rPr>
          <w:rFonts w:cs="Arial"/>
          <w:lang w:val="es-MX"/>
        </w:rPr>
        <w:t xml:space="preserve"> para implementar la </w:t>
      </w:r>
      <w:r w:rsidR="00656409">
        <w:rPr>
          <w:rFonts w:cs="Arial"/>
          <w:lang w:val="es-MX"/>
        </w:rPr>
        <w:t>gestión</w:t>
      </w:r>
      <w:r>
        <w:rPr>
          <w:rFonts w:cs="Arial"/>
          <w:lang w:val="es-MX"/>
        </w:rPr>
        <w:t xml:space="preserve"> de la ganadería </w:t>
      </w:r>
      <w:r w:rsidR="00656409">
        <w:rPr>
          <w:rFonts w:cs="Arial"/>
          <w:lang w:val="es-MX"/>
        </w:rPr>
        <w:t>climáticamente</w:t>
      </w:r>
      <w:r>
        <w:rPr>
          <w:rFonts w:cs="Arial"/>
          <w:lang w:val="es-MX"/>
        </w:rPr>
        <w:t xml:space="preserve"> </w:t>
      </w:r>
      <w:r w:rsidR="00656409">
        <w:rPr>
          <w:rFonts w:cs="Arial"/>
          <w:lang w:val="es-MX"/>
        </w:rPr>
        <w:t>inteligente</w:t>
      </w:r>
      <w:r>
        <w:rPr>
          <w:rFonts w:cs="Arial"/>
          <w:lang w:val="es-MX"/>
        </w:rPr>
        <w:t xml:space="preserve"> (GGCI) a </w:t>
      </w:r>
      <w:r w:rsidR="00656409">
        <w:rPr>
          <w:rFonts w:cs="Arial"/>
          <w:lang w:val="es-MX"/>
        </w:rPr>
        <w:t>escala</w:t>
      </w:r>
      <w:r w:rsidR="00170E7E">
        <w:rPr>
          <w:rFonts w:cs="Arial"/>
          <w:lang w:val="es-MX"/>
        </w:rPr>
        <w:t>; e</w:t>
      </w:r>
      <w:r w:rsidR="003A42CE">
        <w:rPr>
          <w:rFonts w:cs="Arial"/>
          <w:lang w:val="es-MX"/>
        </w:rPr>
        <w:t>l segundo, al</w:t>
      </w:r>
      <w:r>
        <w:rPr>
          <w:rFonts w:cs="Arial"/>
          <w:lang w:val="es-MX"/>
        </w:rPr>
        <w:t xml:space="preserve"> desarrollo e </w:t>
      </w:r>
      <w:r w:rsidR="00656409">
        <w:rPr>
          <w:rFonts w:cs="Arial"/>
          <w:lang w:val="es-MX"/>
        </w:rPr>
        <w:t>implementación</w:t>
      </w:r>
      <w:r>
        <w:rPr>
          <w:rFonts w:cs="Arial"/>
          <w:lang w:val="es-MX"/>
        </w:rPr>
        <w:t xml:space="preserve"> de las </w:t>
      </w:r>
      <w:r w:rsidR="00656409">
        <w:rPr>
          <w:rFonts w:cs="Arial"/>
          <w:lang w:val="es-MX"/>
        </w:rPr>
        <w:t>prácticas</w:t>
      </w:r>
      <w:r>
        <w:rPr>
          <w:rFonts w:cs="Arial"/>
          <w:lang w:val="es-MX"/>
        </w:rPr>
        <w:t xml:space="preserve"> </w:t>
      </w:r>
      <w:r w:rsidR="00656409">
        <w:rPr>
          <w:rFonts w:cs="Arial"/>
          <w:lang w:val="es-MX"/>
        </w:rPr>
        <w:t>tecnológicas</w:t>
      </w:r>
      <w:r>
        <w:rPr>
          <w:rFonts w:cs="Arial"/>
          <w:lang w:val="es-MX"/>
        </w:rPr>
        <w:t xml:space="preserve"> de la GGCI a nivel de terreno</w:t>
      </w:r>
      <w:r w:rsidR="00170E7E">
        <w:rPr>
          <w:rFonts w:cs="Arial"/>
          <w:lang w:val="es-MX"/>
        </w:rPr>
        <w:t>, y e</w:t>
      </w:r>
      <w:r w:rsidR="003A42CE">
        <w:rPr>
          <w:rFonts w:cs="Arial"/>
          <w:lang w:val="es-MX"/>
        </w:rPr>
        <w:t>l tercero a</w:t>
      </w:r>
      <w:r w:rsidR="00EC61D5">
        <w:rPr>
          <w:rFonts w:cs="Arial"/>
          <w:lang w:val="es-MX"/>
        </w:rPr>
        <w:t xml:space="preserve"> la </w:t>
      </w:r>
      <w:r w:rsidR="00656409">
        <w:rPr>
          <w:rFonts w:cs="Arial"/>
          <w:lang w:val="es-MX"/>
        </w:rPr>
        <w:t>evaluación</w:t>
      </w:r>
      <w:r w:rsidR="00EC61D5">
        <w:rPr>
          <w:rFonts w:cs="Arial"/>
          <w:lang w:val="es-MX"/>
        </w:rPr>
        <w:t xml:space="preserve"> y el </w:t>
      </w:r>
      <w:r w:rsidR="00656409">
        <w:rPr>
          <w:rFonts w:cs="Arial"/>
          <w:lang w:val="es-MX"/>
        </w:rPr>
        <w:t>intercambio</w:t>
      </w:r>
      <w:r w:rsidR="00EC61D5">
        <w:rPr>
          <w:rFonts w:cs="Arial"/>
          <w:lang w:val="es-MX"/>
        </w:rPr>
        <w:t xml:space="preserve"> de </w:t>
      </w:r>
      <w:r w:rsidR="00656409">
        <w:rPr>
          <w:rFonts w:cs="Arial"/>
          <w:lang w:val="es-MX"/>
        </w:rPr>
        <w:t>conocimientos</w:t>
      </w:r>
      <w:r w:rsidR="00EC61D5">
        <w:rPr>
          <w:rFonts w:cs="Arial"/>
          <w:lang w:val="es-MX"/>
        </w:rPr>
        <w:t>;</w:t>
      </w:r>
    </w:p>
    <w:p w:rsidR="00146B86" w:rsidRDefault="00EC61D5" w:rsidP="00146B86">
      <w:pPr>
        <w:spacing w:line="360" w:lineRule="auto"/>
        <w:ind w:firstLine="2694"/>
        <w:jc w:val="both"/>
        <w:rPr>
          <w:rFonts w:cs="Arial"/>
          <w:lang w:val="es-MX"/>
        </w:rPr>
      </w:pPr>
      <w:r w:rsidRPr="004C347C">
        <w:rPr>
          <w:rFonts w:cs="Arial"/>
          <w:b/>
          <w:lang w:val="es-MX"/>
        </w:rPr>
        <w:t>3)</w:t>
      </w:r>
      <w:r>
        <w:rPr>
          <w:rFonts w:cs="Arial"/>
          <w:lang w:val="es-MX"/>
        </w:rPr>
        <w:t xml:space="preserve"> que según</w:t>
      </w:r>
      <w:r w:rsidR="003A42CE">
        <w:rPr>
          <w:rFonts w:cs="Arial"/>
          <w:lang w:val="es-MX"/>
        </w:rPr>
        <w:t xml:space="preserve"> </w:t>
      </w:r>
      <w:r w:rsidR="00656409">
        <w:rPr>
          <w:rFonts w:cs="Arial"/>
          <w:lang w:val="es-MX"/>
        </w:rPr>
        <w:t>el fi</w:t>
      </w:r>
      <w:r>
        <w:rPr>
          <w:rFonts w:cs="Arial"/>
          <w:lang w:val="es-MX"/>
        </w:rPr>
        <w:t>n</w:t>
      </w:r>
      <w:r w:rsidR="00656409">
        <w:rPr>
          <w:rFonts w:cs="Arial"/>
          <w:lang w:val="es-MX"/>
        </w:rPr>
        <w:t>an</w:t>
      </w:r>
      <w:r>
        <w:rPr>
          <w:rFonts w:cs="Arial"/>
          <w:lang w:val="es-MX"/>
        </w:rPr>
        <w:t>ci</w:t>
      </w:r>
      <w:r w:rsidR="00656409">
        <w:rPr>
          <w:rFonts w:cs="Arial"/>
          <w:lang w:val="es-MX"/>
        </w:rPr>
        <w:t>a</w:t>
      </w:r>
      <w:r>
        <w:rPr>
          <w:rFonts w:cs="Arial"/>
          <w:lang w:val="es-MX"/>
        </w:rPr>
        <w:t>m</w:t>
      </w:r>
      <w:r w:rsidR="00656409">
        <w:rPr>
          <w:rFonts w:cs="Arial"/>
          <w:lang w:val="es-MX"/>
        </w:rPr>
        <w:t>ie</w:t>
      </w:r>
      <w:r>
        <w:rPr>
          <w:rFonts w:cs="Arial"/>
          <w:lang w:val="es-MX"/>
        </w:rPr>
        <w:t xml:space="preserve">nto total del </w:t>
      </w:r>
      <w:r w:rsidR="003A42CE">
        <w:rPr>
          <w:rFonts w:cs="Arial"/>
          <w:lang w:val="es-MX"/>
        </w:rPr>
        <w:t>Proyecto</w:t>
      </w:r>
      <w:r w:rsidR="00C96304">
        <w:rPr>
          <w:rFonts w:cs="Arial"/>
          <w:lang w:val="es-MX"/>
        </w:rPr>
        <w:t xml:space="preserve"> </w:t>
      </w:r>
      <w:r w:rsidR="00656409">
        <w:rPr>
          <w:rFonts w:cs="Arial"/>
          <w:lang w:val="es-MX"/>
        </w:rPr>
        <w:t>asci</w:t>
      </w:r>
      <w:r>
        <w:rPr>
          <w:rFonts w:cs="Arial"/>
          <w:lang w:val="es-MX"/>
        </w:rPr>
        <w:t>en</w:t>
      </w:r>
      <w:r w:rsidR="00656409">
        <w:rPr>
          <w:rFonts w:cs="Arial"/>
          <w:lang w:val="es-MX"/>
        </w:rPr>
        <w:t>de</w:t>
      </w:r>
      <w:r>
        <w:rPr>
          <w:rFonts w:cs="Arial"/>
          <w:lang w:val="es-MX"/>
        </w:rPr>
        <w:t xml:space="preserve"> a </w:t>
      </w:r>
      <w:r w:rsidR="003A42CE">
        <w:rPr>
          <w:rFonts w:cs="Arial"/>
          <w:lang w:val="es-MX"/>
        </w:rPr>
        <w:t>las suma total de U$S 16.333.348 para los</w:t>
      </w:r>
      <w:r>
        <w:rPr>
          <w:rFonts w:cs="Arial"/>
          <w:lang w:val="es-MX"/>
        </w:rPr>
        <w:t xml:space="preserve"> cuatro años  de </w:t>
      </w:r>
      <w:r w:rsidR="00656409">
        <w:rPr>
          <w:rFonts w:cs="Arial"/>
          <w:lang w:val="es-MX"/>
        </w:rPr>
        <w:t>implementación</w:t>
      </w:r>
      <w:r>
        <w:rPr>
          <w:rFonts w:cs="Arial"/>
          <w:lang w:val="es-MX"/>
        </w:rPr>
        <w:t xml:space="preserve">, de </w:t>
      </w:r>
      <w:r>
        <w:rPr>
          <w:rFonts w:cs="Arial"/>
          <w:lang w:val="es-MX"/>
        </w:rPr>
        <w:lastRenderedPageBreak/>
        <w:t xml:space="preserve">los cuales </w:t>
      </w:r>
      <w:r w:rsidR="000A5238">
        <w:rPr>
          <w:rFonts w:cs="Arial"/>
          <w:lang w:val="es-MX"/>
        </w:rPr>
        <w:t>U$S  2.091.781 son aportado</w:t>
      </w:r>
      <w:r w:rsidR="002608D4">
        <w:rPr>
          <w:rFonts w:cs="Arial"/>
          <w:lang w:val="es-MX"/>
        </w:rPr>
        <w:t>s</w:t>
      </w:r>
      <w:r w:rsidR="000A5238">
        <w:rPr>
          <w:rFonts w:cs="Arial"/>
          <w:lang w:val="es-MX"/>
        </w:rPr>
        <w:t xml:space="preserve"> por Fondo para el Medio Ambiente Mundial</w:t>
      </w:r>
      <w:r w:rsidR="008E06E0">
        <w:rPr>
          <w:rFonts w:cs="Arial"/>
          <w:lang w:val="es-MX"/>
        </w:rPr>
        <w:t>,</w:t>
      </w:r>
      <w:r w:rsidR="000A5238">
        <w:rPr>
          <w:rFonts w:cs="Arial"/>
          <w:lang w:val="es-MX"/>
        </w:rPr>
        <w:t xml:space="preserve"> y </w:t>
      </w:r>
      <w:r>
        <w:rPr>
          <w:rFonts w:cs="Arial"/>
          <w:lang w:val="es-MX"/>
        </w:rPr>
        <w:t xml:space="preserve">U$S 14.241.567 </w:t>
      </w:r>
      <w:r w:rsidR="000A5238">
        <w:rPr>
          <w:rFonts w:cs="Arial"/>
          <w:lang w:val="es-MX"/>
        </w:rPr>
        <w:t>son</w:t>
      </w:r>
      <w:r>
        <w:rPr>
          <w:rFonts w:cs="Arial"/>
          <w:lang w:val="es-MX"/>
        </w:rPr>
        <w:t xml:space="preserve"> </w:t>
      </w:r>
      <w:r w:rsidR="00656409">
        <w:rPr>
          <w:rFonts w:cs="Arial"/>
          <w:lang w:val="es-MX"/>
        </w:rPr>
        <w:t>cofinanciados</w:t>
      </w:r>
      <w:r>
        <w:rPr>
          <w:rFonts w:cs="Arial"/>
          <w:lang w:val="es-MX"/>
        </w:rPr>
        <w:t xml:space="preserve"> </w:t>
      </w:r>
      <w:r w:rsidR="00E6254A">
        <w:rPr>
          <w:rFonts w:cs="Arial"/>
          <w:lang w:val="es-MX"/>
        </w:rPr>
        <w:t xml:space="preserve">(en especie y en </w:t>
      </w:r>
      <w:r w:rsidR="00C96304">
        <w:rPr>
          <w:rFonts w:cs="Arial"/>
          <w:lang w:val="es-MX"/>
        </w:rPr>
        <w:t>efectivo</w:t>
      </w:r>
      <w:r w:rsidR="00E6254A">
        <w:rPr>
          <w:rFonts w:cs="Arial"/>
          <w:lang w:val="es-MX"/>
        </w:rPr>
        <w:t xml:space="preserve">) </w:t>
      </w:r>
      <w:r>
        <w:rPr>
          <w:rFonts w:cs="Arial"/>
          <w:lang w:val="es-MX"/>
        </w:rPr>
        <w:t xml:space="preserve">por el Ministerio de </w:t>
      </w:r>
      <w:r w:rsidR="00656409">
        <w:rPr>
          <w:rFonts w:cs="Arial"/>
          <w:lang w:val="es-MX"/>
        </w:rPr>
        <w:t>Ganadería</w:t>
      </w:r>
      <w:r>
        <w:rPr>
          <w:rFonts w:cs="Arial"/>
          <w:lang w:val="es-MX"/>
        </w:rPr>
        <w:t>, Agricultura y Pesca</w:t>
      </w:r>
      <w:r w:rsidR="00C96304">
        <w:rPr>
          <w:rFonts w:cs="Arial"/>
          <w:lang w:val="es-MX"/>
        </w:rPr>
        <w:t xml:space="preserve"> (MGAP)</w:t>
      </w:r>
      <w:r>
        <w:rPr>
          <w:rFonts w:cs="Arial"/>
          <w:lang w:val="es-MX"/>
        </w:rPr>
        <w:t xml:space="preserve">, el </w:t>
      </w:r>
      <w:r w:rsidR="00656409">
        <w:rPr>
          <w:rFonts w:cs="Arial"/>
          <w:lang w:val="es-MX"/>
        </w:rPr>
        <w:t>Ministerio</w:t>
      </w:r>
      <w:r>
        <w:rPr>
          <w:rFonts w:cs="Arial"/>
          <w:lang w:val="es-MX"/>
        </w:rPr>
        <w:t xml:space="preserve"> de Vivienda, </w:t>
      </w:r>
      <w:r w:rsidR="00656409">
        <w:rPr>
          <w:rFonts w:cs="Arial"/>
          <w:lang w:val="es-MX"/>
        </w:rPr>
        <w:t>Ordenamiento</w:t>
      </w:r>
      <w:r>
        <w:rPr>
          <w:rFonts w:cs="Arial"/>
          <w:lang w:val="es-MX"/>
        </w:rPr>
        <w:t xml:space="preserve"> Territorial y Medio Ambiente</w:t>
      </w:r>
      <w:r w:rsidR="00C96304">
        <w:rPr>
          <w:rFonts w:cs="Arial"/>
          <w:lang w:val="es-MX"/>
        </w:rPr>
        <w:t xml:space="preserve"> (MVOTMA)</w:t>
      </w:r>
      <w:r>
        <w:rPr>
          <w:rFonts w:cs="Arial"/>
          <w:lang w:val="es-MX"/>
        </w:rPr>
        <w:t xml:space="preserve">, el </w:t>
      </w:r>
      <w:r w:rsidR="00656409">
        <w:rPr>
          <w:rFonts w:cs="Arial"/>
          <w:lang w:val="es-MX"/>
        </w:rPr>
        <w:t>Instituto</w:t>
      </w:r>
      <w:r>
        <w:rPr>
          <w:rFonts w:cs="Arial"/>
          <w:lang w:val="es-MX"/>
        </w:rPr>
        <w:t xml:space="preserve"> Nacional de </w:t>
      </w:r>
      <w:r w:rsidR="00656409">
        <w:rPr>
          <w:rFonts w:cs="Arial"/>
          <w:lang w:val="es-MX"/>
        </w:rPr>
        <w:t>Investigación</w:t>
      </w:r>
      <w:r>
        <w:rPr>
          <w:rFonts w:cs="Arial"/>
          <w:lang w:val="es-MX"/>
        </w:rPr>
        <w:t xml:space="preserve"> </w:t>
      </w:r>
      <w:r w:rsidR="00656409">
        <w:rPr>
          <w:rFonts w:cs="Arial"/>
          <w:lang w:val="es-MX"/>
        </w:rPr>
        <w:t>Agropecuaria</w:t>
      </w:r>
      <w:r w:rsidR="00C96304">
        <w:rPr>
          <w:rFonts w:cs="Arial"/>
          <w:lang w:val="es-MX"/>
        </w:rPr>
        <w:t xml:space="preserve"> (INIA)</w:t>
      </w:r>
      <w:r>
        <w:rPr>
          <w:rFonts w:cs="Arial"/>
          <w:lang w:val="es-MX"/>
        </w:rPr>
        <w:t>, la Universidad de la República</w:t>
      </w:r>
      <w:r w:rsidR="00C96304">
        <w:rPr>
          <w:rFonts w:cs="Arial"/>
          <w:lang w:val="es-MX"/>
        </w:rPr>
        <w:t xml:space="preserve"> (UDELAR)</w:t>
      </w:r>
      <w:r>
        <w:rPr>
          <w:rFonts w:cs="Arial"/>
          <w:lang w:val="es-MX"/>
        </w:rPr>
        <w:t xml:space="preserve">, la Federación Rural del </w:t>
      </w:r>
      <w:r w:rsidR="00656409">
        <w:rPr>
          <w:rFonts w:cs="Arial"/>
          <w:lang w:val="es-MX"/>
        </w:rPr>
        <w:t>Uruguay</w:t>
      </w:r>
      <w:r w:rsidR="00C96304">
        <w:rPr>
          <w:rFonts w:cs="Arial"/>
          <w:lang w:val="es-MX"/>
        </w:rPr>
        <w:t xml:space="preserve"> (FRU)</w:t>
      </w:r>
      <w:r>
        <w:rPr>
          <w:rFonts w:cs="Arial"/>
          <w:lang w:val="es-MX"/>
        </w:rPr>
        <w:t>, el Instituto Plan Agropecuario</w:t>
      </w:r>
      <w:r w:rsidR="00C96304">
        <w:rPr>
          <w:rFonts w:cs="Arial"/>
          <w:lang w:val="es-MX"/>
        </w:rPr>
        <w:t xml:space="preserve"> (IPA)</w:t>
      </w:r>
      <w:r>
        <w:rPr>
          <w:rFonts w:cs="Arial"/>
          <w:lang w:val="es-MX"/>
        </w:rPr>
        <w:t xml:space="preserve">, la </w:t>
      </w:r>
      <w:r w:rsidR="00656409">
        <w:rPr>
          <w:rFonts w:cs="Arial"/>
          <w:lang w:val="es-MX"/>
        </w:rPr>
        <w:t>Coalición</w:t>
      </w:r>
      <w:r>
        <w:rPr>
          <w:rFonts w:cs="Arial"/>
          <w:lang w:val="es-MX"/>
        </w:rPr>
        <w:t xml:space="preserve"> Clima y Aire Limpio</w:t>
      </w:r>
      <w:r w:rsidR="00C96304">
        <w:rPr>
          <w:rFonts w:cs="Arial"/>
          <w:lang w:val="es-MX"/>
        </w:rPr>
        <w:t xml:space="preserve"> (CCA) </w:t>
      </w:r>
      <w:r>
        <w:rPr>
          <w:rFonts w:cs="Arial"/>
          <w:lang w:val="es-MX"/>
        </w:rPr>
        <w:t xml:space="preserve"> y la FAO</w:t>
      </w:r>
      <w:r w:rsidR="000A5238">
        <w:rPr>
          <w:rFonts w:cs="Arial"/>
          <w:lang w:val="es-MX"/>
        </w:rPr>
        <w:t>;</w:t>
      </w:r>
    </w:p>
    <w:p w:rsidR="00146B86" w:rsidRDefault="00E6254A" w:rsidP="00146B86">
      <w:pPr>
        <w:spacing w:line="360" w:lineRule="auto"/>
        <w:ind w:firstLine="2694"/>
        <w:jc w:val="both"/>
        <w:rPr>
          <w:rFonts w:cs="Arial"/>
          <w:lang w:val="es-MX"/>
        </w:rPr>
      </w:pPr>
      <w:r w:rsidRPr="00C96304">
        <w:rPr>
          <w:rFonts w:cs="Arial"/>
          <w:b/>
          <w:lang w:val="es-MX"/>
        </w:rPr>
        <w:t>4)</w:t>
      </w:r>
      <w:r>
        <w:rPr>
          <w:rFonts w:cs="Arial"/>
          <w:lang w:val="es-MX"/>
        </w:rPr>
        <w:t xml:space="preserve"> que se adjunta informe  de </w:t>
      </w:r>
      <w:r w:rsidR="00C96304">
        <w:rPr>
          <w:rFonts w:cs="Arial"/>
          <w:lang w:val="es-MX"/>
        </w:rPr>
        <w:t>disponibilidad</w:t>
      </w:r>
      <w:r>
        <w:rPr>
          <w:rFonts w:cs="Arial"/>
          <w:lang w:val="es-MX"/>
        </w:rPr>
        <w:t xml:space="preserve"> de la Unidad </w:t>
      </w:r>
      <w:r w:rsidR="00C96304">
        <w:rPr>
          <w:rFonts w:cs="Arial"/>
          <w:lang w:val="es-MX"/>
        </w:rPr>
        <w:t>Gestión</w:t>
      </w:r>
      <w:r>
        <w:rPr>
          <w:rFonts w:cs="Arial"/>
          <w:lang w:val="es-MX"/>
        </w:rPr>
        <w:t xml:space="preserve"> de </w:t>
      </w:r>
      <w:r w:rsidR="00C96304">
        <w:rPr>
          <w:rFonts w:cs="Arial"/>
          <w:lang w:val="es-MX"/>
        </w:rPr>
        <w:t>Proyectos</w:t>
      </w:r>
      <w:r w:rsidR="003A42CE">
        <w:rPr>
          <w:rFonts w:cs="Arial"/>
          <w:lang w:val="es-MX"/>
        </w:rPr>
        <w:t xml:space="preserve"> del MGAP, en el que se establece </w:t>
      </w:r>
      <w:r>
        <w:rPr>
          <w:rFonts w:cs="Arial"/>
          <w:lang w:val="es-MX"/>
        </w:rPr>
        <w:t xml:space="preserve">que el aporte de </w:t>
      </w:r>
      <w:r w:rsidR="00B872B2">
        <w:rPr>
          <w:rFonts w:cs="Arial"/>
          <w:lang w:val="es-MX"/>
        </w:rPr>
        <w:t xml:space="preserve">la </w:t>
      </w:r>
      <w:r w:rsidR="00C96304">
        <w:rPr>
          <w:rFonts w:cs="Arial"/>
          <w:lang w:val="es-MX"/>
        </w:rPr>
        <w:t>contrapartida</w:t>
      </w:r>
      <w:r w:rsidR="00B872B2">
        <w:rPr>
          <w:rFonts w:cs="Arial"/>
          <w:lang w:val="es-MX"/>
        </w:rPr>
        <w:t xml:space="preserve"> que corresponde a dicho Ministerio</w:t>
      </w:r>
      <w:r>
        <w:rPr>
          <w:rFonts w:cs="Arial"/>
          <w:lang w:val="es-MX"/>
        </w:rPr>
        <w:t xml:space="preserve"> en virtud del Proyecto mencionado</w:t>
      </w:r>
      <w:r w:rsidR="008E06E0">
        <w:rPr>
          <w:rFonts w:cs="Arial"/>
          <w:lang w:val="es-MX"/>
        </w:rPr>
        <w:t>,</w:t>
      </w:r>
      <w:r>
        <w:rPr>
          <w:rFonts w:cs="Arial"/>
          <w:lang w:val="es-MX"/>
        </w:rPr>
        <w:t xml:space="preserve">  </w:t>
      </w:r>
      <w:r w:rsidR="00C96304">
        <w:rPr>
          <w:rFonts w:cs="Arial"/>
          <w:lang w:val="es-MX"/>
        </w:rPr>
        <w:t>asciende</w:t>
      </w:r>
      <w:r>
        <w:rPr>
          <w:rFonts w:cs="Arial"/>
          <w:lang w:val="es-MX"/>
        </w:rPr>
        <w:t xml:space="preserve"> a un </w:t>
      </w:r>
      <w:r w:rsidR="00C96304">
        <w:rPr>
          <w:rFonts w:cs="Arial"/>
          <w:lang w:val="es-MX"/>
        </w:rPr>
        <w:t>total</w:t>
      </w:r>
      <w:r w:rsidR="00B872B2">
        <w:rPr>
          <w:rFonts w:cs="Arial"/>
          <w:lang w:val="es-MX"/>
        </w:rPr>
        <w:t xml:space="preserve"> de U$S 8.950.000, y se deja constancia de la existencia de</w:t>
      </w:r>
      <w:r>
        <w:rPr>
          <w:rFonts w:cs="Arial"/>
          <w:lang w:val="es-MX"/>
        </w:rPr>
        <w:t xml:space="preserve"> </w:t>
      </w:r>
      <w:r w:rsidR="00C96304">
        <w:rPr>
          <w:rFonts w:cs="Arial"/>
          <w:lang w:val="es-MX"/>
        </w:rPr>
        <w:t>recursos</w:t>
      </w:r>
      <w:r w:rsidR="00B872B2">
        <w:rPr>
          <w:rFonts w:cs="Arial"/>
          <w:lang w:val="es-MX"/>
        </w:rPr>
        <w:t xml:space="preserve"> para atender la</w:t>
      </w:r>
      <w:r>
        <w:rPr>
          <w:rFonts w:cs="Arial"/>
          <w:lang w:val="es-MX"/>
        </w:rPr>
        <w:t xml:space="preserve"> erogación. </w:t>
      </w:r>
      <w:r w:rsidR="008E06E0">
        <w:rPr>
          <w:rFonts w:cs="Arial"/>
          <w:lang w:val="es-MX"/>
        </w:rPr>
        <w:t>Se agrega asimismo</w:t>
      </w:r>
      <w:r>
        <w:rPr>
          <w:rFonts w:cs="Arial"/>
          <w:lang w:val="es-MX"/>
        </w:rPr>
        <w:t xml:space="preserve"> informe</w:t>
      </w:r>
      <w:r w:rsidR="00B872B2">
        <w:rPr>
          <w:rFonts w:cs="Arial"/>
          <w:lang w:val="es-MX"/>
        </w:rPr>
        <w:t xml:space="preserve"> de la AUCI </w:t>
      </w:r>
      <w:r>
        <w:rPr>
          <w:rFonts w:cs="Arial"/>
          <w:lang w:val="es-MX"/>
        </w:rPr>
        <w:t xml:space="preserve"> </w:t>
      </w:r>
      <w:r w:rsidR="00B872B2">
        <w:rPr>
          <w:rFonts w:cs="Arial"/>
          <w:lang w:val="es-MX"/>
        </w:rPr>
        <w:t>de 25 de octubre de 2018, en el que se  aclara</w:t>
      </w:r>
      <w:r w:rsidR="00C96304">
        <w:rPr>
          <w:rFonts w:cs="Arial"/>
          <w:lang w:val="es-MX"/>
        </w:rPr>
        <w:t xml:space="preserve"> que el MGAP es la única e</w:t>
      </w:r>
      <w:r w:rsidR="00B872B2">
        <w:rPr>
          <w:rFonts w:cs="Arial"/>
          <w:lang w:val="es-MX"/>
        </w:rPr>
        <w:t xml:space="preserve">ntidad beneficiaria que aportará la contrapartida </w:t>
      </w:r>
      <w:r w:rsidR="00C96304">
        <w:rPr>
          <w:rFonts w:cs="Arial"/>
          <w:lang w:val="es-MX"/>
        </w:rPr>
        <w:t>en efectivo;</w:t>
      </w:r>
    </w:p>
    <w:p w:rsidR="00146B86" w:rsidRDefault="00C96304" w:rsidP="00146B86">
      <w:pPr>
        <w:spacing w:line="360" w:lineRule="auto"/>
        <w:ind w:firstLine="2694"/>
        <w:jc w:val="both"/>
        <w:rPr>
          <w:rFonts w:cs="Arial"/>
          <w:lang w:val="es-MX"/>
        </w:rPr>
      </w:pPr>
      <w:r w:rsidRPr="00C96304">
        <w:rPr>
          <w:b/>
        </w:rPr>
        <w:t>5</w:t>
      </w:r>
      <w:r w:rsidR="00F204AF" w:rsidRPr="00C96304">
        <w:rPr>
          <w:b/>
        </w:rPr>
        <w:t>)</w:t>
      </w:r>
      <w:r w:rsidR="00F204AF" w:rsidRPr="00BD6756">
        <w:rPr>
          <w:b/>
        </w:rPr>
        <w:t xml:space="preserve"> </w:t>
      </w:r>
      <w:r w:rsidR="00F204AF" w:rsidRPr="00253348">
        <w:t>q</w:t>
      </w:r>
      <w:r w:rsidR="00F204AF">
        <w:t xml:space="preserve">ue </w:t>
      </w:r>
      <w:r w:rsidR="00ED0A55">
        <w:t xml:space="preserve">en </w:t>
      </w:r>
      <w:r w:rsidR="00E415B3">
        <w:t xml:space="preserve">el acuerdo </w:t>
      </w:r>
      <w:r w:rsidR="00755F86">
        <w:t xml:space="preserve">remitido </w:t>
      </w:r>
      <w:r w:rsidR="00B872B2">
        <w:t xml:space="preserve">a celebrar </w:t>
      </w:r>
      <w:r w:rsidR="00ED0A55">
        <w:t>por la AUCI con la FAO</w:t>
      </w:r>
      <w:r w:rsidR="00E415B3">
        <w:t>,</w:t>
      </w:r>
      <w:r w:rsidR="00ED0A55">
        <w:t xml:space="preserve"> </w:t>
      </w:r>
      <w:r w:rsidR="00755F86">
        <w:t xml:space="preserve"> </w:t>
      </w:r>
      <w:r w:rsidR="00ED0A55">
        <w:t>ésta última</w:t>
      </w:r>
      <w:r w:rsidR="00E415B3">
        <w:t xml:space="preserve"> se encargar</w:t>
      </w:r>
      <w:r w:rsidR="00ED0A55">
        <w:t>á</w:t>
      </w:r>
      <w:r w:rsidR="00E415B3">
        <w:t xml:space="preserve"> de prestar, con la debida diligencia y eficiencia, la </w:t>
      </w:r>
      <w:r w:rsidR="00656409">
        <w:t>asistencia</w:t>
      </w:r>
      <w:r w:rsidR="00E415B3">
        <w:t xml:space="preserve"> prevista en el </w:t>
      </w:r>
      <w:r w:rsidR="00656409">
        <w:t>documento</w:t>
      </w:r>
      <w:r w:rsidR="00E415B3">
        <w:t xml:space="preserve"> del </w:t>
      </w:r>
      <w:r w:rsidR="00656409">
        <w:t>Proyecto</w:t>
      </w:r>
      <w:r w:rsidR="00B872B2">
        <w:t>, que</w:t>
      </w:r>
      <w:r w:rsidR="00B07E7F">
        <w:t xml:space="preserve"> se pondrá a </w:t>
      </w:r>
      <w:r w:rsidR="00656409">
        <w:t>disposición</w:t>
      </w:r>
      <w:r w:rsidR="00B07E7F">
        <w:t xml:space="preserve"> del Gobierno o de la entidad prevista en el proyecto, y se prestar</w:t>
      </w:r>
      <w:r w:rsidR="00ED0A55">
        <w:t>á</w:t>
      </w:r>
      <w:r w:rsidR="00B07E7F">
        <w:t xml:space="preserve"> y recibirá: i) de conformidad con las decisiones pertinentes de los órganos rectores de la FAO y con sus </w:t>
      </w:r>
      <w:r w:rsidR="001476B2">
        <w:t>disposiciones</w:t>
      </w:r>
      <w:r w:rsidR="00B07E7F">
        <w:t xml:space="preserve"> constitucionales y presupuestarias</w:t>
      </w:r>
      <w:r w:rsidR="008E06E0">
        <w:t>;</w:t>
      </w:r>
      <w:r w:rsidR="00B07E7F">
        <w:t xml:space="preserve"> ii) con </w:t>
      </w:r>
      <w:r w:rsidR="001476B2">
        <w:t>sujeción</w:t>
      </w:r>
      <w:r w:rsidR="00B07E7F">
        <w:t xml:space="preserve"> a la recepción por parte de la FAO de la contribución necesaria del asociado que </w:t>
      </w:r>
      <w:r w:rsidR="00656409">
        <w:t>proporcionará</w:t>
      </w:r>
      <w:r w:rsidR="00B07E7F">
        <w:t xml:space="preserve"> recursos. La FAO desembolsará los </w:t>
      </w:r>
      <w:r w:rsidR="001476B2">
        <w:t>fondos</w:t>
      </w:r>
      <w:r w:rsidR="00B07E7F">
        <w:t xml:space="preserve"> recibidos del asociado que </w:t>
      </w:r>
      <w:r w:rsidR="00656409">
        <w:t xml:space="preserve">proporcionará </w:t>
      </w:r>
      <w:r w:rsidR="00B07E7F">
        <w:t xml:space="preserve">recursos de conformidad con sus reglamentos, normas y políticas. Todas las cuentas y los estados </w:t>
      </w:r>
      <w:r w:rsidR="001476B2">
        <w:t>financieros</w:t>
      </w:r>
      <w:r w:rsidR="00ED0A55">
        <w:t xml:space="preserve"> se expresará</w:t>
      </w:r>
      <w:r w:rsidR="00B07E7F">
        <w:t xml:space="preserve">n en dólares </w:t>
      </w:r>
      <w:r w:rsidR="008E06E0">
        <w:t>estadounidenses</w:t>
      </w:r>
      <w:r w:rsidR="00B07E7F">
        <w:t xml:space="preserve"> y estarán </w:t>
      </w:r>
      <w:r w:rsidR="00656409">
        <w:t>sujetos</w:t>
      </w:r>
      <w:r w:rsidR="00B07E7F">
        <w:t xml:space="preserve"> exclusivamente a los </w:t>
      </w:r>
      <w:r w:rsidR="00656409">
        <w:t>procedimientos</w:t>
      </w:r>
      <w:r w:rsidR="00B07E7F">
        <w:t xml:space="preserve"> de </w:t>
      </w:r>
      <w:r w:rsidR="00656409">
        <w:t>auditoría</w:t>
      </w:r>
      <w:r w:rsidR="00B07E7F">
        <w:t xml:space="preserve">  interna y externa establ</w:t>
      </w:r>
      <w:r w:rsidR="00656409">
        <w:t>ec</w:t>
      </w:r>
      <w:r w:rsidR="00B07E7F">
        <w:t>i</w:t>
      </w:r>
      <w:r w:rsidR="00656409">
        <w:t>d</w:t>
      </w:r>
      <w:r w:rsidR="00B07E7F">
        <w:t xml:space="preserve">os en el </w:t>
      </w:r>
      <w:r w:rsidR="00656409">
        <w:t>Reglamento</w:t>
      </w:r>
      <w:r w:rsidR="00B07E7F">
        <w:t xml:space="preserve"> </w:t>
      </w:r>
      <w:r w:rsidR="00656409">
        <w:t>Financiero</w:t>
      </w:r>
      <w:r w:rsidR="00B07E7F">
        <w:t xml:space="preserve">, el </w:t>
      </w:r>
      <w:r w:rsidR="00656409">
        <w:t>Reglamento</w:t>
      </w:r>
      <w:r w:rsidR="00B07E7F">
        <w:t xml:space="preserve"> General y las dire</w:t>
      </w:r>
      <w:r w:rsidR="00656409">
        <w:t>c</w:t>
      </w:r>
      <w:r w:rsidR="00B07E7F">
        <w:t>trices de la FAO</w:t>
      </w:r>
      <w:r w:rsidR="008E06E0">
        <w:t>;</w:t>
      </w:r>
      <w:r w:rsidR="00B07E7F">
        <w:t xml:space="preserve"> iii) las </w:t>
      </w:r>
      <w:r w:rsidR="00656409">
        <w:t>responsabilidades</w:t>
      </w:r>
      <w:r w:rsidR="00B07E7F">
        <w:t xml:space="preserve"> de la FAO con resp</w:t>
      </w:r>
      <w:r w:rsidR="00656409">
        <w:t>e</w:t>
      </w:r>
      <w:r w:rsidR="00B07E7F">
        <w:t xml:space="preserve">cto a la gestión </w:t>
      </w:r>
      <w:r w:rsidR="00656409">
        <w:t>financiera</w:t>
      </w:r>
      <w:r w:rsidR="00B07E7F">
        <w:t xml:space="preserve"> y la </w:t>
      </w:r>
      <w:r w:rsidR="00656409">
        <w:t>ejecución</w:t>
      </w:r>
      <w:r w:rsidR="00B07E7F">
        <w:t xml:space="preserve"> del </w:t>
      </w:r>
      <w:r w:rsidR="00ED0A55">
        <w:t>P</w:t>
      </w:r>
      <w:r w:rsidR="00B07E7F">
        <w:t>royecto ser</w:t>
      </w:r>
      <w:r w:rsidR="00ED0A55">
        <w:t>á</w:t>
      </w:r>
      <w:r w:rsidR="00B07E7F">
        <w:t xml:space="preserve">n las estipuladas en el </w:t>
      </w:r>
      <w:r w:rsidR="00656409">
        <w:t>Proyecto</w:t>
      </w:r>
      <w:r w:rsidR="00B07E7F">
        <w:t>. LA FAO podrá, en consulta con el Gobiern</w:t>
      </w:r>
      <w:r w:rsidR="00ED0A55">
        <w:t>o, implementar componentes del P</w:t>
      </w:r>
      <w:r w:rsidR="00B07E7F">
        <w:t xml:space="preserve">royecto a </w:t>
      </w:r>
      <w:r w:rsidR="001476B2">
        <w:t>través</w:t>
      </w:r>
      <w:r w:rsidR="00B07E7F">
        <w:t xml:space="preserve"> de </w:t>
      </w:r>
      <w:r w:rsidR="00656409">
        <w:t>socios</w:t>
      </w:r>
      <w:r w:rsidR="00B07E7F">
        <w:t xml:space="preserve"> </w:t>
      </w:r>
      <w:r w:rsidR="00656409">
        <w:t>identificados</w:t>
      </w:r>
      <w:r w:rsidR="00B07E7F">
        <w:t xml:space="preserve"> de </w:t>
      </w:r>
      <w:r w:rsidR="00656409">
        <w:t>conformidad</w:t>
      </w:r>
      <w:r w:rsidR="00B07E7F">
        <w:t xml:space="preserve"> con los </w:t>
      </w:r>
      <w:r w:rsidR="001476B2">
        <w:t>procedimientos</w:t>
      </w:r>
      <w:r w:rsidR="00B07E7F">
        <w:t xml:space="preserve"> de la Organización. </w:t>
      </w:r>
      <w:r w:rsidR="001476B2">
        <w:lastRenderedPageBreak/>
        <w:t>Dichos</w:t>
      </w:r>
      <w:r w:rsidR="00B07E7F">
        <w:t xml:space="preserve"> socios asumirán la </w:t>
      </w:r>
      <w:r w:rsidR="00656409">
        <w:t>responsabilidad</w:t>
      </w:r>
      <w:r w:rsidR="00B07E7F">
        <w:t xml:space="preserve"> principal de entregar resultados </w:t>
      </w:r>
      <w:r w:rsidR="001476B2">
        <w:t>específicos</w:t>
      </w:r>
      <w:r w:rsidR="00B07E7F">
        <w:t xml:space="preserve"> y llevar a cabo actividades </w:t>
      </w:r>
      <w:r w:rsidR="00656409">
        <w:t>específicas</w:t>
      </w:r>
      <w:r w:rsidR="00B07E7F">
        <w:t xml:space="preserve"> del proyecto, de conformidad con sus </w:t>
      </w:r>
      <w:r w:rsidR="00656409">
        <w:t>propias</w:t>
      </w:r>
      <w:r w:rsidR="00B07E7F">
        <w:t xml:space="preserve"> normas y reglamentos y con sujeción al seguimiento y supervisión, incluidas las </w:t>
      </w:r>
      <w:r w:rsidR="00656409">
        <w:t>auditorías</w:t>
      </w:r>
      <w:r w:rsidR="00B07E7F">
        <w:t>, de la FAO; iv) la asistencia proporcionad</w:t>
      </w:r>
      <w:r w:rsidR="00ED0A55">
        <w:t>a</w:t>
      </w:r>
      <w:r w:rsidR="00B07E7F">
        <w:t xml:space="preserve"> </w:t>
      </w:r>
      <w:r w:rsidR="001476B2">
        <w:t>directamente</w:t>
      </w:r>
      <w:r w:rsidR="00B07E7F">
        <w:t xml:space="preserve"> por la FAO en el </w:t>
      </w:r>
      <w:r w:rsidR="001476B2">
        <w:t>marco</w:t>
      </w:r>
      <w:r w:rsidR="00B07E7F">
        <w:t xml:space="preserve"> del </w:t>
      </w:r>
      <w:r w:rsidR="00ED0A55">
        <w:t>P</w:t>
      </w:r>
      <w:r w:rsidR="001476B2">
        <w:t>royecto</w:t>
      </w:r>
      <w:r w:rsidR="00B07E7F">
        <w:t xml:space="preserve">, y que comprende los servicios de asistencia </w:t>
      </w:r>
      <w:r w:rsidR="001476B2">
        <w:t>técnica</w:t>
      </w:r>
      <w:r w:rsidR="00B07E7F">
        <w:t xml:space="preserve"> y/o de </w:t>
      </w:r>
      <w:r w:rsidR="001476B2">
        <w:t>supervisión</w:t>
      </w:r>
      <w:r w:rsidR="00B07E7F">
        <w:t xml:space="preserve"> y de seguimiento, se prestará de conformidad con los </w:t>
      </w:r>
      <w:r w:rsidR="001476B2">
        <w:t>reglamentos</w:t>
      </w:r>
      <w:r w:rsidR="00B07E7F">
        <w:t>, normas y políticas de la FAO, incluyendo</w:t>
      </w:r>
      <w:r w:rsidR="007E3158">
        <w:t xml:space="preserve"> las </w:t>
      </w:r>
      <w:r w:rsidR="001476B2">
        <w:t>relativas</w:t>
      </w:r>
      <w:r w:rsidR="007E3158">
        <w:t xml:space="preserve"> a la contratación, viajes, sueldos y emolumentos del personal nacional y equipo, y a la subcontratación. Las candidaturas para supuestos técnicos internacionales de nivel superior que deba cubrir la FAO se someterán a la </w:t>
      </w:r>
      <w:r w:rsidR="001476B2">
        <w:t>aprobación</w:t>
      </w:r>
      <w:r w:rsidR="007E3158">
        <w:t xml:space="preserve"> del </w:t>
      </w:r>
      <w:r w:rsidR="00656409">
        <w:t>Gobierno</w:t>
      </w:r>
      <w:r w:rsidR="007E3158">
        <w:t xml:space="preserve"> siguiendo los </w:t>
      </w:r>
      <w:r w:rsidR="001476B2">
        <w:t>procedimientos</w:t>
      </w:r>
      <w:r w:rsidR="007E3158">
        <w:t xml:space="preserve"> de la Organización</w:t>
      </w:r>
      <w:r w:rsidR="008E06E0">
        <w:t>;</w:t>
      </w:r>
      <w:r w:rsidR="007E3158">
        <w:t xml:space="preserve"> v) el </w:t>
      </w:r>
      <w:r w:rsidR="00656409">
        <w:t>equipo</w:t>
      </w:r>
      <w:r w:rsidR="007E3158">
        <w:t xml:space="preserve"> adquirido por la FAO será propiedad de</w:t>
      </w:r>
      <w:r w:rsidR="00ED0A55">
        <w:t xml:space="preserve"> la</w:t>
      </w:r>
      <w:r w:rsidR="007E3158">
        <w:t xml:space="preserve"> FAO durante la ejecución del </w:t>
      </w:r>
      <w:r w:rsidR="00ED0A55">
        <w:t>P</w:t>
      </w:r>
      <w:r w:rsidR="007E3158">
        <w:t xml:space="preserve">royecto. El </w:t>
      </w:r>
      <w:r w:rsidR="00ED0A55">
        <w:t>G</w:t>
      </w:r>
      <w:r w:rsidR="007E3158">
        <w:t>obierno se encargará de custodiar dicho equipo, que le será confiado antes</w:t>
      </w:r>
      <w:r w:rsidR="00166CE6">
        <w:t xml:space="preserve"> de la finalización del  proyecto. El destino final del equipo adquirido en el marco de este proyecto lo decidirá la FAO en consulta con el Gobierno y el asociado que proporciona recursos;</w:t>
      </w:r>
    </w:p>
    <w:p w:rsidR="00146B86" w:rsidRDefault="00C96304" w:rsidP="00146B86">
      <w:pPr>
        <w:spacing w:line="360" w:lineRule="auto"/>
        <w:ind w:firstLine="2694"/>
        <w:jc w:val="both"/>
        <w:rPr>
          <w:rFonts w:cs="Arial"/>
          <w:lang w:val="es-MX"/>
        </w:rPr>
      </w:pPr>
      <w:r w:rsidRPr="00C96304">
        <w:rPr>
          <w:b/>
        </w:rPr>
        <w:t>6</w:t>
      </w:r>
      <w:r w:rsidR="00F37B68" w:rsidRPr="00C96304">
        <w:rPr>
          <w:b/>
        </w:rPr>
        <w:t>)</w:t>
      </w:r>
      <w:r w:rsidR="00F37B68">
        <w:t xml:space="preserve"> que con vistas a la ejecución </w:t>
      </w:r>
      <w:r w:rsidR="00022E30">
        <w:t>rá</w:t>
      </w:r>
      <w:r w:rsidR="00F37B68">
        <w:t xml:space="preserve">pida y </w:t>
      </w:r>
      <w:r w:rsidR="00656409">
        <w:t>eficiente</w:t>
      </w:r>
      <w:r w:rsidR="00F37B68">
        <w:t xml:space="preserve"> del Proyecto, el Gobierno otorgará a la FAO, a su personal y a</w:t>
      </w:r>
      <w:r w:rsidR="00022E30">
        <w:t xml:space="preserve"> </w:t>
      </w:r>
      <w:r w:rsidR="00F37B68">
        <w:t xml:space="preserve">todas las </w:t>
      </w:r>
      <w:r w:rsidR="00656409">
        <w:t>demás</w:t>
      </w:r>
      <w:r w:rsidR="00F37B68">
        <w:t xml:space="preserve"> personas que preten</w:t>
      </w:r>
      <w:r w:rsidR="00022E30">
        <w:t>den</w:t>
      </w:r>
      <w:r w:rsidR="00F37B68">
        <w:t xml:space="preserve"> servicios en su nombre, las facilidades necesarias, en </w:t>
      </w:r>
      <w:r w:rsidR="00022E30">
        <w:t>particular</w:t>
      </w:r>
      <w:r w:rsidR="00ED0A55">
        <w:t>: a)</w:t>
      </w:r>
      <w:r w:rsidR="00F37B68">
        <w:t xml:space="preserve"> la expedición rápida y gratuita de cualquier visado o permiso necesario</w:t>
      </w:r>
      <w:r w:rsidR="008E06E0">
        <w:t>;</w:t>
      </w:r>
      <w:r w:rsidR="00F37B68">
        <w:t xml:space="preserve"> b) todos los permisos necesarios para la importación y, cuando proceda, la exportación posterior del equipo, los </w:t>
      </w:r>
      <w:r w:rsidR="00656409">
        <w:t>materiales</w:t>
      </w:r>
      <w:r w:rsidR="00F37B68">
        <w:t xml:space="preserve"> y los suministros necesarios para el proyecto, </w:t>
      </w:r>
      <w:r w:rsidR="00656409">
        <w:t>así</w:t>
      </w:r>
      <w:r w:rsidR="00F37B68">
        <w:t xml:space="preserve"> como la </w:t>
      </w:r>
      <w:r w:rsidR="00385898">
        <w:t>exoneración</w:t>
      </w:r>
      <w:r w:rsidR="00F37B68">
        <w:t xml:space="preserve"> del pago de </w:t>
      </w:r>
      <w:r w:rsidR="00022E30">
        <w:t>todos</w:t>
      </w:r>
      <w:r w:rsidR="00F37B68">
        <w:t xml:space="preserve"> los derechos de aduana y </w:t>
      </w:r>
      <w:r w:rsidR="00022E30">
        <w:t>o</w:t>
      </w:r>
      <w:r w:rsidR="00F37B68">
        <w:t xml:space="preserve">tros </w:t>
      </w:r>
      <w:r w:rsidR="00022E30">
        <w:t>gravámenes</w:t>
      </w:r>
      <w:r w:rsidR="00F37B68">
        <w:t xml:space="preserve"> o </w:t>
      </w:r>
      <w:r w:rsidR="00022E30">
        <w:t>impuestos</w:t>
      </w:r>
      <w:r w:rsidR="00F37B68">
        <w:t xml:space="preserve"> </w:t>
      </w:r>
      <w:r w:rsidR="00022E30">
        <w:t>relacionado</w:t>
      </w:r>
      <w:r w:rsidR="00F37B68">
        <w:t xml:space="preserve"> con dicha </w:t>
      </w:r>
      <w:r w:rsidR="001476B2">
        <w:t>importación</w:t>
      </w:r>
      <w:r w:rsidR="00F37B68">
        <w:t xml:space="preserve"> o </w:t>
      </w:r>
      <w:r w:rsidR="00022E30">
        <w:t>exportación</w:t>
      </w:r>
      <w:r w:rsidR="008E06E0">
        <w:t>;</w:t>
      </w:r>
      <w:r w:rsidR="00F37B68">
        <w:t xml:space="preserve"> </w:t>
      </w:r>
      <w:r w:rsidR="00ED0A55">
        <w:t>c</w:t>
      </w:r>
      <w:r w:rsidR="00F37B68">
        <w:t xml:space="preserve">) todos los permisos </w:t>
      </w:r>
      <w:r w:rsidR="00385898">
        <w:t>necesarios</w:t>
      </w:r>
      <w:r w:rsidR="00F37B68">
        <w:t xml:space="preserve"> para la importación de </w:t>
      </w:r>
      <w:r w:rsidR="00ED0A55">
        <w:t>bienes</w:t>
      </w:r>
      <w:r w:rsidR="00F37B68">
        <w:t xml:space="preserve"> propiedad del personal de la FAO y destinados a su uso personal, o de cualquier otra persona </w:t>
      </w:r>
      <w:r w:rsidR="00ED0A55">
        <w:t>que</w:t>
      </w:r>
      <w:r w:rsidR="00F37B68">
        <w:t xml:space="preserve"> preste servicios en nombre de la FAO, </w:t>
      </w:r>
      <w:r w:rsidR="00022E30">
        <w:t>así</w:t>
      </w:r>
      <w:r w:rsidR="00F37B68">
        <w:t xml:space="preserve"> como para la exportación posterior de esos bienes</w:t>
      </w:r>
      <w:r w:rsidR="008E06E0">
        <w:t>;</w:t>
      </w:r>
      <w:r w:rsidR="00F37B68">
        <w:t xml:space="preserve">  </w:t>
      </w:r>
      <w:r w:rsidR="00A3187E">
        <w:t>d</w:t>
      </w:r>
      <w:r w:rsidR="00F37B68">
        <w:t xml:space="preserve">) el </w:t>
      </w:r>
      <w:r w:rsidR="00656409">
        <w:t>despacho</w:t>
      </w:r>
      <w:r w:rsidR="00F37B68">
        <w:t xml:space="preserve"> de aduana </w:t>
      </w:r>
      <w:r w:rsidR="00A3187E">
        <w:t>rá</w:t>
      </w:r>
      <w:r w:rsidR="00F37B68">
        <w:t>p</w:t>
      </w:r>
      <w:r w:rsidR="00A3187E">
        <w:t>i</w:t>
      </w:r>
      <w:r w:rsidR="00F37B68">
        <w:t xml:space="preserve">do y efectivo del equipo, materiales, suministros y bienes </w:t>
      </w:r>
      <w:r w:rsidR="001476B2">
        <w:t>mencionados</w:t>
      </w:r>
      <w:r w:rsidR="00F37B68">
        <w:t>;</w:t>
      </w:r>
    </w:p>
    <w:p w:rsidR="00146B86" w:rsidRDefault="00C96304" w:rsidP="00146B86">
      <w:pPr>
        <w:spacing w:line="360" w:lineRule="auto"/>
        <w:ind w:firstLine="2694"/>
        <w:jc w:val="both"/>
        <w:rPr>
          <w:rFonts w:cs="Arial"/>
          <w:lang w:val="es-MX"/>
        </w:rPr>
      </w:pPr>
      <w:r w:rsidRPr="00C96304">
        <w:rPr>
          <w:b/>
        </w:rPr>
        <w:t>7</w:t>
      </w:r>
      <w:r w:rsidR="000A5238" w:rsidRPr="00C96304">
        <w:rPr>
          <w:b/>
        </w:rPr>
        <w:t>)</w:t>
      </w:r>
      <w:r w:rsidR="000A5238">
        <w:t xml:space="preserve"> que se establece que el Gobierno asumirá la </w:t>
      </w:r>
      <w:r w:rsidR="00656409">
        <w:t>responsabilidad</w:t>
      </w:r>
      <w:r w:rsidR="000A5238">
        <w:t xml:space="preserve"> de </w:t>
      </w:r>
      <w:r w:rsidR="001476B2">
        <w:t>atender</w:t>
      </w:r>
      <w:r w:rsidR="000A5238">
        <w:t xml:space="preserve"> las reclamaciones de terceros contra la FAO, su personal</w:t>
      </w:r>
      <w:r w:rsidR="00385898">
        <w:t xml:space="preserve"> y</w:t>
      </w:r>
      <w:r w:rsidR="000A5238">
        <w:t xml:space="preserve"> otras personas que presten servicios en su nombre en </w:t>
      </w:r>
      <w:r w:rsidR="00656409">
        <w:t>relación</w:t>
      </w:r>
      <w:r w:rsidR="000A5238">
        <w:t xml:space="preserve"> con el proyecto, y los ex</w:t>
      </w:r>
      <w:r w:rsidR="00A3187E">
        <w:t>onerará</w:t>
      </w:r>
      <w:r w:rsidR="000A5238">
        <w:t xml:space="preserve"> de </w:t>
      </w:r>
      <w:r w:rsidR="00656409">
        <w:t>responsabilidad</w:t>
      </w:r>
      <w:r w:rsidR="000A5238">
        <w:t xml:space="preserve"> </w:t>
      </w:r>
      <w:r w:rsidR="00656409">
        <w:t>respecto</w:t>
      </w:r>
      <w:r w:rsidR="000A5238">
        <w:t xml:space="preserve"> de las reclamaciones u </w:t>
      </w:r>
      <w:r w:rsidR="00656409">
        <w:t>obligaciones</w:t>
      </w:r>
      <w:r w:rsidR="000A5238">
        <w:t xml:space="preserve"> derivadas del mismo, salvo que el Gobierno y la FAO convengan en que dichas reclamaciones se </w:t>
      </w:r>
      <w:r w:rsidR="00022E30">
        <w:t>refieren</w:t>
      </w:r>
      <w:r w:rsidR="000A5238">
        <w:t xml:space="preserve"> a casos de negligencia grave o </w:t>
      </w:r>
      <w:r w:rsidR="00022E30">
        <w:t>comportamiento</w:t>
      </w:r>
      <w:r w:rsidR="000A5238">
        <w:t xml:space="preserve"> doloso de esta personas;</w:t>
      </w:r>
    </w:p>
    <w:p w:rsidR="00146B86" w:rsidRDefault="00C96304" w:rsidP="00146B86">
      <w:pPr>
        <w:spacing w:line="360" w:lineRule="auto"/>
        <w:ind w:firstLine="2694"/>
        <w:jc w:val="both"/>
        <w:rPr>
          <w:rFonts w:cs="Arial"/>
          <w:lang w:val="es-MX"/>
        </w:rPr>
      </w:pPr>
      <w:r w:rsidRPr="00C96304">
        <w:rPr>
          <w:b/>
        </w:rPr>
        <w:t>8</w:t>
      </w:r>
      <w:r w:rsidR="00603912" w:rsidRPr="00C96304">
        <w:rPr>
          <w:b/>
        </w:rPr>
        <w:t>)</w:t>
      </w:r>
      <w:r w:rsidR="00603912">
        <w:t xml:space="preserve"> que el Gobierno se encargará de la contratación, los sueldos, </w:t>
      </w:r>
      <w:r w:rsidR="00022E30">
        <w:t>los</w:t>
      </w:r>
      <w:r w:rsidR="00603912">
        <w:t xml:space="preserve"> </w:t>
      </w:r>
      <w:r w:rsidR="00022E30">
        <w:t>emolumentos</w:t>
      </w:r>
      <w:r w:rsidR="00603912">
        <w:t xml:space="preserve"> y las </w:t>
      </w:r>
      <w:r w:rsidR="00022E30">
        <w:t>medidas</w:t>
      </w:r>
      <w:r w:rsidR="00603912">
        <w:t xml:space="preserve"> de seguridad social de su personal naciona</w:t>
      </w:r>
      <w:r w:rsidR="00022E30">
        <w:t>l</w:t>
      </w:r>
      <w:r w:rsidR="00603912">
        <w:t xml:space="preserve"> asignado al </w:t>
      </w:r>
      <w:r w:rsidR="00A3187E">
        <w:t>P</w:t>
      </w:r>
      <w:r w:rsidR="00603912">
        <w:t>royecto. Tamb</w:t>
      </w:r>
      <w:r w:rsidR="00022E30">
        <w:t>ién</w:t>
      </w:r>
      <w:r w:rsidR="00603912">
        <w:t xml:space="preserve"> proporcionar</w:t>
      </w:r>
      <w:r w:rsidR="00A3187E">
        <w:t>á</w:t>
      </w:r>
      <w:r w:rsidR="00603912">
        <w:t xml:space="preserve"> cuando se</w:t>
      </w:r>
      <w:r w:rsidR="008E06E0">
        <w:t>a</w:t>
      </w:r>
      <w:r w:rsidR="00603912">
        <w:t xml:space="preserve"> </w:t>
      </w:r>
      <w:r w:rsidR="00022E30">
        <w:t>necesaria</w:t>
      </w:r>
      <w:r w:rsidR="00603912">
        <w:t xml:space="preserve">  para la </w:t>
      </w:r>
      <w:r w:rsidR="00022E30">
        <w:t>ejecución</w:t>
      </w:r>
      <w:r w:rsidR="00603912">
        <w:t xml:space="preserve"> del Proyecto, las </w:t>
      </w:r>
      <w:r w:rsidR="00022E30">
        <w:t>instalaciones</w:t>
      </w:r>
      <w:r w:rsidR="00603912">
        <w:t xml:space="preserve"> y suministros indicados en el </w:t>
      </w:r>
      <w:r w:rsidR="00022E30">
        <w:t>documento</w:t>
      </w:r>
      <w:r w:rsidR="00603912">
        <w:t xml:space="preserve"> de </w:t>
      </w:r>
      <w:r w:rsidR="00A3187E">
        <w:t>P</w:t>
      </w:r>
      <w:r w:rsidR="00022E30">
        <w:t>royecto</w:t>
      </w:r>
      <w:r w:rsidR="00603912">
        <w:t>;</w:t>
      </w:r>
    </w:p>
    <w:p w:rsidR="00146B86" w:rsidRDefault="00C96304" w:rsidP="00146B86">
      <w:pPr>
        <w:spacing w:line="360" w:lineRule="auto"/>
        <w:ind w:firstLine="2694"/>
        <w:jc w:val="both"/>
        <w:rPr>
          <w:rFonts w:cs="Arial"/>
          <w:lang w:val="es-MX"/>
        </w:rPr>
      </w:pPr>
      <w:r w:rsidRPr="00C96304">
        <w:rPr>
          <w:b/>
        </w:rPr>
        <w:t>9</w:t>
      </w:r>
      <w:r w:rsidR="00603912" w:rsidRPr="00C96304">
        <w:rPr>
          <w:b/>
        </w:rPr>
        <w:t>)</w:t>
      </w:r>
      <w:r w:rsidR="00603912">
        <w:t xml:space="preserve"> que el </w:t>
      </w:r>
      <w:r w:rsidR="00022E30">
        <w:t>Proyecto</w:t>
      </w:r>
      <w:r w:rsidR="00603912">
        <w:t xml:space="preserve"> se </w:t>
      </w:r>
      <w:r w:rsidR="00022E30">
        <w:t>someterá</w:t>
      </w:r>
      <w:r w:rsidR="00603912">
        <w:t xml:space="preserve"> a una </w:t>
      </w:r>
      <w:r w:rsidR="00022E30">
        <w:t>evaluación</w:t>
      </w:r>
      <w:r w:rsidR="00603912">
        <w:t xml:space="preserve"> </w:t>
      </w:r>
      <w:r w:rsidR="00022E30">
        <w:t>independiente</w:t>
      </w:r>
      <w:r w:rsidR="00603912">
        <w:t xml:space="preserve"> con arreglo a las disposiciones acor</w:t>
      </w:r>
      <w:r w:rsidR="00A3187E">
        <w:t>d</w:t>
      </w:r>
      <w:r w:rsidR="00603912">
        <w:t xml:space="preserve">adas entre el Gobierno, el asociado  que </w:t>
      </w:r>
      <w:r w:rsidR="00A3187E">
        <w:t>proporciona</w:t>
      </w:r>
      <w:r w:rsidR="00603912">
        <w:t xml:space="preserve"> </w:t>
      </w:r>
      <w:r w:rsidR="00022E30">
        <w:t>recursos</w:t>
      </w:r>
      <w:r w:rsidR="00603912">
        <w:t xml:space="preserve"> y la FAO. El informe de evaluación se pondrá a disposición del público, de conformidad con las políticas aplicables, junto con la </w:t>
      </w:r>
      <w:r w:rsidR="00022E30">
        <w:t>respuesta</w:t>
      </w:r>
      <w:r w:rsidR="00603912">
        <w:t xml:space="preserve"> de la </w:t>
      </w:r>
      <w:r w:rsidR="00022E30">
        <w:t>Administración</w:t>
      </w:r>
      <w:r w:rsidR="00603912">
        <w:t>;</w:t>
      </w:r>
    </w:p>
    <w:p w:rsidR="00146B86" w:rsidRDefault="00C96304" w:rsidP="00146B86">
      <w:pPr>
        <w:spacing w:line="360" w:lineRule="auto"/>
        <w:ind w:firstLine="2694"/>
        <w:jc w:val="both"/>
        <w:rPr>
          <w:rFonts w:cs="Arial"/>
          <w:lang w:val="es-MX"/>
        </w:rPr>
      </w:pPr>
      <w:r w:rsidRPr="00C96304">
        <w:rPr>
          <w:b/>
        </w:rPr>
        <w:t>10</w:t>
      </w:r>
      <w:r w:rsidR="00603912" w:rsidRPr="00C96304">
        <w:rPr>
          <w:b/>
        </w:rPr>
        <w:t>)</w:t>
      </w:r>
      <w:r w:rsidR="00603912">
        <w:t xml:space="preserve"> que toda disputa o controvers</w:t>
      </w:r>
      <w:r w:rsidR="00022E30">
        <w:t>ia</w:t>
      </w:r>
      <w:r w:rsidR="00603912">
        <w:t xml:space="preserve"> que derive del proyecto o del acuerdo o que tenga rel</w:t>
      </w:r>
      <w:r w:rsidR="00022E30">
        <w:t>a</w:t>
      </w:r>
      <w:r w:rsidR="00603912">
        <w:t>c</w:t>
      </w:r>
      <w:r w:rsidR="00022E30">
        <w:t>ión</w:t>
      </w:r>
      <w:r w:rsidR="00603912">
        <w:t xml:space="preserve"> con ellos, se </w:t>
      </w:r>
      <w:r w:rsidR="00022E30">
        <w:t>solucionará</w:t>
      </w:r>
      <w:r w:rsidR="00603912">
        <w:t xml:space="preserve"> de manera amistosa mediante consultas o por otros métodos que hayan acordado el Gobierno y la FAO</w:t>
      </w:r>
      <w:r w:rsidR="001476B2">
        <w:t>;</w:t>
      </w:r>
    </w:p>
    <w:p w:rsidR="00146B86" w:rsidRDefault="00C96304" w:rsidP="00146B86">
      <w:pPr>
        <w:spacing w:line="360" w:lineRule="auto"/>
        <w:ind w:firstLine="2694"/>
        <w:jc w:val="both"/>
        <w:rPr>
          <w:rFonts w:cs="Arial"/>
          <w:lang w:val="es-MX"/>
        </w:rPr>
      </w:pPr>
      <w:r w:rsidRPr="00C96304">
        <w:rPr>
          <w:b/>
        </w:rPr>
        <w:t>11</w:t>
      </w:r>
      <w:r w:rsidR="001476B2" w:rsidRPr="00C96304">
        <w:rPr>
          <w:b/>
        </w:rPr>
        <w:t>)</w:t>
      </w:r>
      <w:r w:rsidR="001476B2">
        <w:t xml:space="preserve"> que se establece que el acuerdo entrar</w:t>
      </w:r>
      <w:r w:rsidR="00A3187E">
        <w:t>á</w:t>
      </w:r>
      <w:r w:rsidR="001476B2">
        <w:t xml:space="preserve"> en vigor una vez firmado por los representantes debid</w:t>
      </w:r>
      <w:r w:rsidR="00022E30">
        <w:t>amente</w:t>
      </w:r>
      <w:r w:rsidR="001476B2">
        <w:t xml:space="preserve"> autorizados de ambas partes;</w:t>
      </w:r>
    </w:p>
    <w:p w:rsidR="00755F86" w:rsidRPr="00146B86" w:rsidRDefault="00755F86" w:rsidP="00146B86">
      <w:pPr>
        <w:spacing w:line="360" w:lineRule="auto"/>
        <w:ind w:firstLine="2694"/>
        <w:jc w:val="both"/>
        <w:rPr>
          <w:rFonts w:cs="Arial"/>
          <w:lang w:val="es-MX"/>
        </w:rPr>
      </w:pPr>
      <w:r w:rsidRPr="00755F86">
        <w:rPr>
          <w:b/>
        </w:rPr>
        <w:t>12)</w:t>
      </w:r>
      <w:r>
        <w:t xml:space="preserve"> que se adjunta proyecto de Resolución  del Poder Ejecutivo por el cual se autoriza la suscripción del</w:t>
      </w:r>
      <w:r w:rsidR="00E076E2">
        <w:t xml:space="preserve"> acuerdo</w:t>
      </w:r>
      <w:r>
        <w:t xml:space="preserve">  entre la AUCI  y la FAO;</w:t>
      </w:r>
    </w:p>
    <w:p w:rsidR="00F204AF" w:rsidRDefault="00F204AF" w:rsidP="00146B86">
      <w:pPr>
        <w:spacing w:line="360" w:lineRule="auto"/>
        <w:ind w:firstLine="851"/>
        <w:jc w:val="both"/>
      </w:pPr>
      <w:r>
        <w:rPr>
          <w:b/>
          <w:bCs/>
        </w:rPr>
        <w:t>CONSIDERANDO</w:t>
      </w:r>
      <w:r w:rsidRPr="009D4F48">
        <w:rPr>
          <w:b/>
          <w:bCs/>
        </w:rPr>
        <w:t>:</w:t>
      </w:r>
      <w:r w:rsidRPr="009D4F48">
        <w:rPr>
          <w:b/>
        </w:rPr>
        <w:t xml:space="preserve"> 1)</w:t>
      </w:r>
      <w:r>
        <w:t xml:space="preserve"> que de conformidad con lo dispuesto por el inciso segundo del </w:t>
      </w:r>
      <w:r w:rsidR="00A3187E">
        <w:t>artículo</w:t>
      </w:r>
      <w:r>
        <w:t xml:space="preserve"> 145 de la Ley </w:t>
      </w:r>
      <w:r w:rsidR="00E076E2">
        <w:t xml:space="preserve">Nº </w:t>
      </w:r>
      <w:r>
        <w:t>15.851</w:t>
      </w:r>
      <w:r w:rsidR="00607959">
        <w:t xml:space="preserve"> del 24 de diciembre de 1986</w:t>
      </w:r>
      <w:r>
        <w:t>, los convenios o contratos que celebre el Poder Ejecutivo, Entes Autónomos y Servicios Descentralizados con organismos internacionales de los que el país forma parte</w:t>
      </w:r>
      <w:r w:rsidR="003212CD">
        <w:t>,</w:t>
      </w:r>
      <w:r>
        <w:t xml:space="preserve"> no requieren ratificación legislativa</w:t>
      </w:r>
      <w:r w:rsidR="00C027FC">
        <w:t>, debiendo dar cuenta a la Asamblea General dentro de los diez días de su celebración</w:t>
      </w:r>
      <w:r>
        <w:t>;</w:t>
      </w:r>
    </w:p>
    <w:p w:rsidR="00146B86" w:rsidRDefault="00E6254A" w:rsidP="00146B86">
      <w:pPr>
        <w:spacing w:line="360" w:lineRule="auto"/>
        <w:ind w:firstLine="2977"/>
        <w:jc w:val="both"/>
        <w:rPr>
          <w:rFonts w:cs="Arial"/>
          <w:bCs/>
        </w:rPr>
      </w:pPr>
      <w:r>
        <w:rPr>
          <w:b/>
          <w:bCs/>
        </w:rPr>
        <w:t xml:space="preserve">2) </w:t>
      </w:r>
      <w:r>
        <w:rPr>
          <w:rFonts w:cs="Arial"/>
          <w:bCs/>
        </w:rPr>
        <w:t xml:space="preserve">que la </w:t>
      </w:r>
      <w:r>
        <w:rPr>
          <w:rFonts w:cs="Arial"/>
          <w:lang w:val="es-MX"/>
        </w:rPr>
        <w:t>Organización de las Naciones Unidas para la Alimentación y la Agricultura</w:t>
      </w:r>
      <w:r>
        <w:rPr>
          <w:rFonts w:cs="Arial"/>
          <w:bCs/>
        </w:rPr>
        <w:t xml:space="preserve"> es la agencia</w:t>
      </w:r>
      <w:r w:rsidRPr="006C0D48">
        <w:rPr>
          <w:rFonts w:cs="Arial"/>
          <w:bCs/>
        </w:rPr>
        <w:t xml:space="preserve"> de las Naciones Unidas</w:t>
      </w:r>
      <w:r>
        <w:rPr>
          <w:rFonts w:cs="Arial"/>
          <w:bCs/>
        </w:rPr>
        <w:t xml:space="preserve"> cuyo objetivo es lograr la seguridad alimentaria y</w:t>
      </w:r>
      <w:r w:rsidR="003212CD">
        <w:rPr>
          <w:rFonts w:cs="Arial"/>
          <w:bCs/>
        </w:rPr>
        <w:t>,</w:t>
      </w:r>
      <w:r>
        <w:rPr>
          <w:rFonts w:cs="Arial"/>
          <w:bCs/>
        </w:rPr>
        <w:t xml:space="preserve"> al mismo tiempo</w:t>
      </w:r>
      <w:r w:rsidR="003212CD">
        <w:rPr>
          <w:rFonts w:cs="Arial"/>
          <w:bCs/>
        </w:rPr>
        <w:t>,</w:t>
      </w:r>
      <w:r>
        <w:rPr>
          <w:rFonts w:cs="Arial"/>
          <w:bCs/>
        </w:rPr>
        <w:t xml:space="preserve"> garantizar  el acceso regular a alimentos suficientes y de buena calidad para llevar una vida activa y sana;</w:t>
      </w:r>
    </w:p>
    <w:p w:rsidR="00146B86" w:rsidRDefault="00E6254A" w:rsidP="00146B86">
      <w:pPr>
        <w:spacing w:line="360" w:lineRule="auto"/>
        <w:ind w:firstLine="2977"/>
        <w:jc w:val="both"/>
        <w:rPr>
          <w:rFonts w:cs="Arial"/>
          <w:bCs/>
        </w:rPr>
      </w:pPr>
      <w:r>
        <w:rPr>
          <w:b/>
          <w:bCs/>
        </w:rPr>
        <w:t>3</w:t>
      </w:r>
      <w:r w:rsidR="00F55B0B">
        <w:rPr>
          <w:b/>
          <w:bCs/>
        </w:rPr>
        <w:t xml:space="preserve">) </w:t>
      </w:r>
      <w:r w:rsidR="00E076E2">
        <w:t>que de conformidad con</w:t>
      </w:r>
      <w:r w:rsidR="00F55B0B">
        <w:t xml:space="preserve"> lo establecido en el artículo 98 de la Ley </w:t>
      </w:r>
      <w:r w:rsidR="00E076E2">
        <w:t xml:space="preserve">Nº </w:t>
      </w:r>
      <w:r w:rsidR="00F55B0B">
        <w:t>18.719</w:t>
      </w:r>
      <w:r w:rsidR="00A3187E">
        <w:t xml:space="preserve"> del 27 de diciembre de 2010</w:t>
      </w:r>
      <w:r w:rsidR="00F55B0B">
        <w:t>, la Agencia Uruguaya de Cooperación Internacional es un órgano dependiente de la Presidencia de la República</w:t>
      </w:r>
      <w:r w:rsidR="003212CD">
        <w:t>, que</w:t>
      </w:r>
      <w:r w:rsidR="00F55B0B">
        <w:t xml:space="preserve"> tiene como cometidos la planificación, diseño, supervisión, administración, coordinación, ejecución, evaluación, seguimiento y difusión de actividades, proyectos y programas de cooperación internacional</w:t>
      </w:r>
      <w:r w:rsidR="003212CD">
        <w:t>,</w:t>
      </w:r>
      <w:r w:rsidR="00F55B0B">
        <w:t xml:space="preserve"> para dar cumplimiento a las políticas de desarrollo del país;</w:t>
      </w:r>
    </w:p>
    <w:p w:rsidR="00146B86" w:rsidRDefault="00E6254A" w:rsidP="00146B86">
      <w:pPr>
        <w:spacing w:line="360" w:lineRule="auto"/>
        <w:ind w:firstLine="2977"/>
        <w:jc w:val="both"/>
        <w:rPr>
          <w:rFonts w:cs="Arial"/>
          <w:bCs/>
        </w:rPr>
      </w:pPr>
      <w:r>
        <w:rPr>
          <w:b/>
          <w:bCs/>
        </w:rPr>
        <w:t>4</w:t>
      </w:r>
      <w:r w:rsidR="009F2851">
        <w:rPr>
          <w:b/>
          <w:bCs/>
        </w:rPr>
        <w:t xml:space="preserve">) </w:t>
      </w:r>
      <w:r w:rsidR="009F2851">
        <w:t xml:space="preserve">que conforme lo disponen los numerales 7, 8 y 9 del artículo 3 de la Ley </w:t>
      </w:r>
      <w:r w:rsidR="00E076E2">
        <w:t xml:space="preserve">Nº </w:t>
      </w:r>
      <w:r w:rsidR="009F2851">
        <w:t>16.112</w:t>
      </w:r>
      <w:r w:rsidR="00607959">
        <w:t xml:space="preserve"> del 20 de mayo de 1990</w:t>
      </w:r>
      <w:r w:rsidR="009F2851">
        <w:t>, compete al</w:t>
      </w:r>
      <w:r w:rsidR="002608D4">
        <w:t xml:space="preserve"> </w:t>
      </w:r>
      <w:r w:rsidR="002608D4">
        <w:rPr>
          <w:rFonts w:cs="Arial"/>
          <w:lang w:val="es-MX"/>
        </w:rPr>
        <w:t>M</w:t>
      </w:r>
      <w:r w:rsidR="003212CD">
        <w:rPr>
          <w:rFonts w:cs="Arial"/>
          <w:lang w:val="es-MX"/>
        </w:rPr>
        <w:t>VOTMA</w:t>
      </w:r>
      <w:r w:rsidR="009F2851">
        <w:t xml:space="preserve">, en materia de protección al medio ambiente, lo concerniente a la formulación, ejecución, supervisión y evaluación de los planes nacionales de protección del medio ambiente y la instrumentación de la política nacional en la materia,  la coordinación con los demás organismos públicos, nacionales o extranjeros y la celebración  de convenios con personas públicas y privadas, para el cumplimiento de sus cometidos </w:t>
      </w:r>
    </w:p>
    <w:p w:rsidR="00146B86" w:rsidRDefault="00E6254A" w:rsidP="00146B86">
      <w:pPr>
        <w:spacing w:line="360" w:lineRule="auto"/>
        <w:ind w:firstLine="2977"/>
        <w:jc w:val="both"/>
        <w:rPr>
          <w:rFonts w:cs="Arial"/>
          <w:bCs/>
        </w:rPr>
      </w:pPr>
      <w:r>
        <w:rPr>
          <w:rFonts w:cs="Arial"/>
          <w:b/>
          <w:bCs/>
          <w:lang w:val="es-MX"/>
        </w:rPr>
        <w:t>5</w:t>
      </w:r>
      <w:r w:rsidR="00C23902">
        <w:rPr>
          <w:rFonts w:cs="Arial"/>
          <w:b/>
          <w:bCs/>
          <w:lang w:val="es-MX"/>
        </w:rPr>
        <w:t>)</w:t>
      </w:r>
      <w:r w:rsidR="00C23902">
        <w:rPr>
          <w:rFonts w:cs="Arial"/>
          <w:lang w:val="es-MX"/>
        </w:rPr>
        <w:t xml:space="preserve"> que </w:t>
      </w:r>
      <w:r w:rsidR="002608D4">
        <w:rPr>
          <w:rFonts w:cs="Arial"/>
          <w:lang w:val="es-MX"/>
        </w:rPr>
        <w:t xml:space="preserve"> por </w:t>
      </w:r>
      <w:r w:rsidR="00C23902">
        <w:rPr>
          <w:rFonts w:cs="Arial"/>
          <w:lang w:val="es-MX"/>
        </w:rPr>
        <w:t xml:space="preserve">el Decreto Nº 574/974 </w:t>
      </w:r>
      <w:r w:rsidR="002608D4">
        <w:rPr>
          <w:rFonts w:cs="Arial"/>
          <w:lang w:val="es-MX"/>
        </w:rPr>
        <w:t>del 12 de julio de 1074</w:t>
      </w:r>
      <w:r w:rsidR="00C23902">
        <w:rPr>
          <w:rFonts w:cs="Arial"/>
          <w:lang w:val="es-MX"/>
        </w:rPr>
        <w:t xml:space="preserve"> </w:t>
      </w:r>
      <w:r w:rsidR="002608D4">
        <w:rPr>
          <w:rFonts w:cs="Arial"/>
          <w:lang w:val="es-MX"/>
        </w:rPr>
        <w:t xml:space="preserve">se </w:t>
      </w:r>
      <w:r w:rsidR="00C23902">
        <w:rPr>
          <w:rFonts w:cs="Arial"/>
          <w:lang w:val="es-MX"/>
        </w:rPr>
        <w:t>atribuye al</w:t>
      </w:r>
      <w:r w:rsidR="002608D4">
        <w:rPr>
          <w:rFonts w:cs="Arial"/>
          <w:lang w:val="es-MX"/>
        </w:rPr>
        <w:t xml:space="preserve"> Ministerio de Ganadería, Agricultura y Pesca competencia en l</w:t>
      </w:r>
      <w:r w:rsidR="00C23902">
        <w:rPr>
          <w:rFonts w:cs="Arial"/>
          <w:lang w:val="es-MX"/>
        </w:rPr>
        <w:t>o concerniente a la conservación, mejoramiento y recuperación de suelos</w:t>
      </w:r>
      <w:r w:rsidR="00A3187E">
        <w:rPr>
          <w:rFonts w:cs="Arial"/>
          <w:lang w:val="es-MX"/>
        </w:rPr>
        <w:t>;</w:t>
      </w:r>
      <w:r w:rsidR="00C23902" w:rsidRPr="00E6254A">
        <w:t xml:space="preserve"> </w:t>
      </w:r>
    </w:p>
    <w:p w:rsidR="00C027FC" w:rsidRPr="00146B86" w:rsidRDefault="00C027FC" w:rsidP="00146B86">
      <w:pPr>
        <w:spacing w:line="360" w:lineRule="auto"/>
        <w:ind w:firstLine="2977"/>
        <w:jc w:val="both"/>
        <w:rPr>
          <w:rFonts w:cs="Arial"/>
          <w:bCs/>
        </w:rPr>
      </w:pPr>
      <w:bookmarkStart w:id="0" w:name="_GoBack"/>
      <w:bookmarkEnd w:id="0"/>
      <w:r w:rsidRPr="00C027FC">
        <w:rPr>
          <w:b/>
        </w:rPr>
        <w:t>6)</w:t>
      </w:r>
      <w:r>
        <w:t xml:space="preserve"> que en consecuencia el Proyecto y el acuerdo remitidos encuadran en las potestades legales de las entidades intervinientes;</w:t>
      </w:r>
      <w:r w:rsidR="00C23902" w:rsidRPr="00E6254A">
        <w:t xml:space="preserve"> </w:t>
      </w:r>
    </w:p>
    <w:p w:rsidR="00F204AF" w:rsidRDefault="00F204AF" w:rsidP="00146B86">
      <w:pPr>
        <w:spacing w:line="360" w:lineRule="auto"/>
        <w:ind w:firstLine="851"/>
        <w:jc w:val="both"/>
      </w:pPr>
      <w:r>
        <w:rPr>
          <w:b/>
          <w:bCs/>
        </w:rPr>
        <w:t>ATENTO:</w:t>
      </w:r>
      <w:r>
        <w:t xml:space="preserve"> a lo dispuesto por el artículo 211 literal B) de la Constitución de la República; </w:t>
      </w:r>
    </w:p>
    <w:p w:rsidR="00F204AF" w:rsidRPr="00C027FC" w:rsidRDefault="00F204AF" w:rsidP="00F204AF">
      <w:pPr>
        <w:pStyle w:val="Ttulo1"/>
        <w:spacing w:line="360" w:lineRule="auto"/>
        <w:rPr>
          <w:rFonts w:ascii="Arial" w:hAnsi="Arial" w:cs="Arial"/>
        </w:rPr>
      </w:pPr>
      <w:r w:rsidRPr="00C027FC">
        <w:rPr>
          <w:rFonts w:ascii="Arial" w:hAnsi="Arial" w:cs="Arial"/>
        </w:rPr>
        <w:t>EL TRIBUNAL ACUERDA</w:t>
      </w:r>
    </w:p>
    <w:p w:rsidR="00F204AF" w:rsidRPr="00457F06" w:rsidRDefault="00F204AF" w:rsidP="00F204AF"/>
    <w:p w:rsidR="00153AC0" w:rsidRPr="00153AC0" w:rsidRDefault="00ED5BD4" w:rsidP="00ED5BD4">
      <w:pPr>
        <w:spacing w:line="360" w:lineRule="auto"/>
        <w:ind w:left="284" w:hanging="284"/>
        <w:jc w:val="both"/>
      </w:pPr>
      <w:r w:rsidRPr="00146B86">
        <w:rPr>
          <w:b/>
        </w:rPr>
        <w:t>1)</w:t>
      </w:r>
      <w:r>
        <w:t xml:space="preserve"> </w:t>
      </w:r>
      <w:r w:rsidR="00F204AF">
        <w:t xml:space="preserve">No formular observaciones al </w:t>
      </w:r>
      <w:r w:rsidR="00FC6BEB" w:rsidRPr="00ED5BD4">
        <w:rPr>
          <w:rFonts w:cs="Arial"/>
          <w:lang w:val="es-MX"/>
        </w:rPr>
        <w:t>Proyecto “Producción ganadera climáticamente inteligente y restauración del suelo en pastizales uruguayos”</w:t>
      </w:r>
      <w:r w:rsidR="00153AC0" w:rsidRPr="00ED5BD4">
        <w:rPr>
          <w:rFonts w:cs="Arial"/>
          <w:lang w:val="es-MX"/>
        </w:rPr>
        <w:t xml:space="preserve"> (GCP/URU/03</w:t>
      </w:r>
      <w:r w:rsidR="00C027FC">
        <w:rPr>
          <w:rFonts w:cs="Arial"/>
          <w:lang w:val="es-MX"/>
        </w:rPr>
        <w:t>4/GFF) y al acuerdo a celebrar  por</w:t>
      </w:r>
      <w:r w:rsidR="00153AC0" w:rsidRPr="00ED5BD4">
        <w:rPr>
          <w:rFonts w:cs="Arial"/>
          <w:lang w:val="es-MX"/>
        </w:rPr>
        <w:t xml:space="preserve"> la Organización de las Naciones Unidas para la Alimentación y la Agricultura y la Agencia Uruguaya de Cooperación Internacional, para la ejecución de</w:t>
      </w:r>
      <w:r w:rsidR="00597BB5">
        <w:rPr>
          <w:rFonts w:cs="Arial"/>
          <w:lang w:val="es-MX"/>
        </w:rPr>
        <w:t>l mismo</w:t>
      </w:r>
      <w:r w:rsidR="00153AC0" w:rsidRPr="00ED5BD4">
        <w:rPr>
          <w:rFonts w:cs="Arial"/>
          <w:lang w:val="es-MX"/>
        </w:rPr>
        <w:t>;</w:t>
      </w:r>
    </w:p>
    <w:p w:rsidR="00714241" w:rsidRDefault="00ED5BD4" w:rsidP="00ED5BD4">
      <w:pPr>
        <w:spacing w:line="360" w:lineRule="auto"/>
        <w:ind w:left="284" w:hanging="284"/>
        <w:jc w:val="both"/>
      </w:pPr>
      <w:r w:rsidRPr="00146B86">
        <w:rPr>
          <w:rFonts w:cs="Arial"/>
          <w:b/>
        </w:rPr>
        <w:t>2)</w:t>
      </w:r>
      <w:r>
        <w:rPr>
          <w:rFonts w:cs="Arial"/>
        </w:rPr>
        <w:t xml:space="preserve"> </w:t>
      </w:r>
      <w:r w:rsidR="00714241">
        <w:t>Una vez dictada</w:t>
      </w:r>
      <w:r w:rsidR="00153AC0">
        <w:t>s</w:t>
      </w:r>
      <w:r w:rsidR="00714241">
        <w:t xml:space="preserve"> la</w:t>
      </w:r>
      <w:r w:rsidR="00153AC0">
        <w:t>s resolucio</w:t>
      </w:r>
      <w:r w:rsidR="00714241">
        <w:t>n</w:t>
      </w:r>
      <w:r w:rsidR="00153AC0">
        <w:t>es</w:t>
      </w:r>
      <w:r w:rsidR="00714241">
        <w:t xml:space="preserve"> definitiva</w:t>
      </w:r>
      <w:r w:rsidR="00153AC0">
        <w:t>s</w:t>
      </w:r>
      <w:r w:rsidR="00714241">
        <w:t xml:space="preserve"> por l</w:t>
      </w:r>
      <w:r w:rsidR="00153AC0">
        <w:t>os</w:t>
      </w:r>
      <w:r w:rsidR="00714241">
        <w:t xml:space="preserve"> ordenador</w:t>
      </w:r>
      <w:r w:rsidR="00153AC0">
        <w:t>es</w:t>
      </w:r>
      <w:r w:rsidR="00714241">
        <w:t xml:space="preserve"> competente</w:t>
      </w:r>
      <w:r w:rsidR="00153AC0">
        <w:t>s</w:t>
      </w:r>
      <w:r w:rsidR="00714241">
        <w:t xml:space="preserve">, se  comete </w:t>
      </w:r>
      <w:r w:rsidR="00153AC0">
        <w:t xml:space="preserve"> en forma respectiva </w:t>
      </w:r>
      <w:r w:rsidR="00714241">
        <w:t>a</w:t>
      </w:r>
      <w:r w:rsidR="00153AC0">
        <w:t xml:space="preserve"> </w:t>
      </w:r>
      <w:r w:rsidR="00714241">
        <w:t>l</w:t>
      </w:r>
      <w:r w:rsidR="00153AC0">
        <w:t>os</w:t>
      </w:r>
      <w:r w:rsidR="00714241">
        <w:t xml:space="preserve"> Contador</w:t>
      </w:r>
      <w:r w:rsidR="00153AC0">
        <w:t>es</w:t>
      </w:r>
      <w:r w:rsidR="00714241">
        <w:t xml:space="preserve"> Auditor</w:t>
      </w:r>
      <w:r w:rsidR="00153AC0">
        <w:t>es</w:t>
      </w:r>
      <w:r w:rsidR="00714241">
        <w:t xml:space="preserve"> destacado</w:t>
      </w:r>
      <w:r w:rsidR="00153AC0">
        <w:t>s</w:t>
      </w:r>
      <w:r w:rsidR="00714241">
        <w:t xml:space="preserve"> ante el Ministerio de Ganadería Agricultura y Pesca</w:t>
      </w:r>
      <w:r w:rsidR="00153AC0">
        <w:t xml:space="preserve"> y la Presidencia de la República,</w:t>
      </w:r>
      <w:r w:rsidR="00714241">
        <w:t xml:space="preserve"> </w:t>
      </w:r>
      <w:r w:rsidR="00153AC0">
        <w:t xml:space="preserve"> la</w:t>
      </w:r>
      <w:r w:rsidR="00714241">
        <w:t xml:space="preserve"> intervención de los gasto</w:t>
      </w:r>
      <w:r w:rsidR="00153AC0">
        <w:t>s derivados del Proyecto y el acuerdo mencionados</w:t>
      </w:r>
      <w:r w:rsidR="00714241">
        <w:t xml:space="preserve">, previa verificación de su imputación con cargo al grupo indicado con disponibilidad suficiente, y que </w:t>
      </w:r>
      <w:r w:rsidR="00AF3E3F">
        <w:t xml:space="preserve">los documentos </w:t>
      </w:r>
      <w:r w:rsidR="00714241">
        <w:t>definitivo</w:t>
      </w:r>
      <w:r w:rsidR="00AF3E3F">
        <w:t>s</w:t>
      </w:r>
      <w:r w:rsidR="00714241">
        <w:t xml:space="preserve"> concuerden con las condiciones sometidas a este Tribunal (Artículo 8 de la Ordenanza No 27 de 22 de mayo de 1968 en la redacción dispuesta por la Resolución de fecha 16 de junio de 2010);</w:t>
      </w:r>
    </w:p>
    <w:p w:rsidR="00C027FC" w:rsidRDefault="00ED5BD4" w:rsidP="00ED5BD4">
      <w:pPr>
        <w:spacing w:line="360" w:lineRule="auto"/>
        <w:ind w:left="284" w:hanging="284"/>
        <w:jc w:val="both"/>
        <w:rPr>
          <w:rFonts w:cs="Arial"/>
        </w:rPr>
      </w:pPr>
      <w:r w:rsidRPr="00146B86">
        <w:rPr>
          <w:rFonts w:cs="Arial"/>
          <w:b/>
        </w:rPr>
        <w:t>3)</w:t>
      </w:r>
      <w:r w:rsidR="00C027FC">
        <w:rPr>
          <w:rFonts w:cs="Arial"/>
        </w:rPr>
        <w:t xml:space="preserve"> Que asimismo deberá verificar se efectúe la comunicación correspondiente a la Asamblea General en el plazo previsto legalmente (Considerando 1)</w:t>
      </w:r>
      <w:r>
        <w:rPr>
          <w:rFonts w:cs="Arial"/>
        </w:rPr>
        <w:t xml:space="preserve"> </w:t>
      </w:r>
    </w:p>
    <w:p w:rsidR="00F204AF" w:rsidRDefault="00C027FC" w:rsidP="00ED5BD4">
      <w:pPr>
        <w:spacing w:line="360" w:lineRule="auto"/>
        <w:ind w:left="284" w:hanging="284"/>
        <w:jc w:val="both"/>
      </w:pPr>
      <w:r w:rsidRPr="00146B86">
        <w:rPr>
          <w:b/>
        </w:rPr>
        <w:t>4)</w:t>
      </w:r>
      <w:r>
        <w:t xml:space="preserve"> </w:t>
      </w:r>
      <w:r w:rsidR="00F204AF">
        <w:t>Comunicar al Contador Auditor destacad</w:t>
      </w:r>
      <w:r w:rsidR="00AF3E3F">
        <w:t>o</w:t>
      </w:r>
      <w:r w:rsidR="00F204AF">
        <w:t xml:space="preserve"> ante la </w:t>
      </w:r>
      <w:r w:rsidR="00F204AF" w:rsidRPr="00214FB5">
        <w:rPr>
          <w:rFonts w:cs="Arial"/>
          <w:lang w:val="es-MX"/>
        </w:rPr>
        <w:t>Ministerio de Ganadería Agricultura y Pesca</w:t>
      </w:r>
      <w:r w:rsidR="00AF3E3F">
        <w:rPr>
          <w:rFonts w:cs="Arial"/>
          <w:lang w:val="es-MX"/>
        </w:rPr>
        <w:t xml:space="preserve"> y al Contador Auditor destacado ante la Presidencia de la República</w:t>
      </w:r>
      <w:r w:rsidR="00F204AF" w:rsidRPr="00214FB5">
        <w:rPr>
          <w:rFonts w:cs="Arial"/>
          <w:lang w:val="es-MX"/>
        </w:rPr>
        <w:t>;</w:t>
      </w:r>
    </w:p>
    <w:p w:rsidR="00F204AF" w:rsidRDefault="00F204AF" w:rsidP="00146B86">
      <w:pPr>
        <w:pStyle w:val="Prrafodelista"/>
        <w:numPr>
          <w:ilvl w:val="0"/>
          <w:numId w:val="5"/>
        </w:numPr>
        <w:spacing w:line="360" w:lineRule="auto"/>
        <w:ind w:left="284" w:hanging="284"/>
        <w:jc w:val="both"/>
      </w:pPr>
      <w:r>
        <w:t>Devolver las actuaciones.</w:t>
      </w:r>
    </w:p>
    <w:p w:rsidR="00F204AF" w:rsidRPr="00146B86" w:rsidRDefault="00F204AF" w:rsidP="00F204AF">
      <w:pPr>
        <w:spacing w:line="360" w:lineRule="auto"/>
        <w:ind w:left="284" w:hanging="284"/>
        <w:jc w:val="both"/>
        <w:rPr>
          <w:sz w:val="20"/>
          <w:szCs w:val="20"/>
        </w:rPr>
      </w:pPr>
      <w:r>
        <w:t xml:space="preserve"> </w:t>
      </w:r>
      <w:r w:rsidR="00146B86">
        <w:rPr>
          <w:sz w:val="20"/>
          <w:szCs w:val="20"/>
        </w:rPr>
        <w:t>CLC</w:t>
      </w:r>
    </w:p>
    <w:p w:rsidR="00F204AF" w:rsidRDefault="00F204AF" w:rsidP="00F204AF">
      <w:pPr>
        <w:spacing w:line="360" w:lineRule="auto"/>
        <w:jc w:val="both"/>
      </w:pPr>
    </w:p>
    <w:sectPr w:rsidR="00F204AF" w:rsidSect="00146B86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85595"/>
    <w:multiLevelType w:val="hybridMultilevel"/>
    <w:tmpl w:val="586EE7FC"/>
    <w:lvl w:ilvl="0" w:tplc="38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D3829"/>
    <w:multiLevelType w:val="hybridMultilevel"/>
    <w:tmpl w:val="5620610A"/>
    <w:lvl w:ilvl="0" w:tplc="37DEBB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D22A3C"/>
    <w:multiLevelType w:val="hybridMultilevel"/>
    <w:tmpl w:val="EBEA29E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EB45D6"/>
    <w:multiLevelType w:val="hybridMultilevel"/>
    <w:tmpl w:val="DC4E3C3A"/>
    <w:lvl w:ilvl="0" w:tplc="C8DA0284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2276D3"/>
    <w:multiLevelType w:val="hybridMultilevel"/>
    <w:tmpl w:val="88105AF6"/>
    <w:lvl w:ilvl="0" w:tplc="224AF28A">
      <w:start w:val="5"/>
      <w:numFmt w:val="decimal"/>
      <w:lvlText w:val="%1)"/>
      <w:lvlJc w:val="left"/>
      <w:pPr>
        <w:ind w:left="765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85" w:hanging="360"/>
      </w:pPr>
    </w:lvl>
    <w:lvl w:ilvl="2" w:tplc="380A001B" w:tentative="1">
      <w:start w:val="1"/>
      <w:numFmt w:val="lowerRoman"/>
      <w:lvlText w:val="%3."/>
      <w:lvlJc w:val="right"/>
      <w:pPr>
        <w:ind w:left="2205" w:hanging="180"/>
      </w:pPr>
    </w:lvl>
    <w:lvl w:ilvl="3" w:tplc="380A000F" w:tentative="1">
      <w:start w:val="1"/>
      <w:numFmt w:val="decimal"/>
      <w:lvlText w:val="%4."/>
      <w:lvlJc w:val="left"/>
      <w:pPr>
        <w:ind w:left="2925" w:hanging="360"/>
      </w:pPr>
    </w:lvl>
    <w:lvl w:ilvl="4" w:tplc="380A0019" w:tentative="1">
      <w:start w:val="1"/>
      <w:numFmt w:val="lowerLetter"/>
      <w:lvlText w:val="%5."/>
      <w:lvlJc w:val="left"/>
      <w:pPr>
        <w:ind w:left="3645" w:hanging="360"/>
      </w:pPr>
    </w:lvl>
    <w:lvl w:ilvl="5" w:tplc="380A001B" w:tentative="1">
      <w:start w:val="1"/>
      <w:numFmt w:val="lowerRoman"/>
      <w:lvlText w:val="%6."/>
      <w:lvlJc w:val="right"/>
      <w:pPr>
        <w:ind w:left="4365" w:hanging="180"/>
      </w:pPr>
    </w:lvl>
    <w:lvl w:ilvl="6" w:tplc="380A000F" w:tentative="1">
      <w:start w:val="1"/>
      <w:numFmt w:val="decimal"/>
      <w:lvlText w:val="%7."/>
      <w:lvlJc w:val="left"/>
      <w:pPr>
        <w:ind w:left="5085" w:hanging="360"/>
      </w:pPr>
    </w:lvl>
    <w:lvl w:ilvl="7" w:tplc="380A0019" w:tentative="1">
      <w:start w:val="1"/>
      <w:numFmt w:val="lowerLetter"/>
      <w:lvlText w:val="%8."/>
      <w:lvlJc w:val="left"/>
      <w:pPr>
        <w:ind w:left="5805" w:hanging="360"/>
      </w:pPr>
    </w:lvl>
    <w:lvl w:ilvl="8" w:tplc="380A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AF"/>
    <w:rsid w:val="00022E30"/>
    <w:rsid w:val="000A5238"/>
    <w:rsid w:val="00146B86"/>
    <w:rsid w:val="001476B2"/>
    <w:rsid w:val="00153AC0"/>
    <w:rsid w:val="00166CE6"/>
    <w:rsid w:val="00170E7E"/>
    <w:rsid w:val="0020585F"/>
    <w:rsid w:val="00214FB5"/>
    <w:rsid w:val="002608D4"/>
    <w:rsid w:val="003212CD"/>
    <w:rsid w:val="00385898"/>
    <w:rsid w:val="003A42CE"/>
    <w:rsid w:val="004C347C"/>
    <w:rsid w:val="00597BB5"/>
    <w:rsid w:val="005D26DE"/>
    <w:rsid w:val="00603912"/>
    <w:rsid w:val="00607959"/>
    <w:rsid w:val="00656409"/>
    <w:rsid w:val="00714241"/>
    <w:rsid w:val="00755F86"/>
    <w:rsid w:val="00765849"/>
    <w:rsid w:val="00782688"/>
    <w:rsid w:val="007953E6"/>
    <w:rsid w:val="007E3158"/>
    <w:rsid w:val="008E06E0"/>
    <w:rsid w:val="009D6436"/>
    <w:rsid w:val="009F2851"/>
    <w:rsid w:val="00A3187E"/>
    <w:rsid w:val="00A5717E"/>
    <w:rsid w:val="00AF3E3F"/>
    <w:rsid w:val="00B07E7F"/>
    <w:rsid w:val="00B872B2"/>
    <w:rsid w:val="00C027FC"/>
    <w:rsid w:val="00C23902"/>
    <w:rsid w:val="00C96304"/>
    <w:rsid w:val="00E076E2"/>
    <w:rsid w:val="00E415B3"/>
    <w:rsid w:val="00E6254A"/>
    <w:rsid w:val="00EC61D5"/>
    <w:rsid w:val="00ED0A55"/>
    <w:rsid w:val="00ED5BD4"/>
    <w:rsid w:val="00F204AF"/>
    <w:rsid w:val="00F37B68"/>
    <w:rsid w:val="00F55B0B"/>
    <w:rsid w:val="00F61BEF"/>
    <w:rsid w:val="00F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4A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204AF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204AF"/>
    <w:rPr>
      <w:rFonts w:ascii="Times New Roman" w:eastAsia="Times New Roman" w:hAnsi="Times New Roman" w:cs="Times New Roman"/>
      <w:b/>
      <w:bCs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71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17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ED5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4A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204AF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204AF"/>
    <w:rPr>
      <w:rFonts w:ascii="Times New Roman" w:eastAsia="Times New Roman" w:hAnsi="Times New Roman" w:cs="Times New Roman"/>
      <w:b/>
      <w:bCs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71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17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ED5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1759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3</cp:revision>
  <cp:lastPrinted>2018-11-27T17:18:00Z</cp:lastPrinted>
  <dcterms:created xsi:type="dcterms:W3CDTF">2018-12-06T14:56:00Z</dcterms:created>
  <dcterms:modified xsi:type="dcterms:W3CDTF">2018-12-06T15:01:00Z</dcterms:modified>
</cp:coreProperties>
</file>