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7E" w:rsidRDefault="00ED677E" w:rsidP="00ED677E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 xml:space="preserve">RES. </w:t>
      </w:r>
      <w:r w:rsidR="00A27AFF">
        <w:rPr>
          <w:rFonts w:cs="Arial"/>
          <w:b/>
          <w:sz w:val="28"/>
          <w:szCs w:val="28"/>
          <w:lang w:val="es-ES_tradnl"/>
        </w:rPr>
        <w:t>3727</w:t>
      </w:r>
      <w:r>
        <w:rPr>
          <w:rFonts w:cs="Arial"/>
          <w:b/>
          <w:sz w:val="28"/>
          <w:szCs w:val="28"/>
          <w:lang w:val="es-ES_tradnl"/>
        </w:rPr>
        <w:t>/18</w:t>
      </w:r>
    </w:p>
    <w:p w:rsidR="00ED677E" w:rsidRDefault="00ED677E" w:rsidP="00ED677E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</w:p>
    <w:p w:rsidR="00ED677E" w:rsidRDefault="00ED677E" w:rsidP="00ED677E">
      <w:pPr>
        <w:tabs>
          <w:tab w:val="center" w:pos="4253"/>
        </w:tabs>
        <w:suppressAutoHyphens/>
        <w:jc w:val="center"/>
        <w:rPr>
          <w:rFonts w:ascii="Helvetica" w:hAnsi="Helvetica" w:cs="Helvetica"/>
          <w:b/>
          <w:lang w:val="es-ES_tradnl"/>
        </w:rPr>
      </w:pPr>
      <w:r>
        <w:rPr>
          <w:rFonts w:ascii="Helvetica" w:hAnsi="Helvetica" w:cs="Helvetica"/>
          <w:b/>
          <w:lang w:val="es-ES_tradnl"/>
        </w:rPr>
        <w:t>RESOLUCION ADOPTADA POR EL</w:t>
      </w:r>
    </w:p>
    <w:p w:rsidR="00ED677E" w:rsidRDefault="00ED677E" w:rsidP="00ED677E">
      <w:pPr>
        <w:tabs>
          <w:tab w:val="left" w:pos="-720"/>
        </w:tabs>
        <w:suppressAutoHyphens/>
        <w:jc w:val="center"/>
        <w:rPr>
          <w:rFonts w:ascii="Helvetica" w:hAnsi="Helvetica" w:cs="Helvetica"/>
          <w:b/>
          <w:lang w:val="es-ES_tradnl"/>
        </w:rPr>
      </w:pPr>
    </w:p>
    <w:p w:rsidR="00ED677E" w:rsidRDefault="00ED677E" w:rsidP="00ED677E">
      <w:pPr>
        <w:tabs>
          <w:tab w:val="center" w:pos="4253"/>
        </w:tabs>
        <w:suppressAutoHyphens/>
        <w:jc w:val="center"/>
        <w:rPr>
          <w:rFonts w:ascii="Helvetica" w:hAnsi="Helvetica" w:cs="Helvetica"/>
          <w:b/>
          <w:lang w:val="es-ES_tradnl"/>
        </w:rPr>
      </w:pPr>
      <w:r>
        <w:rPr>
          <w:rFonts w:ascii="Helvetica" w:hAnsi="Helvetica" w:cs="Helvetica"/>
          <w:b/>
          <w:lang w:val="es-ES_tradnl"/>
        </w:rPr>
        <w:t>TRIBUNAL DE CUENTAS</w:t>
      </w:r>
    </w:p>
    <w:p w:rsidR="00ED677E" w:rsidRDefault="00ED677E" w:rsidP="00ED677E">
      <w:pPr>
        <w:tabs>
          <w:tab w:val="left" w:pos="-720"/>
        </w:tabs>
        <w:suppressAutoHyphens/>
        <w:jc w:val="center"/>
        <w:rPr>
          <w:rFonts w:ascii="Helvetica" w:hAnsi="Helvetica" w:cs="Helvetica"/>
          <w:b/>
          <w:lang w:val="es-ES_tradnl"/>
        </w:rPr>
      </w:pPr>
    </w:p>
    <w:p w:rsidR="00ED677E" w:rsidRDefault="00ED677E" w:rsidP="00ED677E">
      <w:pPr>
        <w:tabs>
          <w:tab w:val="center" w:pos="4253"/>
        </w:tabs>
        <w:suppressAutoHyphens/>
        <w:jc w:val="center"/>
        <w:rPr>
          <w:rFonts w:ascii="Helvetica" w:hAnsi="Helvetica" w:cs="Helvetica"/>
          <w:b/>
          <w:lang w:val="es-ES_tradnl"/>
        </w:rPr>
      </w:pPr>
      <w:r>
        <w:rPr>
          <w:rFonts w:ascii="Helvetica" w:hAnsi="Helvetica" w:cs="Helvetica"/>
          <w:b/>
          <w:lang w:val="es-ES_tradnl"/>
        </w:rPr>
        <w:t>EN SESION DE FECHA  5 DE DICIEMBRE DE 2018</w:t>
      </w:r>
    </w:p>
    <w:p w:rsidR="00ED677E" w:rsidRDefault="00ED677E" w:rsidP="00ED677E">
      <w:pPr>
        <w:tabs>
          <w:tab w:val="center" w:pos="4253"/>
        </w:tabs>
        <w:suppressAutoHyphens/>
        <w:jc w:val="center"/>
        <w:rPr>
          <w:rFonts w:ascii="Helvetica" w:hAnsi="Helvetica" w:cs="Helvetica"/>
          <w:b/>
          <w:lang w:val="es-ES_tradnl"/>
        </w:rPr>
      </w:pPr>
    </w:p>
    <w:p w:rsidR="00ED677E" w:rsidRDefault="00ED677E" w:rsidP="00ED677E">
      <w:pPr>
        <w:tabs>
          <w:tab w:val="center" w:pos="4253"/>
        </w:tabs>
        <w:suppressAutoHyphens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b/>
        </w:rPr>
        <w:t>(E. E. Nº 201</w:t>
      </w:r>
      <w:r w:rsidR="00A27AFF">
        <w:rPr>
          <w:rFonts w:ascii="Helvetica" w:hAnsi="Helvetica" w:cs="Helvetica"/>
          <w:b/>
        </w:rPr>
        <w:t>8</w:t>
      </w:r>
      <w:r>
        <w:rPr>
          <w:rFonts w:ascii="Helvetica" w:hAnsi="Helvetica" w:cs="Helvetica"/>
          <w:b/>
        </w:rPr>
        <w:t>-17-1-000</w:t>
      </w:r>
      <w:r w:rsidR="00A27AFF">
        <w:rPr>
          <w:rFonts w:ascii="Helvetica" w:hAnsi="Helvetica" w:cs="Helvetica"/>
          <w:b/>
        </w:rPr>
        <w:t>469</w:t>
      </w:r>
      <w:r w:rsidR="00582D98">
        <w:rPr>
          <w:rFonts w:ascii="Helvetica" w:hAnsi="Helvetica" w:cs="Helvetica"/>
          <w:b/>
        </w:rPr>
        <w:t>8</w:t>
      </w:r>
      <w:bookmarkStart w:id="0" w:name="_GoBack"/>
      <w:bookmarkEnd w:id="0"/>
      <w:r>
        <w:rPr>
          <w:rFonts w:ascii="Helvetica" w:hAnsi="Helvetica" w:cs="Helvetica"/>
          <w:b/>
        </w:rPr>
        <w:t xml:space="preserve">, </w:t>
      </w:r>
      <w:proofErr w:type="spellStart"/>
      <w:r>
        <w:rPr>
          <w:rFonts w:ascii="Helvetica" w:hAnsi="Helvetica" w:cs="Helvetica"/>
          <w:b/>
        </w:rPr>
        <w:t>Ent</w:t>
      </w:r>
      <w:proofErr w:type="spellEnd"/>
      <w:r>
        <w:rPr>
          <w:rFonts w:ascii="Helvetica" w:hAnsi="Helvetica" w:cs="Helvetica"/>
          <w:b/>
        </w:rPr>
        <w:t xml:space="preserve">. N° </w:t>
      </w:r>
      <w:r w:rsidR="00A27AFF">
        <w:rPr>
          <w:rFonts w:ascii="Helvetica" w:hAnsi="Helvetica" w:cs="Helvetica"/>
          <w:b/>
        </w:rPr>
        <w:t>5425</w:t>
      </w:r>
      <w:r>
        <w:rPr>
          <w:rFonts w:ascii="Helvetica" w:hAnsi="Helvetica" w:cs="Helvetica"/>
          <w:b/>
        </w:rPr>
        <w:t>/18)</w:t>
      </w:r>
    </w:p>
    <w:p w:rsidR="00ED677E" w:rsidRDefault="00ED677E" w:rsidP="00ED677E">
      <w:pPr>
        <w:spacing w:line="360" w:lineRule="auto"/>
        <w:jc w:val="both"/>
        <w:rPr>
          <w:rFonts w:cs="Arial"/>
          <w:b/>
          <w:lang w:val="es-MX"/>
        </w:rPr>
      </w:pPr>
    </w:p>
    <w:p w:rsidR="00F0277E" w:rsidRDefault="00F0277E" w:rsidP="00F0277E"/>
    <w:p w:rsidR="00F0277E" w:rsidRDefault="00F0277E" w:rsidP="00430419">
      <w:pPr>
        <w:spacing w:line="360" w:lineRule="auto"/>
        <w:ind w:firstLine="851"/>
        <w:jc w:val="both"/>
      </w:pPr>
      <w:r>
        <w:rPr>
          <w:b/>
          <w:bCs/>
        </w:rPr>
        <w:t>VISTO</w:t>
      </w:r>
      <w:r w:rsidR="008641D5">
        <w:rPr>
          <w:b/>
          <w:bCs/>
        </w:rPr>
        <w:t>:</w:t>
      </w:r>
      <w:r>
        <w:t xml:space="preserve"> estas actuaciones remitidas por el </w:t>
      </w:r>
      <w:r w:rsidR="00C43612">
        <w:t>Banco de Previsión Social (BPS)</w:t>
      </w:r>
      <w:r w:rsidR="00822078">
        <w:t>, relacio</w:t>
      </w:r>
      <w:r w:rsidR="00C43612">
        <w:t>nadas con la modificación de los convenios suscri</w:t>
      </w:r>
      <w:r w:rsidR="008641D5">
        <w:t>tos</w:t>
      </w:r>
      <w:r w:rsidR="00C43612">
        <w:t xml:space="preserve"> con Instituciones de Intermediación Financiera (IEDES)</w:t>
      </w:r>
      <w:r>
        <w:t xml:space="preserve">; </w:t>
      </w:r>
    </w:p>
    <w:p w:rsidR="00393810" w:rsidRDefault="00F0277E" w:rsidP="00430419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 xml:space="preserve">RESULTANDO: 1) </w:t>
      </w:r>
      <w:r>
        <w:rPr>
          <w:bCs/>
        </w:rPr>
        <w:t>que</w:t>
      </w:r>
      <w:r w:rsidR="00C43612">
        <w:rPr>
          <w:bCs/>
        </w:rPr>
        <w:t xml:space="preserve"> en la actualidad</w:t>
      </w:r>
      <w:r w:rsidR="00A556CE">
        <w:rPr>
          <w:bCs/>
        </w:rPr>
        <w:t>,</w:t>
      </w:r>
      <w:r w:rsidR="00C43612">
        <w:rPr>
          <w:bCs/>
        </w:rPr>
        <w:t xml:space="preserve"> el BPS tiene suscrito con Instituciones de Intermediación Financiera </w:t>
      </w:r>
      <w:r w:rsidR="00A556CE">
        <w:rPr>
          <w:bCs/>
        </w:rPr>
        <w:t xml:space="preserve">sendos </w:t>
      </w:r>
      <w:r w:rsidR="00C43612">
        <w:rPr>
          <w:bCs/>
        </w:rPr>
        <w:t xml:space="preserve">convenios a los efectos de regular entre las partes lo establecido en la ley 19.210 de </w:t>
      </w:r>
      <w:r w:rsidR="000E233B">
        <w:rPr>
          <w:bCs/>
        </w:rPr>
        <w:t>29/04/2014 y en el Decreto 263/2015 de 28/09/2015</w:t>
      </w:r>
      <w:r w:rsidR="00684797">
        <w:rPr>
          <w:bCs/>
        </w:rPr>
        <w:t xml:space="preserve">, cuyo objeto </w:t>
      </w:r>
      <w:r w:rsidR="00A556CE">
        <w:rPr>
          <w:bCs/>
        </w:rPr>
        <w:t>es</w:t>
      </w:r>
      <w:r w:rsidR="00684797">
        <w:rPr>
          <w:bCs/>
        </w:rPr>
        <w:t xml:space="preserve"> el pago de jubilaciones y pensiones anteriores al 1/11/2015 y beneficios sociales u otras prestaciones anteriores al 1/01/2018, que voluntariamente hubieran optado por incorporarse al sistema de pagos previsto en la normativa citada</w:t>
      </w:r>
      <w:r w:rsidR="00393810">
        <w:rPr>
          <w:bCs/>
        </w:rPr>
        <w:t xml:space="preserve">; </w:t>
      </w:r>
    </w:p>
    <w:p w:rsidR="00D479E4" w:rsidRDefault="00F0277E" w:rsidP="00430419">
      <w:pPr>
        <w:tabs>
          <w:tab w:val="left" w:pos="1843"/>
        </w:tabs>
        <w:spacing w:line="360" w:lineRule="auto"/>
        <w:ind w:firstLine="2835"/>
        <w:jc w:val="both"/>
        <w:rPr>
          <w:bCs/>
        </w:rPr>
      </w:pPr>
      <w:r w:rsidRPr="00776C03">
        <w:rPr>
          <w:b/>
          <w:bCs/>
        </w:rPr>
        <w:t>2)</w:t>
      </w:r>
      <w:r>
        <w:rPr>
          <w:bCs/>
        </w:rPr>
        <w:t xml:space="preserve"> que</w:t>
      </w:r>
      <w:r w:rsidR="00684797">
        <w:rPr>
          <w:bCs/>
        </w:rPr>
        <w:t xml:space="preserve"> en virtud de la modificación del inciso 1</w:t>
      </w:r>
      <w:r w:rsidR="00A556CE">
        <w:rPr>
          <w:bCs/>
        </w:rPr>
        <w:t>º</w:t>
      </w:r>
      <w:r w:rsidR="00684797">
        <w:rPr>
          <w:bCs/>
        </w:rPr>
        <w:t xml:space="preserve"> del artículo 15 del Decreto </w:t>
      </w:r>
      <w:r w:rsidR="00684797" w:rsidRPr="00684797">
        <w:rPr>
          <w:bCs/>
        </w:rPr>
        <w:t>263/2015 de 28/09/2015,</w:t>
      </w:r>
      <w:r w:rsidR="00684797">
        <w:rPr>
          <w:bCs/>
        </w:rPr>
        <w:t xml:space="preserve"> dispuesta por el Decreto 133/018 de 7/5/2018, </w:t>
      </w:r>
      <w:r w:rsidR="00A556CE">
        <w:rPr>
          <w:bCs/>
        </w:rPr>
        <w:t xml:space="preserve">que prevé la </w:t>
      </w:r>
      <w:r w:rsidR="00A27986">
        <w:rPr>
          <w:bCs/>
        </w:rPr>
        <w:t xml:space="preserve">posibilidad de establecer cargos al </w:t>
      </w:r>
      <w:r w:rsidR="00A556CE">
        <w:rPr>
          <w:bCs/>
        </w:rPr>
        <w:t>I</w:t>
      </w:r>
      <w:r w:rsidR="00A27986">
        <w:rPr>
          <w:bCs/>
        </w:rPr>
        <w:t xml:space="preserve">nstituto de </w:t>
      </w:r>
      <w:r w:rsidR="00A556CE">
        <w:rPr>
          <w:bCs/>
        </w:rPr>
        <w:t>Seguridad S</w:t>
      </w:r>
      <w:r w:rsidR="00A27986">
        <w:rPr>
          <w:bCs/>
        </w:rPr>
        <w:t xml:space="preserve">ocial, </w:t>
      </w:r>
      <w:r w:rsidR="00684797">
        <w:rPr>
          <w:bCs/>
        </w:rPr>
        <w:t>se modific</w:t>
      </w:r>
      <w:r w:rsidR="008641D5">
        <w:rPr>
          <w:bCs/>
        </w:rPr>
        <w:t>aron</w:t>
      </w:r>
      <w:r w:rsidR="00A556CE">
        <w:rPr>
          <w:bCs/>
        </w:rPr>
        <w:t xml:space="preserve"> los convenios suscritos</w:t>
      </w:r>
      <w:r w:rsidR="00684797">
        <w:rPr>
          <w:bCs/>
        </w:rPr>
        <w:t xml:space="preserve"> en su cláusula octava, la cual establece las comisiones por transacciones que pueden cobrar las instituciones de intermediación financiera</w:t>
      </w:r>
      <w:r w:rsidR="00D479E4">
        <w:rPr>
          <w:bCs/>
        </w:rPr>
        <w:t xml:space="preserve">; </w:t>
      </w:r>
    </w:p>
    <w:p w:rsidR="008641D5" w:rsidRDefault="00D479E4" w:rsidP="00430419">
      <w:pPr>
        <w:tabs>
          <w:tab w:val="left" w:pos="1843"/>
        </w:tabs>
        <w:spacing w:line="360" w:lineRule="auto"/>
        <w:ind w:firstLine="2835"/>
        <w:jc w:val="both"/>
        <w:rPr>
          <w:bCs/>
        </w:rPr>
      </w:pPr>
      <w:r w:rsidRPr="00D479E4">
        <w:rPr>
          <w:b/>
          <w:bCs/>
        </w:rPr>
        <w:t>3)</w:t>
      </w:r>
      <w:r w:rsidRPr="00D479E4">
        <w:rPr>
          <w:bCs/>
        </w:rPr>
        <w:t xml:space="preserve"> que</w:t>
      </w:r>
      <w:r w:rsidR="008641D5">
        <w:rPr>
          <w:bCs/>
        </w:rPr>
        <w:t xml:space="preserve"> este Tribunal</w:t>
      </w:r>
      <w:r w:rsidR="00A556CE">
        <w:rPr>
          <w:bCs/>
        </w:rPr>
        <w:t>,</w:t>
      </w:r>
      <w:r w:rsidR="008641D5">
        <w:rPr>
          <w:bCs/>
        </w:rPr>
        <w:t xml:space="preserve"> por Resolución N° 2433/18 de fecha 25 de julio de 2018</w:t>
      </w:r>
      <w:r w:rsidR="00A556CE">
        <w:rPr>
          <w:bCs/>
        </w:rPr>
        <w:t>,</w:t>
      </w:r>
      <w:r w:rsidR="008641D5">
        <w:rPr>
          <w:bCs/>
        </w:rPr>
        <w:t xml:space="preserve"> acordó no formular observac</w:t>
      </w:r>
      <w:r w:rsidR="00BC48D4">
        <w:rPr>
          <w:bCs/>
        </w:rPr>
        <w:t>i</w:t>
      </w:r>
      <w:r w:rsidR="008641D5">
        <w:rPr>
          <w:bCs/>
        </w:rPr>
        <w:t>ones a las modificaciones de convenios c</w:t>
      </w:r>
      <w:r w:rsidR="00A556CE">
        <w:rPr>
          <w:bCs/>
        </w:rPr>
        <w:t>e</w:t>
      </w:r>
      <w:r w:rsidR="008641D5">
        <w:rPr>
          <w:bCs/>
        </w:rPr>
        <w:t xml:space="preserve">lebrados con las Instituciones de Intermediación </w:t>
      </w:r>
      <w:r w:rsidR="00A556CE">
        <w:rPr>
          <w:bCs/>
        </w:rPr>
        <w:t>F</w:t>
      </w:r>
      <w:r w:rsidR="008641D5">
        <w:rPr>
          <w:bCs/>
        </w:rPr>
        <w:t>inanciera, cometiendo al contador Delegado en el BPS la intervención del gasto estimado de $ 59.267.301;</w:t>
      </w:r>
    </w:p>
    <w:p w:rsidR="00BE6AA5" w:rsidRDefault="008641D5" w:rsidP="00AC2479">
      <w:pPr>
        <w:tabs>
          <w:tab w:val="left" w:pos="1843"/>
        </w:tabs>
        <w:spacing w:line="360" w:lineRule="auto"/>
        <w:ind w:firstLine="2835"/>
        <w:jc w:val="both"/>
        <w:rPr>
          <w:bCs/>
        </w:rPr>
      </w:pPr>
      <w:r>
        <w:rPr>
          <w:b/>
          <w:bCs/>
        </w:rPr>
        <w:lastRenderedPageBreak/>
        <w:t xml:space="preserve">4) </w:t>
      </w:r>
      <w:r>
        <w:rPr>
          <w:bCs/>
        </w:rPr>
        <w:t>que en esta oportunidad,</w:t>
      </w:r>
      <w:r w:rsidR="00BE6AA5">
        <w:rPr>
          <w:bCs/>
        </w:rPr>
        <w:t xml:space="preserve"> </w:t>
      </w:r>
      <w:r w:rsidR="00E97BA9">
        <w:rPr>
          <w:bCs/>
        </w:rPr>
        <w:t xml:space="preserve">se adjunta informe de la </w:t>
      </w:r>
      <w:r w:rsidR="0091180E">
        <w:rPr>
          <w:bCs/>
        </w:rPr>
        <w:t>Oficina de Imputación y Liquidaciones de fecha 20/11/18</w:t>
      </w:r>
      <w:r w:rsidR="00E97BA9">
        <w:rPr>
          <w:bCs/>
        </w:rPr>
        <w:t>, en el cual se</w:t>
      </w:r>
      <w:r w:rsidR="00A556CE">
        <w:rPr>
          <w:bCs/>
        </w:rPr>
        <w:t xml:space="preserve"> </w:t>
      </w:r>
      <w:r w:rsidR="0091180E">
        <w:rPr>
          <w:bCs/>
        </w:rPr>
        <w:t xml:space="preserve">expresa </w:t>
      </w:r>
      <w:r w:rsidR="00BE6AA5">
        <w:rPr>
          <w:bCs/>
        </w:rPr>
        <w:t xml:space="preserve">que realizadas nuevas estimaciones </w:t>
      </w:r>
      <w:r w:rsidR="00A556CE">
        <w:rPr>
          <w:bCs/>
        </w:rPr>
        <w:t>p</w:t>
      </w:r>
      <w:r w:rsidR="00BE6AA5">
        <w:rPr>
          <w:bCs/>
        </w:rPr>
        <w:t xml:space="preserve">or lo que resta del Ejercicio 2018, se remite </w:t>
      </w:r>
      <w:r w:rsidR="00A556CE">
        <w:rPr>
          <w:bCs/>
        </w:rPr>
        <w:t>a</w:t>
      </w:r>
      <w:r w:rsidR="00BE6AA5">
        <w:rPr>
          <w:bCs/>
        </w:rPr>
        <w:t xml:space="preserve"> intervención los </w:t>
      </w:r>
      <w:r w:rsidR="0091180E">
        <w:rPr>
          <w:bCs/>
        </w:rPr>
        <w:t xml:space="preserve">ajustes de los </w:t>
      </w:r>
      <w:r w:rsidR="00BE6AA5">
        <w:rPr>
          <w:bCs/>
        </w:rPr>
        <w:t>aumentos correspondientes a</w:t>
      </w:r>
      <w:r w:rsidR="0091180E">
        <w:rPr>
          <w:bCs/>
        </w:rPr>
        <w:t xml:space="preserve"> las firmas</w:t>
      </w:r>
      <w:r w:rsidR="00BE6AA5">
        <w:rPr>
          <w:bCs/>
        </w:rPr>
        <w:t xml:space="preserve"> ECONSTAR SA y a DE ANDA</w:t>
      </w:r>
      <w:r w:rsidR="00A556CE">
        <w:rPr>
          <w:bCs/>
        </w:rPr>
        <w:t>,</w:t>
      </w:r>
      <w:r w:rsidR="00BE6AA5">
        <w:rPr>
          <w:bCs/>
        </w:rPr>
        <w:t xml:space="preserve"> por $ 111.959 y $ 5.050.125 respectivamente;</w:t>
      </w:r>
    </w:p>
    <w:p w:rsidR="00163000" w:rsidRDefault="00163000" w:rsidP="00AC2479">
      <w:pPr>
        <w:tabs>
          <w:tab w:val="left" w:pos="1843"/>
        </w:tabs>
        <w:spacing w:line="360" w:lineRule="auto"/>
        <w:ind w:firstLine="2835"/>
        <w:jc w:val="both"/>
        <w:rPr>
          <w:bCs/>
        </w:rPr>
      </w:pPr>
      <w:r w:rsidRPr="00163000">
        <w:rPr>
          <w:b/>
          <w:bCs/>
        </w:rPr>
        <w:t xml:space="preserve">5) </w:t>
      </w:r>
      <w:r>
        <w:rPr>
          <w:bCs/>
        </w:rPr>
        <w:t xml:space="preserve">que se adjuntan documentos de imputación informando que el rubro 269002 </w:t>
      </w:r>
      <w:r w:rsidR="00A556CE">
        <w:rPr>
          <w:bCs/>
        </w:rPr>
        <w:t>cuenta con</w:t>
      </w:r>
      <w:r>
        <w:rPr>
          <w:bCs/>
        </w:rPr>
        <w:t xml:space="preserve"> disponibilidad suficiente</w:t>
      </w:r>
      <w:r w:rsidR="00A556CE">
        <w:rPr>
          <w:bCs/>
        </w:rPr>
        <w:t xml:space="preserve"> para atender el gasto</w:t>
      </w:r>
      <w:r>
        <w:rPr>
          <w:bCs/>
        </w:rPr>
        <w:t>;</w:t>
      </w:r>
    </w:p>
    <w:p w:rsidR="00A556CE" w:rsidRPr="00A556CE" w:rsidRDefault="00A556CE" w:rsidP="00AC2479">
      <w:pPr>
        <w:tabs>
          <w:tab w:val="left" w:pos="1843"/>
        </w:tabs>
        <w:spacing w:line="360" w:lineRule="auto"/>
        <w:ind w:firstLine="2835"/>
        <w:jc w:val="both"/>
        <w:rPr>
          <w:bCs/>
        </w:rPr>
      </w:pPr>
      <w:r>
        <w:rPr>
          <w:b/>
          <w:bCs/>
        </w:rPr>
        <w:t xml:space="preserve">6) </w:t>
      </w:r>
      <w:r>
        <w:rPr>
          <w:bCs/>
        </w:rPr>
        <w:t xml:space="preserve">que </w:t>
      </w:r>
      <w:r w:rsidR="0091180E">
        <w:rPr>
          <w:bCs/>
        </w:rPr>
        <w:t xml:space="preserve">debe señalarse que </w:t>
      </w:r>
      <w:r>
        <w:rPr>
          <w:bCs/>
        </w:rPr>
        <w:t>el Directorio del BPS por resolución de fecha 4/7/18</w:t>
      </w:r>
      <w:r w:rsidR="0091180E">
        <w:rPr>
          <w:bCs/>
        </w:rPr>
        <w:t>, había aprobado</w:t>
      </w:r>
      <w:r>
        <w:rPr>
          <w:bCs/>
        </w:rPr>
        <w:t xml:space="preserve"> la modificación de los convenios celebrados con instituciones emisoras de dinero electrónico</w:t>
      </w:r>
      <w:r w:rsidR="0091180E">
        <w:rPr>
          <w:bCs/>
        </w:rPr>
        <w:t>;</w:t>
      </w:r>
    </w:p>
    <w:p w:rsidR="007E7FAB" w:rsidRPr="00E97BA9" w:rsidRDefault="007E7FAB" w:rsidP="00F57E5A">
      <w:pPr>
        <w:tabs>
          <w:tab w:val="left" w:pos="1800"/>
        </w:tabs>
        <w:spacing w:line="360" w:lineRule="auto"/>
        <w:ind w:firstLine="851"/>
        <w:jc w:val="both"/>
      </w:pPr>
      <w:r>
        <w:rPr>
          <w:b/>
          <w:bCs/>
        </w:rPr>
        <w:t>CONSIDERANDO: 1)</w:t>
      </w:r>
      <w:r w:rsidRPr="00D540F5">
        <w:rPr>
          <w:bCs/>
        </w:rPr>
        <w:t xml:space="preserve"> </w:t>
      </w:r>
      <w:r>
        <w:rPr>
          <w:bCs/>
        </w:rPr>
        <w:t xml:space="preserve">que </w:t>
      </w:r>
      <w:r>
        <w:t xml:space="preserve">el artículo </w:t>
      </w:r>
      <w:r w:rsidR="00E97BA9">
        <w:t xml:space="preserve">15 del Decreto </w:t>
      </w:r>
      <w:r w:rsidR="00E97BA9" w:rsidRPr="00E97BA9">
        <w:t>263/2015 de 28/09/2015</w:t>
      </w:r>
      <w:r>
        <w:t xml:space="preserve">, dispone que </w:t>
      </w:r>
      <w:r w:rsidR="00E97BA9" w:rsidRPr="00E97BA9">
        <w:rPr>
          <w:i/>
        </w:rPr>
        <w:t>“las instituciones de intermediación financiera y las instituciones emisoras de dinero electrónico locales que ofrezcan los servicios de pago descritos en los artículos 1° a 5° del presente Decreto, tendrán la obligación de brindar los servicios básicos mínimos que se establecen en el artículo siguiente a todos los trabajadores, pasivos y beneficiarios que reciban dichos pagos. La institución seleccionada no podrá cobrar cargo alguno a ninguna de las partes por la prestación de tales servicios, con excepción de las pasividades y beneficios referidas en el artículo 3° del presente Decreto, en los que podrá establecer cargos al instituto de seguridad social o compañía de seguros</w:t>
      </w:r>
      <w:r w:rsidR="00E97BA9">
        <w:t>”;</w:t>
      </w:r>
    </w:p>
    <w:p w:rsidR="00E83860" w:rsidRDefault="00E83860" w:rsidP="00AC2479">
      <w:pPr>
        <w:pStyle w:val="Sangradetextonormal"/>
        <w:ind w:left="0" w:firstLine="3119"/>
        <w:rPr>
          <w:b/>
        </w:rPr>
      </w:pPr>
      <w:r>
        <w:rPr>
          <w:b/>
          <w:bCs/>
        </w:rPr>
        <w:t xml:space="preserve">2) </w:t>
      </w:r>
      <w:r>
        <w:t xml:space="preserve">que </w:t>
      </w:r>
      <w:r w:rsidR="00CD6D13">
        <w:t xml:space="preserve">los aumentos por nuevas estimaciones para el </w:t>
      </w:r>
      <w:proofErr w:type="spellStart"/>
      <w:r w:rsidR="00CD6D13">
        <w:t>ejercico</w:t>
      </w:r>
      <w:proofErr w:type="spellEnd"/>
      <w:r w:rsidR="00CD6D13">
        <w:t xml:space="preserve"> 2018 de las empresas </w:t>
      </w:r>
      <w:r w:rsidR="00CD6D13">
        <w:rPr>
          <w:bCs/>
        </w:rPr>
        <w:t>ECONSTAR SA y DE ANDA</w:t>
      </w:r>
      <w:r w:rsidR="00A556CE">
        <w:rPr>
          <w:bCs/>
        </w:rPr>
        <w:t>, derivados de</w:t>
      </w:r>
      <w:r w:rsidR="00CD6D13">
        <w:t xml:space="preserve"> la</w:t>
      </w:r>
      <w:r w:rsidR="00E97BA9">
        <w:t xml:space="preserve"> modificación de los convenios re</w:t>
      </w:r>
      <w:r w:rsidR="00CD6D13">
        <w:t>spectivos,</w:t>
      </w:r>
      <w:r w:rsidR="00E97BA9">
        <w:t xml:space="preserve"> se ajusta a la normativa citada</w:t>
      </w:r>
      <w:r w:rsidR="00A556CE">
        <w:t>, por lo que el gasto no merece objeciones legales</w:t>
      </w:r>
      <w:r>
        <w:t>;</w:t>
      </w:r>
      <w:r>
        <w:rPr>
          <w:b/>
        </w:rPr>
        <w:t xml:space="preserve">                          </w:t>
      </w:r>
    </w:p>
    <w:p w:rsidR="00446D5A" w:rsidRDefault="00F0277E" w:rsidP="00AC2479">
      <w:pPr>
        <w:spacing w:line="360" w:lineRule="auto"/>
        <w:ind w:firstLine="851"/>
        <w:jc w:val="both"/>
        <w:rPr>
          <w:rFonts w:cs="Arial"/>
        </w:rPr>
      </w:pPr>
      <w:r>
        <w:rPr>
          <w:b/>
        </w:rPr>
        <w:t>A</w:t>
      </w:r>
      <w:r>
        <w:rPr>
          <w:rFonts w:cs="Arial"/>
          <w:b/>
          <w:bCs/>
        </w:rPr>
        <w:t>TENTO:</w:t>
      </w:r>
      <w:r>
        <w:rPr>
          <w:rFonts w:cs="Arial"/>
        </w:rPr>
        <w:t xml:space="preserve"> a lo expuesto precedentemen</w:t>
      </w:r>
      <w:r w:rsidR="00AC2479">
        <w:rPr>
          <w:rFonts w:cs="Arial"/>
        </w:rPr>
        <w:t xml:space="preserve">te y a lo dispuesto por el artículo </w:t>
      </w:r>
      <w:r>
        <w:rPr>
          <w:rFonts w:cs="Arial"/>
        </w:rPr>
        <w:t xml:space="preserve">211 </w:t>
      </w:r>
      <w:proofErr w:type="spellStart"/>
      <w:r>
        <w:rPr>
          <w:rFonts w:cs="Arial"/>
        </w:rPr>
        <w:t>lit.</w:t>
      </w:r>
      <w:proofErr w:type="spellEnd"/>
      <w:r>
        <w:rPr>
          <w:rFonts w:cs="Arial"/>
        </w:rPr>
        <w:t xml:space="preserve"> B) de la Constitución</w:t>
      </w:r>
      <w:r w:rsidR="00AC2479">
        <w:rPr>
          <w:rFonts w:cs="Arial"/>
        </w:rPr>
        <w:t xml:space="preserve"> de la República;</w:t>
      </w:r>
    </w:p>
    <w:p w:rsidR="00AC2479" w:rsidRDefault="00AC2479" w:rsidP="00AC2479">
      <w:pPr>
        <w:spacing w:line="360" w:lineRule="auto"/>
        <w:ind w:firstLine="851"/>
        <w:jc w:val="both"/>
        <w:rPr>
          <w:rFonts w:cs="Arial"/>
        </w:rPr>
      </w:pPr>
    </w:p>
    <w:p w:rsidR="00AC2479" w:rsidRDefault="00AC2479" w:rsidP="00AC2479">
      <w:pPr>
        <w:spacing w:line="360" w:lineRule="auto"/>
        <w:ind w:firstLine="851"/>
        <w:jc w:val="both"/>
        <w:rPr>
          <w:b/>
          <w:bCs/>
        </w:rPr>
      </w:pPr>
    </w:p>
    <w:p w:rsidR="00F0277E" w:rsidRDefault="00BC48D4" w:rsidP="00F0277E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lastRenderedPageBreak/>
        <w:t>EL TRIBUNAL ACUERDA</w:t>
      </w:r>
    </w:p>
    <w:p w:rsidR="00F0277E" w:rsidRDefault="00AC2479" w:rsidP="00AC2479">
      <w:pPr>
        <w:spacing w:line="360" w:lineRule="auto"/>
        <w:ind w:left="284" w:hanging="284"/>
        <w:jc w:val="both"/>
      </w:pPr>
      <w:r w:rsidRPr="00AC2479">
        <w:rPr>
          <w:rFonts w:cs="Arial"/>
          <w:b/>
        </w:rPr>
        <w:t>1)</w:t>
      </w:r>
      <w:r>
        <w:rPr>
          <w:rFonts w:cs="Arial"/>
        </w:rPr>
        <w:t xml:space="preserve"> </w:t>
      </w:r>
      <w:r w:rsidR="00E97BA9">
        <w:rPr>
          <w:rFonts w:cs="Arial"/>
          <w:lang w:val="es-UY"/>
        </w:rPr>
        <w:t xml:space="preserve">Cometer al Contador Delegado en </w:t>
      </w:r>
      <w:r w:rsidR="00A556CE">
        <w:rPr>
          <w:rFonts w:cs="Arial"/>
          <w:lang w:val="es-UY"/>
        </w:rPr>
        <w:t xml:space="preserve">el </w:t>
      </w:r>
      <w:r w:rsidR="00E97BA9">
        <w:rPr>
          <w:rFonts w:cs="Arial"/>
          <w:lang w:val="es-UY"/>
        </w:rPr>
        <w:t xml:space="preserve">BPS la intervención del gasto estimado de $ </w:t>
      </w:r>
      <w:r w:rsidR="00CD6D13">
        <w:rPr>
          <w:rFonts w:cs="Arial"/>
          <w:lang w:val="es-UY"/>
        </w:rPr>
        <w:t>5</w:t>
      </w:r>
      <w:r w:rsidR="00163000">
        <w:rPr>
          <w:rFonts w:cs="Arial"/>
          <w:lang w:val="es-UY"/>
        </w:rPr>
        <w:t>.</w:t>
      </w:r>
      <w:r w:rsidR="00CD6D13">
        <w:rPr>
          <w:rFonts w:cs="Arial"/>
          <w:lang w:val="es-UY"/>
        </w:rPr>
        <w:t>162</w:t>
      </w:r>
      <w:r w:rsidR="00163000">
        <w:rPr>
          <w:rFonts w:cs="Arial"/>
          <w:lang w:val="es-UY"/>
        </w:rPr>
        <w:t>.</w:t>
      </w:r>
      <w:r w:rsidR="00CD6D13">
        <w:rPr>
          <w:rFonts w:cs="Arial"/>
          <w:lang w:val="es-UY"/>
        </w:rPr>
        <w:t>084,</w:t>
      </w:r>
      <w:r w:rsidR="00163000">
        <w:rPr>
          <w:rFonts w:cs="Arial"/>
          <w:lang w:val="es-UY"/>
        </w:rPr>
        <w:t xml:space="preserve"> previo control de su imputación con cargo a grupo adecuado con disponibilidad suficiente</w:t>
      </w:r>
      <w:r w:rsidR="00F0277E">
        <w:t>;</w:t>
      </w:r>
    </w:p>
    <w:p w:rsidR="00F0277E" w:rsidRDefault="00AC2479" w:rsidP="00AC2479">
      <w:pPr>
        <w:spacing w:line="360" w:lineRule="auto"/>
        <w:jc w:val="both"/>
      </w:pPr>
      <w:r w:rsidRPr="00AC2479">
        <w:rPr>
          <w:b/>
        </w:rPr>
        <w:t xml:space="preserve">2) </w:t>
      </w:r>
      <w:r w:rsidR="00F0277E">
        <w:t xml:space="preserve">Comunicar al Contador </w:t>
      </w:r>
      <w:r w:rsidR="00163000">
        <w:t>Delgado</w:t>
      </w:r>
      <w:r w:rsidR="00F0277E">
        <w:t>;</w:t>
      </w:r>
    </w:p>
    <w:p w:rsidR="00F0277E" w:rsidRDefault="00AC2479" w:rsidP="00AC2479">
      <w:pPr>
        <w:spacing w:line="360" w:lineRule="auto"/>
      </w:pPr>
      <w:r w:rsidRPr="00AC2479">
        <w:rPr>
          <w:b/>
        </w:rPr>
        <w:t>3)</w:t>
      </w:r>
      <w:r>
        <w:t xml:space="preserve"> </w:t>
      </w:r>
      <w:r w:rsidR="00F0277E">
        <w:t>Devolver los antecedentes;</w:t>
      </w:r>
    </w:p>
    <w:p w:rsidR="00F0277E" w:rsidRDefault="00F0277E" w:rsidP="00F0277E">
      <w:pPr>
        <w:spacing w:line="360" w:lineRule="auto"/>
        <w:jc w:val="both"/>
      </w:pPr>
    </w:p>
    <w:p w:rsidR="00F0277E" w:rsidRPr="00AC2479" w:rsidRDefault="00AC2479" w:rsidP="00F0277E">
      <w:pPr>
        <w:spacing w:line="360" w:lineRule="auto"/>
        <w:jc w:val="both"/>
      </w:pPr>
      <w:proofErr w:type="spellStart"/>
      <w:proofErr w:type="gramStart"/>
      <w:r w:rsidRPr="00AC2479">
        <w:t>ag</w:t>
      </w:r>
      <w:proofErr w:type="spellEnd"/>
      <w:proofErr w:type="gramEnd"/>
    </w:p>
    <w:sectPr w:rsidR="00F0277E" w:rsidRPr="00AC2479" w:rsidSect="00856FA6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7E"/>
    <w:rsid w:val="00007465"/>
    <w:rsid w:val="000421DB"/>
    <w:rsid w:val="000E233B"/>
    <w:rsid w:val="00163000"/>
    <w:rsid w:val="00186EF9"/>
    <w:rsid w:val="00237087"/>
    <w:rsid w:val="00245937"/>
    <w:rsid w:val="0025486D"/>
    <w:rsid w:val="002B1201"/>
    <w:rsid w:val="003327F0"/>
    <w:rsid w:val="00393810"/>
    <w:rsid w:val="00430419"/>
    <w:rsid w:val="00446D5A"/>
    <w:rsid w:val="00512C1F"/>
    <w:rsid w:val="00582D98"/>
    <w:rsid w:val="00684797"/>
    <w:rsid w:val="007B6833"/>
    <w:rsid w:val="007E7FAB"/>
    <w:rsid w:val="00822078"/>
    <w:rsid w:val="00856FA6"/>
    <w:rsid w:val="008641D5"/>
    <w:rsid w:val="00892908"/>
    <w:rsid w:val="0091180E"/>
    <w:rsid w:val="00981B83"/>
    <w:rsid w:val="0099620F"/>
    <w:rsid w:val="009B261E"/>
    <w:rsid w:val="00A27986"/>
    <w:rsid w:val="00A27AFF"/>
    <w:rsid w:val="00A556CE"/>
    <w:rsid w:val="00AC2479"/>
    <w:rsid w:val="00AE770D"/>
    <w:rsid w:val="00AF5EDE"/>
    <w:rsid w:val="00BC48D4"/>
    <w:rsid w:val="00BE6AA5"/>
    <w:rsid w:val="00C43612"/>
    <w:rsid w:val="00CD6D13"/>
    <w:rsid w:val="00D30C72"/>
    <w:rsid w:val="00D35CBE"/>
    <w:rsid w:val="00D479E4"/>
    <w:rsid w:val="00E35051"/>
    <w:rsid w:val="00E83860"/>
    <w:rsid w:val="00E97BA9"/>
    <w:rsid w:val="00EC0C4A"/>
    <w:rsid w:val="00ED677E"/>
    <w:rsid w:val="00F0277E"/>
    <w:rsid w:val="00F57E5A"/>
    <w:rsid w:val="00F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0277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277E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E83860"/>
    <w:pPr>
      <w:spacing w:line="360" w:lineRule="auto"/>
      <w:ind w:left="708"/>
      <w:jc w:val="both"/>
    </w:pPr>
    <w:rPr>
      <w:rFonts w:cs="Arial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3860"/>
    <w:rPr>
      <w:rFonts w:ascii="Arial" w:eastAsia="Times New Roman" w:hAnsi="Arial" w:cs="Arial"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981B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C24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6F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FA6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0277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277E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E83860"/>
    <w:pPr>
      <w:spacing w:line="360" w:lineRule="auto"/>
      <w:ind w:left="708"/>
      <w:jc w:val="both"/>
    </w:pPr>
    <w:rPr>
      <w:rFonts w:cs="Arial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3860"/>
    <w:rPr>
      <w:rFonts w:ascii="Arial" w:eastAsia="Times New Roman" w:hAnsi="Arial" w:cs="Arial"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981B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C24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6F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FA6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10</cp:revision>
  <cp:lastPrinted>2018-12-10T17:06:00Z</cp:lastPrinted>
  <dcterms:created xsi:type="dcterms:W3CDTF">2018-12-05T19:21:00Z</dcterms:created>
  <dcterms:modified xsi:type="dcterms:W3CDTF">2018-12-10T17:29:00Z</dcterms:modified>
</cp:coreProperties>
</file>