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B51" w:rsidRPr="00973B51" w:rsidRDefault="00973B51" w:rsidP="00973B51">
      <w:pPr>
        <w:tabs>
          <w:tab w:val="center" w:pos="4253"/>
        </w:tabs>
        <w:suppressAutoHyphens/>
        <w:spacing w:after="0" w:line="240" w:lineRule="auto"/>
        <w:jc w:val="right"/>
        <w:rPr>
          <w:rFonts w:ascii="Arial" w:hAnsi="Arial" w:cs="Arial"/>
          <w:b/>
          <w:sz w:val="28"/>
          <w:szCs w:val="28"/>
          <w:lang w:val="es-ES_tradnl"/>
        </w:rPr>
      </w:pPr>
      <w:r w:rsidRPr="00973B51">
        <w:rPr>
          <w:rFonts w:ascii="Arial" w:hAnsi="Arial" w:cs="Arial"/>
          <w:b/>
          <w:sz w:val="28"/>
          <w:szCs w:val="28"/>
          <w:lang w:val="es-ES_tradnl"/>
        </w:rPr>
        <w:t xml:space="preserve">RES. </w:t>
      </w:r>
      <w:r>
        <w:rPr>
          <w:rFonts w:ascii="Arial" w:hAnsi="Arial" w:cs="Arial"/>
          <w:b/>
          <w:sz w:val="28"/>
          <w:szCs w:val="28"/>
          <w:lang w:val="es-ES_tradnl"/>
        </w:rPr>
        <w:t>3721</w:t>
      </w:r>
      <w:r w:rsidRPr="00973B51">
        <w:rPr>
          <w:rFonts w:ascii="Arial" w:hAnsi="Arial" w:cs="Arial"/>
          <w:b/>
          <w:sz w:val="28"/>
          <w:szCs w:val="28"/>
          <w:lang w:val="es-ES_tradnl"/>
        </w:rPr>
        <w:t>/18</w:t>
      </w:r>
    </w:p>
    <w:p w:rsidR="00973B51" w:rsidRPr="00973B51" w:rsidRDefault="00973B51" w:rsidP="00973B51">
      <w:pPr>
        <w:tabs>
          <w:tab w:val="center" w:pos="4253"/>
        </w:tabs>
        <w:suppressAutoHyphens/>
        <w:spacing w:after="0" w:line="240" w:lineRule="auto"/>
        <w:jc w:val="right"/>
        <w:rPr>
          <w:rFonts w:ascii="Arial" w:hAnsi="Arial" w:cs="Arial"/>
          <w:b/>
          <w:sz w:val="24"/>
          <w:szCs w:val="24"/>
          <w:lang w:val="es-ES_tradnl"/>
        </w:rPr>
      </w:pPr>
    </w:p>
    <w:p w:rsidR="00973B51" w:rsidRPr="00973B51" w:rsidRDefault="00973B51" w:rsidP="00973B51">
      <w:pPr>
        <w:tabs>
          <w:tab w:val="center" w:pos="4253"/>
        </w:tabs>
        <w:suppressAutoHyphens/>
        <w:spacing w:after="0" w:line="240" w:lineRule="auto"/>
        <w:jc w:val="center"/>
        <w:rPr>
          <w:rFonts w:ascii="Arial" w:hAnsi="Arial" w:cs="Arial"/>
          <w:b/>
          <w:sz w:val="24"/>
          <w:szCs w:val="24"/>
          <w:lang w:val="es-ES_tradnl"/>
        </w:rPr>
      </w:pPr>
      <w:r w:rsidRPr="00973B51">
        <w:rPr>
          <w:rFonts w:ascii="Arial" w:hAnsi="Arial" w:cs="Arial"/>
          <w:b/>
          <w:sz w:val="24"/>
          <w:szCs w:val="24"/>
          <w:lang w:val="es-ES_tradnl"/>
        </w:rPr>
        <w:t>RESOLUCION ADOPTADA POR EL</w:t>
      </w:r>
    </w:p>
    <w:p w:rsidR="00973B51" w:rsidRPr="00973B51" w:rsidRDefault="00973B51" w:rsidP="00973B51">
      <w:pPr>
        <w:tabs>
          <w:tab w:val="left" w:pos="-720"/>
        </w:tabs>
        <w:suppressAutoHyphens/>
        <w:spacing w:after="0" w:line="240" w:lineRule="auto"/>
        <w:jc w:val="center"/>
        <w:rPr>
          <w:rFonts w:ascii="Arial" w:hAnsi="Arial" w:cs="Arial"/>
          <w:b/>
          <w:sz w:val="24"/>
          <w:szCs w:val="24"/>
          <w:lang w:val="es-ES_tradnl"/>
        </w:rPr>
      </w:pPr>
    </w:p>
    <w:p w:rsidR="00973B51" w:rsidRPr="00973B51" w:rsidRDefault="00973B51" w:rsidP="00973B51">
      <w:pPr>
        <w:tabs>
          <w:tab w:val="center" w:pos="4253"/>
        </w:tabs>
        <w:suppressAutoHyphens/>
        <w:spacing w:after="0" w:line="240" w:lineRule="auto"/>
        <w:jc w:val="center"/>
        <w:rPr>
          <w:rFonts w:ascii="Arial" w:hAnsi="Arial" w:cs="Arial"/>
          <w:b/>
          <w:sz w:val="24"/>
          <w:szCs w:val="24"/>
          <w:lang w:val="es-ES_tradnl"/>
        </w:rPr>
      </w:pPr>
      <w:r w:rsidRPr="00973B51">
        <w:rPr>
          <w:rFonts w:ascii="Arial" w:hAnsi="Arial" w:cs="Arial"/>
          <w:b/>
          <w:sz w:val="24"/>
          <w:szCs w:val="24"/>
          <w:lang w:val="es-ES_tradnl"/>
        </w:rPr>
        <w:t>TRIBUNAL DE CUENTAS</w:t>
      </w:r>
    </w:p>
    <w:p w:rsidR="00973B51" w:rsidRPr="00973B51" w:rsidRDefault="00973B51" w:rsidP="00973B51">
      <w:pPr>
        <w:tabs>
          <w:tab w:val="left" w:pos="-720"/>
        </w:tabs>
        <w:suppressAutoHyphens/>
        <w:spacing w:after="0" w:line="240" w:lineRule="auto"/>
        <w:jc w:val="center"/>
        <w:rPr>
          <w:rFonts w:ascii="Arial" w:hAnsi="Arial" w:cs="Arial"/>
          <w:b/>
          <w:sz w:val="24"/>
          <w:szCs w:val="24"/>
          <w:lang w:val="es-ES_tradnl"/>
        </w:rPr>
      </w:pPr>
    </w:p>
    <w:p w:rsidR="00973B51" w:rsidRPr="00973B51" w:rsidRDefault="00973B51" w:rsidP="00973B51">
      <w:pPr>
        <w:tabs>
          <w:tab w:val="center" w:pos="4253"/>
        </w:tabs>
        <w:suppressAutoHyphens/>
        <w:spacing w:after="0" w:line="240" w:lineRule="auto"/>
        <w:jc w:val="center"/>
        <w:rPr>
          <w:rFonts w:ascii="Arial" w:hAnsi="Arial" w:cs="Arial"/>
          <w:b/>
          <w:sz w:val="24"/>
          <w:szCs w:val="24"/>
          <w:lang w:val="es-ES_tradnl"/>
        </w:rPr>
      </w:pPr>
      <w:r w:rsidRPr="00973B51">
        <w:rPr>
          <w:rFonts w:ascii="Arial" w:hAnsi="Arial" w:cs="Arial"/>
          <w:b/>
          <w:sz w:val="24"/>
          <w:szCs w:val="24"/>
          <w:lang w:val="es-ES_tradnl"/>
        </w:rPr>
        <w:t>EN SESION DE FECHA 5 DE DICIEMBRE DE 2018</w:t>
      </w:r>
    </w:p>
    <w:p w:rsidR="00973B51" w:rsidRPr="00973B51" w:rsidRDefault="00973B51" w:rsidP="00973B51">
      <w:pPr>
        <w:tabs>
          <w:tab w:val="center" w:pos="4253"/>
        </w:tabs>
        <w:suppressAutoHyphens/>
        <w:spacing w:after="0" w:line="240" w:lineRule="auto"/>
        <w:jc w:val="center"/>
        <w:rPr>
          <w:rFonts w:ascii="Arial" w:hAnsi="Arial" w:cs="Arial"/>
          <w:b/>
          <w:sz w:val="24"/>
          <w:szCs w:val="24"/>
          <w:lang w:val="es-ES_tradnl"/>
        </w:rPr>
      </w:pPr>
    </w:p>
    <w:p w:rsidR="00973B51" w:rsidRPr="00973B51" w:rsidRDefault="00973B51" w:rsidP="00973B51">
      <w:pPr>
        <w:tabs>
          <w:tab w:val="center" w:pos="4253"/>
        </w:tabs>
        <w:suppressAutoHyphens/>
        <w:spacing w:after="0" w:line="240" w:lineRule="auto"/>
        <w:jc w:val="center"/>
        <w:rPr>
          <w:rFonts w:ascii="Arial" w:hAnsi="Arial" w:cs="Arial"/>
          <w:b/>
          <w:sz w:val="24"/>
          <w:szCs w:val="24"/>
        </w:rPr>
      </w:pPr>
      <w:r w:rsidRPr="00973B51">
        <w:rPr>
          <w:rFonts w:ascii="Arial" w:hAnsi="Arial" w:cs="Arial"/>
          <w:b/>
          <w:sz w:val="24"/>
          <w:szCs w:val="24"/>
        </w:rPr>
        <w:t xml:space="preserve">(E. E. Nº 2016-17-1-0008430, </w:t>
      </w:r>
      <w:proofErr w:type="spellStart"/>
      <w:r w:rsidRPr="00973B51">
        <w:rPr>
          <w:rFonts w:ascii="Arial" w:hAnsi="Arial" w:cs="Arial"/>
          <w:b/>
          <w:sz w:val="24"/>
          <w:szCs w:val="24"/>
        </w:rPr>
        <w:t>Ent</w:t>
      </w:r>
      <w:proofErr w:type="spellEnd"/>
      <w:r w:rsidRPr="00973B51">
        <w:rPr>
          <w:rFonts w:ascii="Arial" w:hAnsi="Arial" w:cs="Arial"/>
          <w:b/>
          <w:sz w:val="24"/>
          <w:szCs w:val="24"/>
        </w:rPr>
        <w:t>. N° 5404/18)</w:t>
      </w:r>
    </w:p>
    <w:p w:rsidR="00973B51" w:rsidRPr="00973B51" w:rsidRDefault="00973B51">
      <w:pPr>
        <w:tabs>
          <w:tab w:val="center" w:pos="4253"/>
        </w:tabs>
        <w:suppressAutoHyphens/>
        <w:jc w:val="center"/>
        <w:rPr>
          <w:rFonts w:ascii="Helvetica" w:hAnsi="Helvetica"/>
          <w:b/>
        </w:rPr>
      </w:pPr>
    </w:p>
    <w:p w:rsidR="003326AF" w:rsidRDefault="00973B51" w:rsidP="00973B51">
      <w:pPr>
        <w:spacing w:after="0" w:line="360" w:lineRule="auto"/>
        <w:ind w:firstLine="708"/>
        <w:jc w:val="both"/>
        <w:rPr>
          <w:rFonts w:ascii="Arial" w:hAnsi="Arial" w:cs="Arial"/>
          <w:sz w:val="24"/>
          <w:szCs w:val="24"/>
        </w:rPr>
      </w:pPr>
      <w:r>
        <w:rPr>
          <w:rFonts w:ascii="Arial" w:hAnsi="Arial" w:cs="Arial"/>
          <w:b/>
          <w:sz w:val="24"/>
          <w:szCs w:val="24"/>
        </w:rPr>
        <w:t>V</w:t>
      </w:r>
      <w:r w:rsidR="003326AF">
        <w:rPr>
          <w:rFonts w:ascii="Arial" w:hAnsi="Arial" w:cs="Arial"/>
          <w:b/>
          <w:sz w:val="24"/>
          <w:szCs w:val="24"/>
        </w:rPr>
        <w:t>ISTO:</w:t>
      </w:r>
      <w:r w:rsidR="003326AF">
        <w:rPr>
          <w:rFonts w:ascii="Arial" w:hAnsi="Arial" w:cs="Arial"/>
          <w:sz w:val="24"/>
          <w:szCs w:val="24"/>
        </w:rPr>
        <w:t xml:space="preserve"> las actuaciones remitidas por la Intendencia de Maldonado relacionadas co</w:t>
      </w:r>
      <w:r w:rsidR="008C5281">
        <w:rPr>
          <w:rFonts w:ascii="Arial" w:hAnsi="Arial" w:cs="Arial"/>
          <w:sz w:val="24"/>
          <w:szCs w:val="24"/>
        </w:rPr>
        <w:t>n la Licitación Pública N° 02/16</w:t>
      </w:r>
      <w:r w:rsidR="003326AF">
        <w:rPr>
          <w:rFonts w:ascii="Arial" w:hAnsi="Arial" w:cs="Arial"/>
          <w:sz w:val="24"/>
          <w:szCs w:val="24"/>
        </w:rPr>
        <w:t xml:space="preserve"> referente a la prestación de servicio de limpieza y barrido en jurisdicción del Municipio de Pan de Azúcar;</w:t>
      </w:r>
    </w:p>
    <w:p w:rsidR="003326AF" w:rsidRDefault="003326AF" w:rsidP="00973B51">
      <w:pPr>
        <w:spacing w:after="0" w:line="360" w:lineRule="auto"/>
        <w:ind w:firstLine="709"/>
        <w:jc w:val="both"/>
        <w:rPr>
          <w:rFonts w:ascii="Arial" w:hAnsi="Arial" w:cs="Arial"/>
          <w:sz w:val="24"/>
          <w:szCs w:val="24"/>
        </w:rPr>
      </w:pPr>
      <w:r>
        <w:rPr>
          <w:rFonts w:ascii="Arial" w:hAnsi="Arial" w:cs="Arial"/>
          <w:b/>
          <w:sz w:val="24"/>
          <w:szCs w:val="24"/>
        </w:rPr>
        <w:t xml:space="preserve">RESULTANDO: </w:t>
      </w:r>
      <w:r w:rsidRPr="003326AF">
        <w:rPr>
          <w:rFonts w:ascii="Arial" w:hAnsi="Arial" w:cs="Arial"/>
          <w:b/>
          <w:sz w:val="24"/>
          <w:szCs w:val="24"/>
        </w:rPr>
        <w:t>1)</w:t>
      </w:r>
      <w:r>
        <w:rPr>
          <w:rFonts w:ascii="Arial" w:hAnsi="Arial" w:cs="Arial"/>
          <w:b/>
          <w:sz w:val="24"/>
          <w:szCs w:val="24"/>
        </w:rPr>
        <w:t xml:space="preserve"> </w:t>
      </w:r>
      <w:r>
        <w:rPr>
          <w:rFonts w:ascii="Arial" w:hAnsi="Arial" w:cs="Arial"/>
          <w:sz w:val="24"/>
          <w:szCs w:val="24"/>
        </w:rPr>
        <w:t xml:space="preserve">que el Intendente, por Resolución N° 6436/2016 de fecha 13.09.16, dispuso adjudicar el procedimiento ad referéndum de la intervención de este Tribunal, por el período de un año prorrogable a opción de la Intendencia por períodos de un año, a la empresa Carlos Alejandro Castro </w:t>
      </w:r>
      <w:proofErr w:type="spellStart"/>
      <w:r>
        <w:rPr>
          <w:rFonts w:ascii="Arial" w:hAnsi="Arial" w:cs="Arial"/>
          <w:sz w:val="24"/>
          <w:szCs w:val="24"/>
        </w:rPr>
        <w:t>Nuñez</w:t>
      </w:r>
      <w:proofErr w:type="spellEnd"/>
      <w:r>
        <w:rPr>
          <w:rFonts w:ascii="Arial" w:hAnsi="Arial" w:cs="Arial"/>
          <w:sz w:val="24"/>
          <w:szCs w:val="24"/>
        </w:rPr>
        <w:t xml:space="preserve"> (ECOSIL) por un precio mensual de $ 420.000., precio hora-hombre diurna de $ 310 y precio hora-hombre nocturna de $ 370 (todos los precios </w:t>
      </w:r>
      <w:proofErr w:type="spellStart"/>
      <w:r>
        <w:rPr>
          <w:rFonts w:ascii="Arial" w:hAnsi="Arial" w:cs="Arial"/>
          <w:sz w:val="24"/>
          <w:szCs w:val="24"/>
        </w:rPr>
        <w:t>Iva</w:t>
      </w:r>
      <w:proofErr w:type="spellEnd"/>
      <w:r>
        <w:rPr>
          <w:rFonts w:ascii="Arial" w:hAnsi="Arial" w:cs="Arial"/>
          <w:sz w:val="24"/>
          <w:szCs w:val="24"/>
        </w:rPr>
        <w:t xml:space="preserve"> incluido);</w:t>
      </w:r>
    </w:p>
    <w:p w:rsidR="003326AF" w:rsidRDefault="006F174C" w:rsidP="003326AF">
      <w:pPr>
        <w:spacing w:line="360" w:lineRule="auto"/>
        <w:jc w:val="both"/>
        <w:rPr>
          <w:rFonts w:ascii="Arial" w:hAnsi="Arial" w:cs="Arial"/>
          <w:sz w:val="24"/>
          <w:szCs w:val="24"/>
        </w:rPr>
      </w:pPr>
      <w:r>
        <w:rPr>
          <w:rFonts w:ascii="Arial" w:hAnsi="Arial" w:cs="Arial"/>
          <w:sz w:val="24"/>
          <w:szCs w:val="24"/>
        </w:rPr>
        <w:t xml:space="preserve">                          </w:t>
      </w:r>
      <w:r w:rsidR="0060145D">
        <w:rPr>
          <w:rFonts w:ascii="Arial" w:hAnsi="Arial" w:cs="Arial"/>
          <w:sz w:val="24"/>
          <w:szCs w:val="24"/>
        </w:rPr>
        <w:t xml:space="preserve">    </w:t>
      </w:r>
      <w:r w:rsidR="00973B51">
        <w:rPr>
          <w:rFonts w:ascii="Arial" w:hAnsi="Arial" w:cs="Arial"/>
          <w:sz w:val="24"/>
          <w:szCs w:val="24"/>
        </w:rPr>
        <w:t xml:space="preserve">      </w:t>
      </w:r>
      <w:r w:rsidRPr="006F174C">
        <w:rPr>
          <w:rFonts w:ascii="Arial" w:hAnsi="Arial" w:cs="Arial"/>
          <w:b/>
          <w:sz w:val="24"/>
          <w:szCs w:val="24"/>
        </w:rPr>
        <w:t>2)</w:t>
      </w:r>
      <w:r>
        <w:rPr>
          <w:rFonts w:ascii="Arial" w:hAnsi="Arial" w:cs="Arial"/>
          <w:b/>
          <w:sz w:val="24"/>
          <w:szCs w:val="24"/>
        </w:rPr>
        <w:t xml:space="preserve"> </w:t>
      </w:r>
      <w:r>
        <w:rPr>
          <w:rFonts w:ascii="Arial" w:hAnsi="Arial" w:cs="Arial"/>
          <w:sz w:val="24"/>
          <w:szCs w:val="24"/>
        </w:rPr>
        <w:t>que en sesión de fecha 28.12.16 este Tribunal observó el gasto en virtud  que: a) lo preceptuado por los Arts. 48 literal C), 65 inc. 12 y 68 inc. 3° del TOCAF en materia de criterios objetivos para la ponderación de los factores no se cumplió en el Art. 19 del PPC, ni surge de los informes de Dirección Ambiental</w:t>
      </w:r>
      <w:r w:rsidR="00E858C3">
        <w:rPr>
          <w:rFonts w:ascii="Arial" w:hAnsi="Arial" w:cs="Arial"/>
          <w:sz w:val="24"/>
          <w:szCs w:val="24"/>
        </w:rPr>
        <w:t xml:space="preserve"> ni de la Comisión Asesora que se hayan aplicado los factores establecidos en el Pliego, a las dos ofertas consideradas como admisibles, b) el Art. 4 del Pliego Particular de Condiciones no se ajusta al Art. 50 del TOCAF, que establece que la publicación del Pliego de Condiciones Particulares así como sus posteriores modificaciones o aclaraciones deberán ser publicadas en el Sitio Web de Compras y Contrataciones Estatales, sin que sea necesario para acceder a las mismas, haber adquirido los Pliegos de Condiciones;</w:t>
      </w:r>
    </w:p>
    <w:p w:rsidR="0060145D" w:rsidRDefault="0060145D" w:rsidP="00973B51">
      <w:pPr>
        <w:spacing w:after="0" w:line="360" w:lineRule="auto"/>
        <w:jc w:val="both"/>
        <w:rPr>
          <w:rFonts w:ascii="Arial" w:hAnsi="Arial" w:cs="Arial"/>
          <w:sz w:val="24"/>
          <w:szCs w:val="24"/>
        </w:rPr>
      </w:pPr>
      <w:r>
        <w:rPr>
          <w:rFonts w:ascii="Arial" w:hAnsi="Arial" w:cs="Arial"/>
          <w:sz w:val="24"/>
          <w:szCs w:val="24"/>
        </w:rPr>
        <w:lastRenderedPageBreak/>
        <w:t xml:space="preserve">                         </w:t>
      </w:r>
      <w:r w:rsidR="00973B51">
        <w:rPr>
          <w:rFonts w:ascii="Arial" w:hAnsi="Arial" w:cs="Arial"/>
          <w:sz w:val="24"/>
          <w:szCs w:val="24"/>
        </w:rPr>
        <w:t xml:space="preserve">           </w:t>
      </w:r>
      <w:r w:rsidRPr="0060145D">
        <w:rPr>
          <w:rFonts w:ascii="Arial" w:hAnsi="Arial" w:cs="Arial"/>
          <w:b/>
          <w:sz w:val="24"/>
          <w:szCs w:val="24"/>
        </w:rPr>
        <w:t>3)</w:t>
      </w:r>
      <w:r>
        <w:rPr>
          <w:rFonts w:ascii="Arial" w:hAnsi="Arial" w:cs="Arial"/>
          <w:sz w:val="24"/>
          <w:szCs w:val="24"/>
        </w:rPr>
        <w:t xml:space="preserve"> que el gasto fue reiterado con fecha 24.01.17, y este Tribunal en sesión de 15.02.17 mantuvo la observación;</w:t>
      </w:r>
    </w:p>
    <w:p w:rsidR="0060145D" w:rsidRDefault="0060145D" w:rsidP="00973B51">
      <w:pPr>
        <w:spacing w:after="0" w:line="360" w:lineRule="auto"/>
        <w:jc w:val="both"/>
        <w:rPr>
          <w:rFonts w:ascii="Arial" w:hAnsi="Arial" w:cs="Arial"/>
          <w:sz w:val="24"/>
          <w:szCs w:val="24"/>
        </w:rPr>
      </w:pPr>
      <w:r>
        <w:rPr>
          <w:rFonts w:ascii="Arial" w:hAnsi="Arial" w:cs="Arial"/>
          <w:sz w:val="24"/>
          <w:szCs w:val="24"/>
        </w:rPr>
        <w:t xml:space="preserve">                        </w:t>
      </w:r>
      <w:r w:rsidR="00973B51">
        <w:rPr>
          <w:rFonts w:ascii="Arial" w:hAnsi="Arial" w:cs="Arial"/>
          <w:sz w:val="24"/>
          <w:szCs w:val="24"/>
        </w:rPr>
        <w:t xml:space="preserve">            </w:t>
      </w:r>
      <w:r w:rsidRPr="0060145D">
        <w:rPr>
          <w:rFonts w:ascii="Arial" w:hAnsi="Arial" w:cs="Arial"/>
          <w:b/>
          <w:sz w:val="24"/>
          <w:szCs w:val="24"/>
        </w:rPr>
        <w:t>4)</w:t>
      </w:r>
      <w:r>
        <w:rPr>
          <w:rFonts w:ascii="Arial" w:hAnsi="Arial" w:cs="Arial"/>
          <w:b/>
          <w:sz w:val="24"/>
          <w:szCs w:val="24"/>
        </w:rPr>
        <w:t xml:space="preserve"> </w:t>
      </w:r>
      <w:r>
        <w:rPr>
          <w:rFonts w:ascii="Arial" w:hAnsi="Arial" w:cs="Arial"/>
          <w:sz w:val="24"/>
          <w:szCs w:val="24"/>
        </w:rPr>
        <w:t xml:space="preserve">que por Resolución N° 8918/17 del 11.12.17, el Intendente dispuso prorrogar por un año la contratación a la empresa Carlos Alejandro Castro </w:t>
      </w:r>
      <w:proofErr w:type="spellStart"/>
      <w:r>
        <w:rPr>
          <w:rFonts w:ascii="Arial" w:hAnsi="Arial" w:cs="Arial"/>
          <w:sz w:val="24"/>
          <w:szCs w:val="24"/>
        </w:rPr>
        <w:t>Nuñez</w:t>
      </w:r>
      <w:proofErr w:type="spellEnd"/>
      <w:r>
        <w:rPr>
          <w:rFonts w:ascii="Arial" w:hAnsi="Arial" w:cs="Arial"/>
          <w:sz w:val="24"/>
          <w:szCs w:val="24"/>
        </w:rPr>
        <w:t>;</w:t>
      </w:r>
    </w:p>
    <w:p w:rsidR="0060145D" w:rsidRDefault="0060145D" w:rsidP="00973B51">
      <w:pPr>
        <w:spacing w:after="0" w:line="360" w:lineRule="auto"/>
        <w:jc w:val="both"/>
        <w:rPr>
          <w:rFonts w:ascii="Arial" w:hAnsi="Arial" w:cs="Arial"/>
          <w:sz w:val="24"/>
          <w:szCs w:val="24"/>
        </w:rPr>
      </w:pPr>
      <w:r>
        <w:rPr>
          <w:rFonts w:ascii="Arial" w:hAnsi="Arial" w:cs="Arial"/>
          <w:sz w:val="24"/>
          <w:szCs w:val="24"/>
        </w:rPr>
        <w:t xml:space="preserve">              </w:t>
      </w:r>
      <w:r w:rsidR="006F5B6A">
        <w:rPr>
          <w:rFonts w:ascii="Arial" w:hAnsi="Arial" w:cs="Arial"/>
          <w:sz w:val="24"/>
          <w:szCs w:val="24"/>
        </w:rPr>
        <w:t xml:space="preserve"> </w:t>
      </w:r>
      <w:r>
        <w:rPr>
          <w:rFonts w:ascii="Arial" w:hAnsi="Arial" w:cs="Arial"/>
          <w:sz w:val="24"/>
          <w:szCs w:val="24"/>
        </w:rPr>
        <w:t xml:space="preserve">     </w:t>
      </w:r>
      <w:r w:rsidR="006F5B6A">
        <w:rPr>
          <w:rFonts w:ascii="Arial" w:hAnsi="Arial" w:cs="Arial"/>
          <w:sz w:val="24"/>
          <w:szCs w:val="24"/>
        </w:rPr>
        <w:t xml:space="preserve"> </w:t>
      </w:r>
      <w:r>
        <w:rPr>
          <w:rFonts w:ascii="Arial" w:hAnsi="Arial" w:cs="Arial"/>
          <w:sz w:val="24"/>
          <w:szCs w:val="24"/>
        </w:rPr>
        <w:t xml:space="preserve">  </w:t>
      </w:r>
      <w:r w:rsidR="00973B51">
        <w:rPr>
          <w:rFonts w:ascii="Arial" w:hAnsi="Arial" w:cs="Arial"/>
          <w:sz w:val="24"/>
          <w:szCs w:val="24"/>
        </w:rPr>
        <w:t xml:space="preserve">             </w:t>
      </w:r>
      <w:r w:rsidRPr="0060145D">
        <w:rPr>
          <w:rFonts w:ascii="Arial" w:hAnsi="Arial" w:cs="Arial"/>
          <w:b/>
          <w:sz w:val="24"/>
          <w:szCs w:val="24"/>
        </w:rPr>
        <w:t>5)</w:t>
      </w:r>
      <w:r>
        <w:rPr>
          <w:rFonts w:ascii="Arial" w:hAnsi="Arial" w:cs="Arial"/>
          <w:b/>
          <w:sz w:val="24"/>
          <w:szCs w:val="24"/>
        </w:rPr>
        <w:t xml:space="preserve"> </w:t>
      </w:r>
      <w:proofErr w:type="gramStart"/>
      <w:r>
        <w:rPr>
          <w:rFonts w:ascii="Arial" w:hAnsi="Arial" w:cs="Arial"/>
          <w:sz w:val="24"/>
          <w:szCs w:val="24"/>
        </w:rPr>
        <w:t>que</w:t>
      </w:r>
      <w:proofErr w:type="gramEnd"/>
      <w:r>
        <w:rPr>
          <w:rFonts w:ascii="Arial" w:hAnsi="Arial" w:cs="Arial"/>
          <w:sz w:val="24"/>
          <w:szCs w:val="24"/>
        </w:rPr>
        <w:t xml:space="preserve"> este Tribunal </w:t>
      </w:r>
      <w:r w:rsidR="008C5281">
        <w:rPr>
          <w:rFonts w:ascii="Arial" w:hAnsi="Arial" w:cs="Arial"/>
          <w:sz w:val="24"/>
          <w:szCs w:val="24"/>
        </w:rPr>
        <w:t xml:space="preserve">con de fecha 31.01.18 </w:t>
      </w:r>
      <w:r>
        <w:rPr>
          <w:rFonts w:ascii="Arial" w:hAnsi="Arial" w:cs="Arial"/>
          <w:sz w:val="24"/>
          <w:szCs w:val="24"/>
        </w:rPr>
        <w:t>observó el gasto en razón que: a) la prórroga</w:t>
      </w:r>
      <w:r w:rsidR="0023281A">
        <w:rPr>
          <w:rFonts w:ascii="Arial" w:hAnsi="Arial" w:cs="Arial"/>
          <w:sz w:val="24"/>
          <w:szCs w:val="24"/>
        </w:rPr>
        <w:t xml:space="preserve"> </w:t>
      </w:r>
      <w:r w:rsidR="006F5B6A">
        <w:rPr>
          <w:rFonts w:ascii="Arial" w:hAnsi="Arial" w:cs="Arial"/>
          <w:sz w:val="24"/>
          <w:szCs w:val="24"/>
        </w:rPr>
        <w:t>del contrato deriva de un gasto observado por razones insubsanables y b) en la ratificación de la prórroga realizada por el Municipio no surge la mayoría  requerida por el Art. 12 numeral 3) de la Ley 19.272 de 18.09.14 para ordenar un gasto, por lo que el Intendente no tiene competencia para imputar un gasto a un rubro del Municipio;</w:t>
      </w:r>
    </w:p>
    <w:p w:rsidR="006F5B6A" w:rsidRDefault="006F5B6A" w:rsidP="003326AF">
      <w:pPr>
        <w:spacing w:line="360" w:lineRule="auto"/>
        <w:jc w:val="both"/>
        <w:rPr>
          <w:rFonts w:ascii="Arial" w:hAnsi="Arial" w:cs="Arial"/>
          <w:sz w:val="24"/>
          <w:szCs w:val="24"/>
        </w:rPr>
      </w:pPr>
      <w:r w:rsidRPr="006F5B6A">
        <w:rPr>
          <w:rFonts w:ascii="Arial" w:hAnsi="Arial" w:cs="Arial"/>
          <w:b/>
          <w:sz w:val="24"/>
          <w:szCs w:val="24"/>
        </w:rPr>
        <w:t xml:space="preserve">             </w:t>
      </w:r>
      <w:r w:rsidR="00195C14">
        <w:rPr>
          <w:rFonts w:ascii="Arial" w:hAnsi="Arial" w:cs="Arial"/>
          <w:b/>
          <w:sz w:val="24"/>
          <w:szCs w:val="24"/>
        </w:rPr>
        <w:t xml:space="preserve"> </w:t>
      </w:r>
      <w:r w:rsidRPr="006F5B6A">
        <w:rPr>
          <w:rFonts w:ascii="Arial" w:hAnsi="Arial" w:cs="Arial"/>
          <w:b/>
          <w:sz w:val="24"/>
          <w:szCs w:val="24"/>
        </w:rPr>
        <w:t xml:space="preserve">  </w:t>
      </w:r>
      <w:r w:rsidR="0033337B">
        <w:rPr>
          <w:rFonts w:ascii="Arial" w:hAnsi="Arial" w:cs="Arial"/>
          <w:b/>
          <w:sz w:val="24"/>
          <w:szCs w:val="24"/>
        </w:rPr>
        <w:t xml:space="preserve"> </w:t>
      </w:r>
      <w:r w:rsidRPr="006F5B6A">
        <w:rPr>
          <w:rFonts w:ascii="Arial" w:hAnsi="Arial" w:cs="Arial"/>
          <w:b/>
          <w:sz w:val="24"/>
          <w:szCs w:val="24"/>
        </w:rPr>
        <w:t xml:space="preserve">   </w:t>
      </w:r>
      <w:r>
        <w:rPr>
          <w:rFonts w:ascii="Arial" w:hAnsi="Arial" w:cs="Arial"/>
          <w:b/>
          <w:sz w:val="24"/>
          <w:szCs w:val="24"/>
        </w:rPr>
        <w:t xml:space="preserve">  </w:t>
      </w:r>
      <w:r w:rsidRPr="006F5B6A">
        <w:rPr>
          <w:rFonts w:ascii="Arial" w:hAnsi="Arial" w:cs="Arial"/>
          <w:b/>
          <w:sz w:val="24"/>
          <w:szCs w:val="24"/>
        </w:rPr>
        <w:t xml:space="preserve"> </w:t>
      </w:r>
      <w:r w:rsidR="00973B51">
        <w:rPr>
          <w:rFonts w:ascii="Arial" w:hAnsi="Arial" w:cs="Arial"/>
          <w:b/>
          <w:sz w:val="24"/>
          <w:szCs w:val="24"/>
        </w:rPr>
        <w:t xml:space="preserve">             </w:t>
      </w:r>
      <w:r w:rsidRPr="006F5B6A">
        <w:rPr>
          <w:rFonts w:ascii="Arial" w:hAnsi="Arial" w:cs="Arial"/>
          <w:b/>
          <w:sz w:val="24"/>
          <w:szCs w:val="24"/>
        </w:rPr>
        <w:t>6)</w:t>
      </w:r>
      <w:r>
        <w:rPr>
          <w:rFonts w:ascii="Arial" w:hAnsi="Arial" w:cs="Arial"/>
          <w:b/>
          <w:sz w:val="24"/>
          <w:szCs w:val="24"/>
        </w:rPr>
        <w:t xml:space="preserve"> </w:t>
      </w:r>
      <w:r>
        <w:rPr>
          <w:rFonts w:ascii="Arial" w:hAnsi="Arial" w:cs="Arial"/>
          <w:sz w:val="24"/>
          <w:szCs w:val="24"/>
        </w:rPr>
        <w:t xml:space="preserve">que se reiteró el gasto, y este Tribunal </w:t>
      </w:r>
      <w:r w:rsidR="008C5281">
        <w:rPr>
          <w:rFonts w:ascii="Arial" w:hAnsi="Arial" w:cs="Arial"/>
          <w:sz w:val="24"/>
          <w:szCs w:val="24"/>
        </w:rPr>
        <w:t>por Resolución de</w:t>
      </w:r>
      <w:r>
        <w:rPr>
          <w:rFonts w:ascii="Arial" w:hAnsi="Arial" w:cs="Arial"/>
          <w:sz w:val="24"/>
          <w:szCs w:val="24"/>
        </w:rPr>
        <w:t xml:space="preserve"> fecha 27.06.18, resolvió mantener la observación formulada en sesión de fecha 31.01.18;</w:t>
      </w:r>
    </w:p>
    <w:p w:rsidR="0033337B" w:rsidRDefault="0033337B" w:rsidP="00973B51">
      <w:pPr>
        <w:spacing w:after="0" w:line="360" w:lineRule="auto"/>
        <w:jc w:val="both"/>
        <w:rPr>
          <w:rFonts w:ascii="Arial" w:hAnsi="Arial" w:cs="Arial"/>
          <w:sz w:val="24"/>
          <w:szCs w:val="24"/>
        </w:rPr>
      </w:pPr>
      <w:r>
        <w:rPr>
          <w:rFonts w:ascii="Arial" w:hAnsi="Arial" w:cs="Arial"/>
          <w:sz w:val="24"/>
          <w:szCs w:val="24"/>
        </w:rPr>
        <w:t xml:space="preserve">                   </w:t>
      </w:r>
      <w:r w:rsidR="00195C14">
        <w:rPr>
          <w:rFonts w:ascii="Arial" w:hAnsi="Arial" w:cs="Arial"/>
          <w:sz w:val="24"/>
          <w:szCs w:val="24"/>
        </w:rPr>
        <w:t xml:space="preserve">   </w:t>
      </w:r>
      <w:r>
        <w:rPr>
          <w:rFonts w:ascii="Arial" w:hAnsi="Arial" w:cs="Arial"/>
          <w:sz w:val="24"/>
          <w:szCs w:val="24"/>
        </w:rPr>
        <w:t xml:space="preserve"> </w:t>
      </w:r>
      <w:r w:rsidR="00973B51">
        <w:rPr>
          <w:rFonts w:ascii="Arial" w:hAnsi="Arial" w:cs="Arial"/>
          <w:sz w:val="24"/>
          <w:szCs w:val="24"/>
        </w:rPr>
        <w:t xml:space="preserve">             </w:t>
      </w:r>
      <w:r w:rsidRPr="0033337B">
        <w:rPr>
          <w:rFonts w:ascii="Arial" w:hAnsi="Arial" w:cs="Arial"/>
          <w:b/>
          <w:sz w:val="24"/>
          <w:szCs w:val="24"/>
        </w:rPr>
        <w:t>7)</w:t>
      </w:r>
      <w:r>
        <w:rPr>
          <w:rFonts w:ascii="Arial" w:hAnsi="Arial" w:cs="Arial"/>
          <w:b/>
          <w:sz w:val="24"/>
          <w:szCs w:val="24"/>
        </w:rPr>
        <w:t xml:space="preserve"> </w:t>
      </w:r>
      <w:r>
        <w:rPr>
          <w:rFonts w:ascii="Arial" w:hAnsi="Arial" w:cs="Arial"/>
          <w:sz w:val="24"/>
          <w:szCs w:val="24"/>
        </w:rPr>
        <w:t xml:space="preserve">que en la oportunidad, </w:t>
      </w:r>
      <w:r w:rsidR="00195C14">
        <w:rPr>
          <w:rFonts w:ascii="Arial" w:hAnsi="Arial" w:cs="Arial"/>
          <w:sz w:val="24"/>
          <w:szCs w:val="24"/>
        </w:rPr>
        <w:t xml:space="preserve">constando la conformidad del adjudicatario, </w:t>
      </w:r>
      <w:r>
        <w:rPr>
          <w:rFonts w:ascii="Arial" w:hAnsi="Arial" w:cs="Arial"/>
          <w:sz w:val="24"/>
          <w:szCs w:val="24"/>
        </w:rPr>
        <w:t>se remite Resolución N° 9371/2018 de fecha 8.11.18, por la cual el Municipio de Pan de Azúcar resolvió</w:t>
      </w:r>
      <w:r w:rsidR="00C8253E">
        <w:rPr>
          <w:rFonts w:ascii="Arial" w:hAnsi="Arial" w:cs="Arial"/>
          <w:sz w:val="24"/>
          <w:szCs w:val="24"/>
        </w:rPr>
        <w:t>, por unanimidad,</w:t>
      </w:r>
      <w:r>
        <w:rPr>
          <w:rFonts w:ascii="Arial" w:hAnsi="Arial" w:cs="Arial"/>
          <w:sz w:val="24"/>
          <w:szCs w:val="24"/>
        </w:rPr>
        <w:t xml:space="preserve"> autorizar la ampliación de la Licitación Pública N° 02/2016 a la empresa Carlos Alejandro Castro </w:t>
      </w:r>
      <w:proofErr w:type="spellStart"/>
      <w:r>
        <w:rPr>
          <w:rFonts w:ascii="Arial" w:hAnsi="Arial" w:cs="Arial"/>
          <w:sz w:val="24"/>
          <w:szCs w:val="24"/>
        </w:rPr>
        <w:t>Nuñez</w:t>
      </w:r>
      <w:proofErr w:type="spellEnd"/>
      <w:r>
        <w:rPr>
          <w:rFonts w:ascii="Arial" w:hAnsi="Arial" w:cs="Arial"/>
          <w:sz w:val="24"/>
          <w:szCs w:val="24"/>
        </w:rPr>
        <w:t xml:space="preserve"> por un período de un año para la prestación del servicio de limpieza y barrido en la jurisdicción del Municipio de Pan de Azúcar</w:t>
      </w:r>
      <w:r w:rsidR="00195C14">
        <w:rPr>
          <w:rFonts w:ascii="Arial" w:hAnsi="Arial" w:cs="Arial"/>
          <w:sz w:val="24"/>
          <w:szCs w:val="24"/>
        </w:rPr>
        <w:t>;</w:t>
      </w:r>
    </w:p>
    <w:p w:rsidR="00195C14" w:rsidRPr="00195C14" w:rsidRDefault="00195C14" w:rsidP="00973B51">
      <w:pPr>
        <w:spacing w:after="0" w:line="360" w:lineRule="auto"/>
        <w:jc w:val="both"/>
        <w:rPr>
          <w:rFonts w:ascii="Arial" w:hAnsi="Arial" w:cs="Arial"/>
          <w:sz w:val="24"/>
          <w:szCs w:val="24"/>
        </w:rPr>
      </w:pPr>
      <w:r>
        <w:rPr>
          <w:rFonts w:ascii="Arial" w:hAnsi="Arial" w:cs="Arial"/>
          <w:sz w:val="24"/>
          <w:szCs w:val="24"/>
        </w:rPr>
        <w:t xml:space="preserve">                      </w:t>
      </w:r>
      <w:r w:rsidR="00973B51">
        <w:rPr>
          <w:rFonts w:ascii="Arial" w:hAnsi="Arial" w:cs="Arial"/>
          <w:sz w:val="24"/>
          <w:szCs w:val="24"/>
        </w:rPr>
        <w:t xml:space="preserve">               </w:t>
      </w:r>
      <w:r w:rsidRPr="00195C14">
        <w:rPr>
          <w:rFonts w:ascii="Arial" w:hAnsi="Arial" w:cs="Arial"/>
          <w:b/>
          <w:sz w:val="24"/>
          <w:szCs w:val="24"/>
        </w:rPr>
        <w:t>8)</w:t>
      </w:r>
      <w:r>
        <w:rPr>
          <w:rFonts w:ascii="Arial" w:hAnsi="Arial" w:cs="Arial"/>
          <w:b/>
          <w:sz w:val="24"/>
          <w:szCs w:val="24"/>
        </w:rPr>
        <w:t xml:space="preserve"> </w:t>
      </w:r>
      <w:r>
        <w:rPr>
          <w:rFonts w:ascii="Arial" w:hAnsi="Arial" w:cs="Arial"/>
          <w:sz w:val="24"/>
          <w:szCs w:val="24"/>
        </w:rPr>
        <w:t>que con fecha 12.11.18, se notificó el adjudicatario de la resolución de adjudicación;</w:t>
      </w:r>
    </w:p>
    <w:p w:rsidR="003326AF" w:rsidRDefault="00195C14" w:rsidP="00973B51">
      <w:pPr>
        <w:spacing w:after="0" w:line="360" w:lineRule="auto"/>
        <w:jc w:val="both"/>
        <w:rPr>
          <w:rFonts w:ascii="Arial" w:hAnsi="Arial" w:cs="Arial"/>
          <w:sz w:val="24"/>
          <w:szCs w:val="24"/>
        </w:rPr>
      </w:pPr>
      <w:r>
        <w:rPr>
          <w:rFonts w:ascii="Arial" w:hAnsi="Arial" w:cs="Arial"/>
          <w:sz w:val="24"/>
          <w:szCs w:val="24"/>
        </w:rPr>
        <w:t xml:space="preserve">                     </w:t>
      </w:r>
      <w:r w:rsidR="00973B51">
        <w:rPr>
          <w:rFonts w:ascii="Arial" w:hAnsi="Arial" w:cs="Arial"/>
          <w:sz w:val="24"/>
          <w:szCs w:val="24"/>
        </w:rPr>
        <w:t xml:space="preserve">                </w:t>
      </w:r>
      <w:r w:rsidRPr="00195C14">
        <w:rPr>
          <w:rFonts w:ascii="Arial" w:hAnsi="Arial" w:cs="Arial"/>
          <w:b/>
          <w:sz w:val="24"/>
          <w:szCs w:val="24"/>
        </w:rPr>
        <w:t>9)</w:t>
      </w:r>
      <w:r>
        <w:rPr>
          <w:rFonts w:ascii="Arial" w:hAnsi="Arial" w:cs="Arial"/>
          <w:b/>
          <w:sz w:val="24"/>
          <w:szCs w:val="24"/>
        </w:rPr>
        <w:t xml:space="preserve"> </w:t>
      </w:r>
      <w:r>
        <w:rPr>
          <w:rFonts w:ascii="Arial" w:hAnsi="Arial" w:cs="Arial"/>
          <w:sz w:val="24"/>
          <w:szCs w:val="24"/>
        </w:rPr>
        <w:t xml:space="preserve">que por Informe Contable de fecha 15.11.18, las sumas de la IP N° 1740 por $ 1.680.000. </w:t>
      </w:r>
      <w:proofErr w:type="gramStart"/>
      <w:r>
        <w:rPr>
          <w:rFonts w:ascii="Arial" w:hAnsi="Arial" w:cs="Arial"/>
          <w:sz w:val="24"/>
          <w:szCs w:val="24"/>
        </w:rPr>
        <w:t>y</w:t>
      </w:r>
      <w:proofErr w:type="gramEnd"/>
      <w:r>
        <w:rPr>
          <w:rFonts w:ascii="Arial" w:hAnsi="Arial" w:cs="Arial"/>
          <w:sz w:val="24"/>
          <w:szCs w:val="24"/>
        </w:rPr>
        <w:t xml:space="preserve"> de la IP N° 1741 por $ 527.788.</w:t>
      </w:r>
      <w:r w:rsidR="00044F25">
        <w:rPr>
          <w:rFonts w:ascii="Arial" w:hAnsi="Arial" w:cs="Arial"/>
          <w:sz w:val="24"/>
          <w:szCs w:val="24"/>
        </w:rPr>
        <w:t>, se cargaron al rubro 5278-15300, sin disponibilidad;</w:t>
      </w:r>
    </w:p>
    <w:p w:rsidR="00C8253E" w:rsidRPr="00C8253E" w:rsidRDefault="00C8253E" w:rsidP="00973B51">
      <w:pPr>
        <w:spacing w:after="0" w:line="360" w:lineRule="auto"/>
        <w:ind w:firstLine="709"/>
        <w:jc w:val="both"/>
        <w:rPr>
          <w:rFonts w:ascii="Arial" w:hAnsi="Arial" w:cs="Arial"/>
          <w:sz w:val="24"/>
          <w:szCs w:val="24"/>
        </w:rPr>
      </w:pPr>
      <w:r>
        <w:rPr>
          <w:rFonts w:ascii="Arial" w:hAnsi="Arial" w:cs="Arial"/>
          <w:b/>
          <w:sz w:val="24"/>
          <w:szCs w:val="24"/>
        </w:rPr>
        <w:t xml:space="preserve">CONSIDERANDO: 1) </w:t>
      </w:r>
      <w:r>
        <w:rPr>
          <w:rFonts w:ascii="Arial" w:hAnsi="Arial" w:cs="Arial"/>
          <w:sz w:val="24"/>
          <w:szCs w:val="24"/>
        </w:rPr>
        <w:t>que la presente prórroga deriva de un procedimiento observado por razones insubsanables,</w:t>
      </w:r>
      <w:r>
        <w:rPr>
          <w:rFonts w:ascii="Arial" w:hAnsi="Arial" w:cs="Arial"/>
          <w:b/>
          <w:sz w:val="24"/>
          <w:szCs w:val="24"/>
        </w:rPr>
        <w:t xml:space="preserve"> </w:t>
      </w:r>
      <w:r>
        <w:rPr>
          <w:rFonts w:ascii="Arial" w:hAnsi="Arial" w:cs="Arial"/>
          <w:sz w:val="24"/>
          <w:szCs w:val="24"/>
        </w:rPr>
        <w:t>que la afectan;</w:t>
      </w:r>
    </w:p>
    <w:p w:rsidR="00C8253E" w:rsidRPr="00AB0F4A" w:rsidRDefault="00C8253E" w:rsidP="00973B51">
      <w:pPr>
        <w:spacing w:after="0" w:line="360" w:lineRule="auto"/>
        <w:jc w:val="both"/>
        <w:rPr>
          <w:rFonts w:ascii="Arial" w:hAnsi="Arial" w:cs="Arial"/>
          <w:sz w:val="24"/>
          <w:szCs w:val="24"/>
        </w:rPr>
      </w:pPr>
      <w:r>
        <w:rPr>
          <w:rFonts w:ascii="Arial" w:hAnsi="Arial" w:cs="Arial"/>
          <w:b/>
          <w:sz w:val="24"/>
          <w:szCs w:val="24"/>
        </w:rPr>
        <w:lastRenderedPageBreak/>
        <w:t xml:space="preserve">                                </w:t>
      </w:r>
      <w:r w:rsidR="00AB0F4A">
        <w:rPr>
          <w:rFonts w:ascii="Arial" w:hAnsi="Arial" w:cs="Arial"/>
          <w:b/>
          <w:sz w:val="24"/>
          <w:szCs w:val="24"/>
        </w:rPr>
        <w:t xml:space="preserve">    </w:t>
      </w:r>
      <w:r w:rsidR="00973B51">
        <w:rPr>
          <w:rFonts w:ascii="Arial" w:hAnsi="Arial" w:cs="Arial"/>
          <w:b/>
          <w:sz w:val="24"/>
          <w:szCs w:val="24"/>
        </w:rPr>
        <w:t xml:space="preserve">       </w:t>
      </w:r>
      <w:r>
        <w:rPr>
          <w:rFonts w:ascii="Arial" w:hAnsi="Arial" w:cs="Arial"/>
          <w:b/>
          <w:sz w:val="24"/>
          <w:szCs w:val="24"/>
        </w:rPr>
        <w:t>2)</w:t>
      </w:r>
      <w:r w:rsidR="00AB0F4A">
        <w:rPr>
          <w:rFonts w:ascii="Arial" w:hAnsi="Arial" w:cs="Arial"/>
          <w:b/>
          <w:sz w:val="24"/>
          <w:szCs w:val="24"/>
        </w:rPr>
        <w:t xml:space="preserve"> </w:t>
      </w:r>
      <w:r w:rsidR="00AB0F4A">
        <w:rPr>
          <w:rFonts w:ascii="Arial" w:hAnsi="Arial" w:cs="Arial"/>
          <w:sz w:val="24"/>
          <w:szCs w:val="24"/>
        </w:rPr>
        <w:t xml:space="preserve">que el presente contrato fue notificado </w:t>
      </w:r>
      <w:r w:rsidR="00BC12CA">
        <w:rPr>
          <w:rFonts w:ascii="Arial" w:hAnsi="Arial" w:cs="Arial"/>
          <w:sz w:val="24"/>
          <w:szCs w:val="24"/>
        </w:rPr>
        <w:t xml:space="preserve">previo a la intervención preventiva </w:t>
      </w:r>
      <w:r w:rsidR="00AB0F4A">
        <w:rPr>
          <w:rFonts w:ascii="Arial" w:hAnsi="Arial" w:cs="Arial"/>
          <w:sz w:val="24"/>
          <w:szCs w:val="24"/>
        </w:rPr>
        <w:t xml:space="preserve">de este Tribunal, en contravención a lo dispuesto por el Art. 211 </w:t>
      </w:r>
      <w:proofErr w:type="spellStart"/>
      <w:r w:rsidR="00AB0F4A">
        <w:rPr>
          <w:rFonts w:ascii="Arial" w:hAnsi="Arial" w:cs="Arial"/>
          <w:sz w:val="24"/>
          <w:szCs w:val="24"/>
        </w:rPr>
        <w:t>lit.B</w:t>
      </w:r>
      <w:proofErr w:type="spellEnd"/>
      <w:r w:rsidR="00AB0F4A">
        <w:rPr>
          <w:rFonts w:ascii="Arial" w:hAnsi="Arial" w:cs="Arial"/>
          <w:sz w:val="24"/>
          <w:szCs w:val="24"/>
        </w:rPr>
        <w:t>) de la Constitución de la República (Art. 69 del TOCAF);</w:t>
      </w:r>
    </w:p>
    <w:p w:rsidR="00C8253E" w:rsidRDefault="00C8253E" w:rsidP="00973B51">
      <w:pPr>
        <w:spacing w:after="0" w:line="360" w:lineRule="auto"/>
        <w:jc w:val="both"/>
        <w:rPr>
          <w:rFonts w:ascii="Arial" w:hAnsi="Arial" w:cs="Arial"/>
          <w:sz w:val="24"/>
          <w:szCs w:val="24"/>
        </w:rPr>
      </w:pPr>
      <w:r>
        <w:rPr>
          <w:rFonts w:ascii="Arial" w:hAnsi="Arial" w:cs="Arial"/>
          <w:b/>
          <w:sz w:val="24"/>
          <w:szCs w:val="24"/>
        </w:rPr>
        <w:t xml:space="preserve">                                </w:t>
      </w:r>
      <w:r w:rsidR="00AB0F4A">
        <w:rPr>
          <w:rFonts w:ascii="Arial" w:hAnsi="Arial" w:cs="Arial"/>
          <w:b/>
          <w:sz w:val="24"/>
          <w:szCs w:val="24"/>
        </w:rPr>
        <w:t xml:space="preserve">   </w:t>
      </w:r>
      <w:r w:rsidR="00973B51">
        <w:rPr>
          <w:rFonts w:ascii="Arial" w:hAnsi="Arial" w:cs="Arial"/>
          <w:b/>
          <w:sz w:val="24"/>
          <w:szCs w:val="24"/>
        </w:rPr>
        <w:t xml:space="preserve">         </w:t>
      </w:r>
      <w:r>
        <w:rPr>
          <w:rFonts w:ascii="Arial" w:hAnsi="Arial" w:cs="Arial"/>
          <w:b/>
          <w:sz w:val="24"/>
          <w:szCs w:val="24"/>
        </w:rPr>
        <w:t xml:space="preserve">3) </w:t>
      </w:r>
      <w:r>
        <w:rPr>
          <w:rFonts w:ascii="Arial" w:hAnsi="Arial" w:cs="Arial"/>
          <w:sz w:val="24"/>
          <w:szCs w:val="24"/>
        </w:rPr>
        <w:t>que no pueden comprometerse gastos sin que exista disponibilidad suficiente en el rubro de imputación contable (Art. 15 del TOCAF);</w:t>
      </w:r>
    </w:p>
    <w:p w:rsidR="00373B78" w:rsidRDefault="00373B78" w:rsidP="00973B51">
      <w:pPr>
        <w:spacing w:after="0" w:line="360" w:lineRule="auto"/>
        <w:jc w:val="center"/>
        <w:rPr>
          <w:rFonts w:ascii="Arial" w:hAnsi="Arial" w:cs="Arial"/>
          <w:b/>
          <w:sz w:val="24"/>
          <w:szCs w:val="24"/>
        </w:rPr>
      </w:pPr>
      <w:r>
        <w:rPr>
          <w:rFonts w:ascii="Arial" w:hAnsi="Arial" w:cs="Arial"/>
          <w:b/>
          <w:sz w:val="24"/>
          <w:szCs w:val="24"/>
        </w:rPr>
        <w:t>EL TRIBUNAL ACUERDA</w:t>
      </w:r>
    </w:p>
    <w:p w:rsidR="00373B78" w:rsidRPr="00373B78" w:rsidRDefault="00373B78" w:rsidP="00973B51">
      <w:pPr>
        <w:pStyle w:val="Prrafodelista"/>
        <w:numPr>
          <w:ilvl w:val="0"/>
          <w:numId w:val="1"/>
        </w:numPr>
        <w:spacing w:after="0" w:line="360" w:lineRule="auto"/>
        <w:ind w:left="284" w:hanging="284"/>
        <w:rPr>
          <w:rFonts w:ascii="Arial" w:hAnsi="Arial" w:cs="Arial"/>
          <w:b/>
          <w:sz w:val="24"/>
          <w:szCs w:val="24"/>
        </w:rPr>
      </w:pPr>
      <w:r>
        <w:rPr>
          <w:rFonts w:ascii="Arial" w:hAnsi="Arial" w:cs="Arial"/>
          <w:sz w:val="24"/>
          <w:szCs w:val="24"/>
        </w:rPr>
        <w:t>Observar el gasto;</w:t>
      </w:r>
      <w:r w:rsidR="00973B51">
        <w:rPr>
          <w:rFonts w:ascii="Arial" w:hAnsi="Arial" w:cs="Arial"/>
          <w:sz w:val="24"/>
          <w:szCs w:val="24"/>
        </w:rPr>
        <w:t xml:space="preserve"> y</w:t>
      </w:r>
    </w:p>
    <w:p w:rsidR="00373B78" w:rsidRPr="00373B78" w:rsidRDefault="00373B78" w:rsidP="00973B51">
      <w:pPr>
        <w:pStyle w:val="Prrafodelista"/>
        <w:numPr>
          <w:ilvl w:val="0"/>
          <w:numId w:val="1"/>
        </w:numPr>
        <w:spacing w:after="0" w:line="360" w:lineRule="auto"/>
        <w:ind w:left="284" w:hanging="284"/>
        <w:rPr>
          <w:rFonts w:ascii="Arial" w:hAnsi="Arial" w:cs="Arial"/>
          <w:b/>
          <w:sz w:val="24"/>
          <w:szCs w:val="24"/>
        </w:rPr>
      </w:pPr>
      <w:r>
        <w:rPr>
          <w:rFonts w:ascii="Arial" w:hAnsi="Arial" w:cs="Arial"/>
          <w:sz w:val="24"/>
          <w:szCs w:val="24"/>
        </w:rPr>
        <w:t>Devolver las actuaciones.</w:t>
      </w:r>
    </w:p>
    <w:p w:rsidR="00373B78" w:rsidRDefault="00373B78" w:rsidP="00973B51">
      <w:pPr>
        <w:spacing w:after="0" w:line="360" w:lineRule="auto"/>
        <w:rPr>
          <w:rFonts w:ascii="Arial" w:hAnsi="Arial" w:cs="Arial"/>
          <w:b/>
          <w:sz w:val="24"/>
          <w:szCs w:val="24"/>
        </w:rPr>
      </w:pPr>
    </w:p>
    <w:p w:rsidR="00973B51" w:rsidRDefault="007B0CC6" w:rsidP="00373B78">
      <w:pPr>
        <w:spacing w:line="360" w:lineRule="auto"/>
        <w:rPr>
          <w:rFonts w:ascii="Arial" w:hAnsi="Arial" w:cs="Arial"/>
          <w:sz w:val="24"/>
          <w:szCs w:val="24"/>
        </w:rPr>
      </w:pPr>
      <w:r w:rsidRPr="007E50DB">
        <w:rPr>
          <w:rFonts w:ascii="Arial" w:hAnsi="Arial" w:cs="Arial"/>
          <w:sz w:val="24"/>
          <w:szCs w:val="24"/>
        </w:rPr>
        <w:t>C</w:t>
      </w:r>
      <w:r w:rsidR="00973B51" w:rsidRPr="007E50DB">
        <w:rPr>
          <w:rFonts w:ascii="Arial" w:hAnsi="Arial" w:cs="Arial"/>
          <w:sz w:val="24"/>
          <w:szCs w:val="24"/>
        </w:rPr>
        <w:t>r</w:t>
      </w:r>
    </w:p>
    <w:p w:rsidR="007B0CC6" w:rsidRDefault="007B0CC6" w:rsidP="00D71A3A">
      <w:pPr>
        <w:spacing w:line="360" w:lineRule="auto"/>
        <w:jc w:val="both"/>
        <w:rPr>
          <w:rFonts w:ascii="Arial" w:hAnsi="Arial" w:cs="Arial"/>
          <w:szCs w:val="24"/>
        </w:rPr>
      </w:pPr>
    </w:p>
    <w:p w:rsidR="007B0CC6" w:rsidRPr="007B0CC6" w:rsidRDefault="007B0CC6" w:rsidP="007B0CC6">
      <w:pPr>
        <w:spacing w:after="0" w:line="360" w:lineRule="auto"/>
        <w:jc w:val="both"/>
        <w:rPr>
          <w:rFonts w:ascii="Arial" w:hAnsi="Arial" w:cs="Arial"/>
          <w:sz w:val="24"/>
          <w:szCs w:val="24"/>
        </w:rPr>
      </w:pPr>
      <w:r w:rsidRPr="00E9382D">
        <w:rPr>
          <w:rFonts w:ascii="Arial" w:hAnsi="Arial" w:cs="Arial"/>
          <w:b/>
          <w:szCs w:val="24"/>
        </w:rPr>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DEL </w:t>
      </w:r>
      <w:r w:rsidRPr="00837E21">
        <w:rPr>
          <w:rFonts w:ascii="Arial" w:hAnsi="Arial" w:cs="Arial"/>
          <w:b/>
          <w:szCs w:val="24"/>
        </w:rPr>
        <w:t>MINISTRO</w:t>
      </w:r>
      <w:r>
        <w:rPr>
          <w:rFonts w:ascii="Arial" w:hAnsi="Arial" w:cs="Arial"/>
          <w:szCs w:val="24"/>
        </w:rPr>
        <w:t xml:space="preserve">               </w:t>
      </w:r>
      <w:r>
        <w:rPr>
          <w:rFonts w:ascii="Arial" w:hAnsi="Arial" w:cs="Arial"/>
          <w:b/>
          <w:szCs w:val="24"/>
        </w:rPr>
        <w:t>ALVARO ADDIEGO</w:t>
      </w:r>
      <w:r w:rsidRPr="00D71A3A">
        <w:rPr>
          <w:rFonts w:ascii="Arial" w:hAnsi="Arial" w:cs="Arial"/>
          <w:b/>
          <w:szCs w:val="24"/>
        </w:rPr>
        <w:t>:</w:t>
      </w:r>
      <w:r w:rsidRPr="005C0AC0">
        <w:rPr>
          <w:rFonts w:ascii="Arial" w:hAnsi="Arial" w:cs="Arial"/>
          <w:b/>
          <w:szCs w:val="24"/>
        </w:rPr>
        <w:t xml:space="preserve"> </w:t>
      </w:r>
      <w:r w:rsidRPr="007B0CC6">
        <w:rPr>
          <w:rFonts w:ascii="Arial" w:hAnsi="Arial" w:cs="Arial"/>
          <w:b/>
          <w:sz w:val="24"/>
          <w:szCs w:val="24"/>
        </w:rPr>
        <w:t>“</w:t>
      </w:r>
      <w:r w:rsidRPr="007B0CC6">
        <w:rPr>
          <w:rFonts w:ascii="Arial" w:hAnsi="Arial" w:cs="Arial"/>
          <w:sz w:val="24"/>
          <w:szCs w:val="24"/>
        </w:rPr>
        <w:t>Expreso mi discordia apoyándome en el fundamento del Ministro Cabrera.</w:t>
      </w:r>
    </w:p>
    <w:p w:rsidR="007B0CC6" w:rsidRPr="007B0CC6" w:rsidRDefault="007B0CC6" w:rsidP="007B0CC6">
      <w:pPr>
        <w:spacing w:after="0" w:line="360" w:lineRule="auto"/>
        <w:jc w:val="both"/>
        <w:rPr>
          <w:rFonts w:ascii="Arial" w:hAnsi="Arial" w:cs="Arial"/>
          <w:sz w:val="24"/>
          <w:szCs w:val="24"/>
        </w:rPr>
      </w:pPr>
      <w:r w:rsidRPr="007B0CC6">
        <w:rPr>
          <w:rFonts w:ascii="Arial" w:hAnsi="Arial" w:cs="Arial"/>
          <w:sz w:val="24"/>
          <w:szCs w:val="24"/>
        </w:rPr>
        <w:t>Por lo expresado anteriormente, he votado en forma discorde la</w:t>
      </w:r>
      <w:r>
        <w:rPr>
          <w:rFonts w:ascii="Arial" w:hAnsi="Arial" w:cs="Arial"/>
          <w:sz w:val="24"/>
          <w:szCs w:val="24"/>
        </w:rPr>
        <w:t xml:space="preserve"> Resolución de este expediente.”</w:t>
      </w:r>
    </w:p>
    <w:p w:rsidR="007B0CC6" w:rsidRPr="005C0AC0" w:rsidRDefault="007B0CC6" w:rsidP="00D71A3A">
      <w:pPr>
        <w:spacing w:line="360" w:lineRule="auto"/>
        <w:jc w:val="both"/>
        <w:rPr>
          <w:rFonts w:ascii="Arial" w:hAnsi="Arial" w:cs="Arial"/>
          <w:b/>
          <w:szCs w:val="24"/>
        </w:rPr>
      </w:pPr>
    </w:p>
    <w:p w:rsidR="007B0CC6" w:rsidRPr="007B0CC6" w:rsidRDefault="007B0CC6" w:rsidP="007B0CC6">
      <w:pPr>
        <w:spacing w:after="0" w:line="360" w:lineRule="auto"/>
        <w:jc w:val="both"/>
        <w:rPr>
          <w:rFonts w:ascii="Arial" w:eastAsia="Calibri" w:hAnsi="Arial" w:cs="Arial"/>
          <w:sz w:val="24"/>
          <w:szCs w:val="24"/>
          <w:lang w:val="es-ES" w:eastAsia="es-ES"/>
        </w:rPr>
      </w:pPr>
      <w:r w:rsidRPr="007B0CC6">
        <w:rPr>
          <w:rFonts w:ascii="Arial" w:hAnsi="Arial" w:cs="Arial"/>
          <w:b/>
          <w:sz w:val="24"/>
          <w:szCs w:val="24"/>
        </w:rPr>
        <w:t>CONSTANCIA DE FUNDAMENTO DE VOTO DISCORDE DEL MINISTRO CR. ENRIQUE CABRERA: “</w:t>
      </w:r>
      <w:r w:rsidRPr="007B0CC6">
        <w:rPr>
          <w:rFonts w:ascii="Arial" w:eastAsia="Calibri" w:hAnsi="Arial" w:cs="Arial"/>
          <w:sz w:val="24"/>
          <w:szCs w:val="24"/>
          <w:lang w:val="es-ES" w:eastAsia="es-ES"/>
        </w:rPr>
        <w:t>He concluido que no corresponde la causal de observación formulada por el Tribunal de Cuentas  en la medida que en su considerando 1  se hace referencia   a la observación  del procedimiento realizada en la sesión del 28/12/2016 (Resultando 2 literal a de esta resolución).</w:t>
      </w:r>
    </w:p>
    <w:p w:rsidR="007B0CC6" w:rsidRPr="007B0CC6" w:rsidRDefault="007B0CC6" w:rsidP="007B0CC6">
      <w:pPr>
        <w:tabs>
          <w:tab w:val="left" w:pos="1500"/>
        </w:tabs>
        <w:spacing w:after="0" w:line="360" w:lineRule="auto"/>
        <w:jc w:val="both"/>
        <w:rPr>
          <w:rFonts w:ascii="Arial" w:eastAsia="Calibri" w:hAnsi="Arial" w:cs="Arial"/>
          <w:sz w:val="24"/>
          <w:szCs w:val="24"/>
          <w:lang w:val="es-ES" w:eastAsia="es-ES"/>
        </w:rPr>
      </w:pPr>
      <w:r w:rsidRPr="007B0CC6">
        <w:rPr>
          <w:rFonts w:ascii="Arial" w:eastAsia="Calibri" w:hAnsi="Arial" w:cs="Arial"/>
          <w:sz w:val="24"/>
          <w:szCs w:val="24"/>
          <w:lang w:val="es-ES" w:eastAsia="es-ES"/>
        </w:rPr>
        <w:t>Que en la resolución  del 28/12/2016 se observa por contravenir lo dispuesto en al artículo 48 Literal C,   posición sustentada con la cual muestro mi discordia.</w:t>
      </w:r>
    </w:p>
    <w:p w:rsidR="007B0CC6" w:rsidRPr="007B0CC6" w:rsidRDefault="007B0CC6" w:rsidP="007B0CC6">
      <w:pPr>
        <w:spacing w:after="0" w:line="360" w:lineRule="auto"/>
        <w:jc w:val="both"/>
        <w:rPr>
          <w:rFonts w:ascii="Arial" w:eastAsia="Calibri" w:hAnsi="Arial" w:cs="Arial"/>
          <w:sz w:val="24"/>
          <w:szCs w:val="24"/>
          <w:lang w:val="es-ES" w:eastAsia="es-ES"/>
        </w:rPr>
      </w:pPr>
    </w:p>
    <w:p w:rsidR="007B0CC6" w:rsidRPr="007B0CC6" w:rsidRDefault="007B0CC6" w:rsidP="007B0CC6">
      <w:pPr>
        <w:spacing w:after="0" w:line="360" w:lineRule="auto"/>
        <w:jc w:val="both"/>
        <w:rPr>
          <w:rFonts w:ascii="Arial" w:eastAsia="Calibri" w:hAnsi="Arial" w:cs="Arial"/>
          <w:sz w:val="24"/>
          <w:szCs w:val="24"/>
          <w:lang w:val="es-ES" w:eastAsia="es-ES"/>
        </w:rPr>
      </w:pPr>
      <w:r w:rsidRPr="007B0CC6">
        <w:rPr>
          <w:rFonts w:ascii="Arial" w:eastAsia="Calibri" w:hAnsi="Arial" w:cs="Arial"/>
          <w:sz w:val="24"/>
          <w:szCs w:val="24"/>
          <w:lang w:val="es-ES" w:eastAsia="es-ES"/>
        </w:rPr>
        <w:lastRenderedPageBreak/>
        <w:t>Fundamentación</w:t>
      </w:r>
    </w:p>
    <w:p w:rsidR="007B0CC6" w:rsidRPr="007B0CC6" w:rsidRDefault="007B0CC6" w:rsidP="007B0CC6">
      <w:pPr>
        <w:spacing w:after="0" w:line="360" w:lineRule="auto"/>
        <w:rPr>
          <w:rFonts w:ascii="Arial" w:eastAsia="Times New Roman" w:hAnsi="Arial" w:cs="Arial"/>
          <w:sz w:val="24"/>
          <w:szCs w:val="24"/>
          <w:lang w:val="es-ES" w:eastAsia="es-ES"/>
        </w:rPr>
      </w:pPr>
      <w:r w:rsidRPr="007B0CC6">
        <w:rPr>
          <w:rFonts w:ascii="Arial" w:eastAsia="Times New Roman" w:hAnsi="Arial" w:cs="Arial"/>
          <w:sz w:val="24"/>
          <w:szCs w:val="24"/>
          <w:lang w:val="es-ES" w:eastAsia="es-ES"/>
        </w:rPr>
        <w:t xml:space="preserve">         </w:t>
      </w:r>
    </w:p>
    <w:p w:rsidR="007B0CC6" w:rsidRPr="007B0CC6" w:rsidRDefault="007B0CC6" w:rsidP="007B0CC6">
      <w:pPr>
        <w:spacing w:after="0" w:line="360" w:lineRule="auto"/>
        <w:rPr>
          <w:rFonts w:ascii="Arial" w:eastAsia="Calibri" w:hAnsi="Arial" w:cs="Arial"/>
          <w:sz w:val="24"/>
          <w:szCs w:val="24"/>
          <w:lang w:val="es-ES" w:eastAsia="es-ES"/>
        </w:rPr>
      </w:pPr>
      <w:r w:rsidRPr="007B0CC6">
        <w:rPr>
          <w:rFonts w:ascii="Arial" w:eastAsia="Times New Roman" w:hAnsi="Arial" w:cs="Arial"/>
          <w:sz w:val="24"/>
          <w:szCs w:val="24"/>
          <w:lang w:val="es-ES" w:eastAsia="es-ES"/>
        </w:rPr>
        <w:t xml:space="preserve">Para la misma cito textualmente la fundamentación realizada  por el Ministro Miguel    Aumento para  el </w:t>
      </w:r>
      <w:r w:rsidRPr="007B0CC6">
        <w:rPr>
          <w:rFonts w:ascii="Arial" w:eastAsia="Calibri" w:hAnsi="Arial" w:cs="Arial"/>
          <w:b/>
          <w:sz w:val="24"/>
          <w:szCs w:val="24"/>
          <w:lang w:val="es-ES" w:eastAsia="es-ES"/>
        </w:rPr>
        <w:t xml:space="preserve">Asunto 1-1-2 Sesión Ordinaria del 10 de enero de 2018  </w:t>
      </w:r>
      <w:r w:rsidRPr="007B0CC6">
        <w:rPr>
          <w:rFonts w:ascii="Arial" w:eastAsia="Calibri" w:hAnsi="Arial" w:cs="Arial"/>
          <w:sz w:val="24"/>
          <w:szCs w:val="24"/>
          <w:lang w:val="es-ES" w:eastAsia="es-ES"/>
        </w:rPr>
        <w:t>por tratarse de un asunto similar</w:t>
      </w:r>
    </w:p>
    <w:p w:rsidR="007B0CC6" w:rsidRPr="007B0CC6" w:rsidRDefault="007B0CC6" w:rsidP="007B0CC6">
      <w:pPr>
        <w:spacing w:after="0" w:line="360" w:lineRule="auto"/>
        <w:rPr>
          <w:rFonts w:ascii="Arial" w:eastAsia="Times New Roman" w:hAnsi="Arial" w:cs="Arial"/>
          <w:sz w:val="24"/>
          <w:szCs w:val="24"/>
          <w:lang w:val="es-ES" w:eastAsia="es-ES"/>
        </w:rPr>
      </w:pPr>
    </w:p>
    <w:p w:rsidR="007B0CC6" w:rsidRPr="007B0CC6" w:rsidRDefault="007B0CC6" w:rsidP="007B0CC6">
      <w:pPr>
        <w:spacing w:after="0" w:line="360" w:lineRule="auto"/>
        <w:jc w:val="both"/>
        <w:rPr>
          <w:rFonts w:ascii="Arial" w:eastAsia="Calibri" w:hAnsi="Arial" w:cs="Arial"/>
          <w:sz w:val="24"/>
          <w:szCs w:val="24"/>
          <w:lang w:val="es-ES" w:eastAsia="es-ES"/>
        </w:rPr>
      </w:pPr>
      <w:r w:rsidRPr="007B0CC6">
        <w:rPr>
          <w:rFonts w:ascii="Arial" w:eastAsia="Calibri" w:hAnsi="Arial" w:cs="Arial"/>
          <w:sz w:val="24"/>
          <w:szCs w:val="24"/>
          <w:lang w:val="es-ES" w:eastAsia="es-ES"/>
        </w:rPr>
        <w:t xml:space="preserve">“La cuestión aquí es dirimir el grado de previsibilidad pretendido por el Legislador para la determinación de la calificación de ofertas, </w:t>
      </w:r>
      <w:r w:rsidRPr="007B0CC6">
        <w:rPr>
          <w:rFonts w:ascii="Arial" w:eastAsia="Calibri" w:hAnsi="Arial" w:cs="Arial"/>
          <w:sz w:val="24"/>
          <w:szCs w:val="24"/>
          <w:u w:val="single"/>
          <w:lang w:val="es-ES" w:eastAsia="es-ES"/>
        </w:rPr>
        <w:t>al momento de confeccionarse</w:t>
      </w:r>
      <w:r w:rsidRPr="007B0CC6">
        <w:rPr>
          <w:rFonts w:ascii="Arial" w:eastAsia="Calibri" w:hAnsi="Arial" w:cs="Arial"/>
          <w:sz w:val="24"/>
          <w:szCs w:val="24"/>
          <w:lang w:val="es-ES" w:eastAsia="es-ES"/>
        </w:rPr>
        <w:t xml:space="preserve"> </w:t>
      </w:r>
      <w:r w:rsidRPr="007B0CC6">
        <w:rPr>
          <w:rFonts w:ascii="Arial" w:eastAsia="Calibri" w:hAnsi="Arial" w:cs="Arial"/>
          <w:sz w:val="24"/>
          <w:szCs w:val="24"/>
          <w:u w:val="single"/>
          <w:lang w:val="es-ES" w:eastAsia="es-ES"/>
        </w:rPr>
        <w:t>el pliego</w:t>
      </w:r>
      <w:r w:rsidRPr="007B0CC6">
        <w:rPr>
          <w:rFonts w:ascii="Arial" w:eastAsia="Calibri" w:hAnsi="Arial" w:cs="Arial"/>
          <w:sz w:val="24"/>
          <w:szCs w:val="24"/>
          <w:lang w:val="es-ES" w:eastAsia="es-ES"/>
        </w:rPr>
        <w:t>.</w:t>
      </w:r>
    </w:p>
    <w:p w:rsidR="007B0CC6" w:rsidRPr="007B0CC6" w:rsidRDefault="007B0CC6" w:rsidP="007B0CC6">
      <w:pPr>
        <w:spacing w:after="0" w:line="360" w:lineRule="auto"/>
        <w:rPr>
          <w:rFonts w:ascii="Arial" w:eastAsia="Times New Roman" w:hAnsi="Arial" w:cs="Arial"/>
          <w:sz w:val="24"/>
          <w:szCs w:val="24"/>
          <w:lang w:val="es-ES" w:eastAsia="es-ES"/>
        </w:rPr>
      </w:pPr>
    </w:p>
    <w:p w:rsidR="007B0CC6" w:rsidRPr="007B0CC6" w:rsidRDefault="007B0CC6" w:rsidP="007B0CC6">
      <w:pPr>
        <w:spacing w:after="0" w:line="360" w:lineRule="auto"/>
        <w:rPr>
          <w:rFonts w:ascii="Arial" w:eastAsia="Times New Roman" w:hAnsi="Arial" w:cs="Arial"/>
          <w:sz w:val="24"/>
          <w:szCs w:val="24"/>
          <w:lang w:val="es-ES" w:eastAsia="es-ES"/>
        </w:rPr>
      </w:pPr>
    </w:p>
    <w:p w:rsidR="007B0CC6" w:rsidRPr="007B0CC6" w:rsidRDefault="007B0CC6" w:rsidP="007B0CC6">
      <w:pPr>
        <w:spacing w:after="0" w:line="360" w:lineRule="auto"/>
        <w:jc w:val="both"/>
        <w:rPr>
          <w:rFonts w:ascii="Arial" w:eastAsia="Calibri" w:hAnsi="Arial" w:cs="Arial"/>
          <w:sz w:val="24"/>
          <w:szCs w:val="24"/>
          <w:lang w:val="es-ES" w:eastAsia="es-ES"/>
        </w:rPr>
      </w:pPr>
      <w:r w:rsidRPr="007B0CC6">
        <w:rPr>
          <w:rFonts w:ascii="Arial" w:eastAsia="Calibri" w:hAnsi="Arial" w:cs="Arial"/>
          <w:sz w:val="24"/>
          <w:szCs w:val="24"/>
          <w:lang w:val="es-ES" w:eastAsia="es-ES"/>
        </w:rPr>
        <w:t>No comparto que se haya vulnerado el Artículo 48 del TOCAF, dado que la Administración actuante estableció los principales factores (a su propio juicio) y sus respectivas ponderaciones (pesos relativos) tal como preceptúa dicha norma, como obligación de mínima. A mi entender, la necesidad de determinar los criterios de asignación de puntajes dentro de cada factor no está indicada (ni para los factores cuantitativos ni mucho menos para los cualitativos, en su caso), efectuándose  dentro de los parámetros de discrecionalidad reglada y sana crítica de la Comisión Asesora de Adjudicaciones y en última instancia del Ordenador.</w:t>
      </w:r>
    </w:p>
    <w:p w:rsidR="007B0CC6" w:rsidRPr="007B0CC6" w:rsidRDefault="007B0CC6" w:rsidP="007B0CC6">
      <w:pPr>
        <w:spacing w:after="0" w:line="360" w:lineRule="auto"/>
        <w:rPr>
          <w:rFonts w:ascii="Arial" w:eastAsia="Times New Roman" w:hAnsi="Arial" w:cs="Arial"/>
          <w:sz w:val="24"/>
          <w:szCs w:val="24"/>
          <w:lang w:val="es-ES" w:eastAsia="es-ES"/>
        </w:rPr>
      </w:pPr>
    </w:p>
    <w:p w:rsidR="007B0CC6" w:rsidRPr="007B0CC6" w:rsidRDefault="007B0CC6" w:rsidP="007B0CC6">
      <w:pPr>
        <w:spacing w:after="0" w:line="360" w:lineRule="auto"/>
        <w:jc w:val="both"/>
        <w:rPr>
          <w:rFonts w:ascii="Arial" w:eastAsia="Calibri" w:hAnsi="Arial" w:cs="Arial"/>
          <w:sz w:val="24"/>
          <w:szCs w:val="24"/>
          <w:lang w:val="es-ES" w:eastAsia="es-ES"/>
        </w:rPr>
      </w:pPr>
      <w:r w:rsidRPr="007B0CC6">
        <w:rPr>
          <w:rFonts w:ascii="Arial" w:eastAsia="Calibri" w:hAnsi="Arial" w:cs="Arial"/>
          <w:sz w:val="24"/>
          <w:szCs w:val="24"/>
          <w:lang w:val="es-ES" w:eastAsia="es-ES"/>
        </w:rPr>
        <w:t xml:space="preserve">De forma adicional, no se puede soslayar que la redacción dada contiene la expresión “principales factores”. En mi opinión, se reduce así la posibilidad interpretativa de que exista también la obligación de determinar la distribución de los puntajes en cada factor, </w:t>
      </w:r>
      <w:r w:rsidRPr="007B0CC6">
        <w:rPr>
          <w:rFonts w:ascii="Arial" w:eastAsia="Calibri" w:hAnsi="Arial" w:cs="Arial"/>
          <w:sz w:val="24"/>
          <w:szCs w:val="24"/>
          <w:u w:val="single"/>
          <w:lang w:val="es-ES" w:eastAsia="es-ES"/>
        </w:rPr>
        <w:t>si es que ello -como es el caso- no está consagrado a texto expreso</w:t>
      </w:r>
      <w:r w:rsidRPr="007B0CC6">
        <w:rPr>
          <w:rFonts w:ascii="Arial" w:eastAsia="Calibri" w:hAnsi="Arial" w:cs="Arial"/>
          <w:sz w:val="24"/>
          <w:szCs w:val="24"/>
          <w:lang w:val="es-ES" w:eastAsia="es-ES"/>
        </w:rPr>
        <w:t>; dado que además está sujeto a la posibilidad de la Administración circunscribir la definición de factores a los considerados como principales (para luego establecer sus respectivos pesos relativos).</w:t>
      </w:r>
    </w:p>
    <w:p w:rsidR="007B0CC6" w:rsidRPr="007B0CC6" w:rsidRDefault="007B0CC6" w:rsidP="007B0CC6">
      <w:pPr>
        <w:spacing w:after="0" w:line="360" w:lineRule="auto"/>
        <w:rPr>
          <w:rFonts w:ascii="Arial" w:eastAsia="Times New Roman" w:hAnsi="Arial" w:cs="Arial"/>
          <w:sz w:val="24"/>
          <w:szCs w:val="24"/>
          <w:lang w:val="es-ES" w:eastAsia="es-ES"/>
        </w:rPr>
      </w:pPr>
    </w:p>
    <w:p w:rsidR="007B0CC6" w:rsidRPr="007B0CC6" w:rsidRDefault="007B0CC6" w:rsidP="007B0CC6">
      <w:pPr>
        <w:spacing w:after="0" w:line="360" w:lineRule="auto"/>
        <w:jc w:val="both"/>
        <w:rPr>
          <w:rFonts w:ascii="Arial" w:eastAsia="Calibri" w:hAnsi="Arial" w:cs="Arial"/>
          <w:sz w:val="24"/>
          <w:szCs w:val="24"/>
          <w:lang w:val="es-ES" w:eastAsia="es-ES"/>
        </w:rPr>
      </w:pPr>
      <w:r w:rsidRPr="007B0CC6">
        <w:rPr>
          <w:rFonts w:ascii="Arial" w:eastAsia="Calibri" w:hAnsi="Arial" w:cs="Arial"/>
          <w:sz w:val="24"/>
          <w:szCs w:val="24"/>
          <w:lang w:val="es-ES" w:eastAsia="es-ES"/>
        </w:rPr>
        <w:lastRenderedPageBreak/>
        <w:t xml:space="preserve">En la misma línea, dicha expresión no podría referir a </w:t>
      </w:r>
      <w:r w:rsidRPr="007B0CC6">
        <w:rPr>
          <w:rFonts w:ascii="Arial" w:eastAsia="Calibri" w:hAnsi="Arial" w:cs="Arial"/>
          <w:sz w:val="24"/>
          <w:szCs w:val="24"/>
          <w:u w:val="single"/>
          <w:lang w:val="es-ES" w:eastAsia="es-ES"/>
        </w:rPr>
        <w:t>todo factor</w:t>
      </w:r>
      <w:r w:rsidRPr="007B0CC6">
        <w:rPr>
          <w:rFonts w:ascii="Arial" w:eastAsia="Calibri" w:hAnsi="Arial" w:cs="Arial"/>
          <w:sz w:val="24"/>
          <w:szCs w:val="24"/>
          <w:lang w:val="es-ES" w:eastAsia="es-ES"/>
        </w:rPr>
        <w:t xml:space="preserve"> del primer nivel (fáctico y potencial) </w:t>
      </w:r>
      <w:r w:rsidRPr="007B0CC6">
        <w:rPr>
          <w:rFonts w:ascii="Arial" w:eastAsia="Calibri" w:hAnsi="Arial" w:cs="Arial"/>
          <w:sz w:val="24"/>
          <w:szCs w:val="24"/>
          <w:u w:val="single"/>
          <w:lang w:val="es-ES" w:eastAsia="es-ES"/>
        </w:rPr>
        <w:t>sin que incluya</w:t>
      </w:r>
      <w:r w:rsidRPr="007B0CC6">
        <w:rPr>
          <w:rFonts w:ascii="Arial" w:eastAsia="Calibri" w:hAnsi="Arial" w:cs="Arial"/>
          <w:sz w:val="24"/>
          <w:szCs w:val="24"/>
          <w:lang w:val="es-ES" w:eastAsia="es-ES"/>
        </w:rPr>
        <w:t xml:space="preserve"> a sub-factores de aquel que lo pudiera contener, dado que dichos sub-factores resultan imprescindibles para arribar al pretendido grado de previsibilidad en la calificación de ofertas (asignando puntajes dentro de cada sub-factor). Entonces, resultaría aún más difícil concluir que la expresión “principales factores” incluye a todo factor del eventual árbol jerárquico, dado que la facultad discrecional ya señalada sigue en pie.</w:t>
      </w:r>
    </w:p>
    <w:p w:rsidR="007B0CC6" w:rsidRPr="007B0CC6" w:rsidRDefault="007B0CC6" w:rsidP="007B0CC6">
      <w:pPr>
        <w:spacing w:after="0" w:line="360" w:lineRule="auto"/>
        <w:rPr>
          <w:rFonts w:ascii="Arial" w:eastAsia="Times New Roman" w:hAnsi="Arial" w:cs="Arial"/>
          <w:sz w:val="24"/>
          <w:szCs w:val="24"/>
          <w:lang w:val="es-ES" w:eastAsia="es-ES"/>
        </w:rPr>
      </w:pPr>
    </w:p>
    <w:p w:rsidR="007B0CC6" w:rsidRPr="007B0CC6" w:rsidRDefault="007B0CC6" w:rsidP="007B0CC6">
      <w:pPr>
        <w:spacing w:after="0" w:line="360" w:lineRule="auto"/>
        <w:jc w:val="both"/>
        <w:rPr>
          <w:rFonts w:ascii="Arial" w:eastAsia="Calibri" w:hAnsi="Arial" w:cs="Arial"/>
          <w:sz w:val="24"/>
          <w:szCs w:val="24"/>
          <w:lang w:val="es-ES" w:eastAsia="es-ES"/>
        </w:rPr>
      </w:pPr>
      <w:r w:rsidRPr="007B0CC6">
        <w:rPr>
          <w:rFonts w:ascii="Arial" w:eastAsia="Calibri" w:hAnsi="Arial" w:cs="Arial"/>
          <w:sz w:val="24"/>
          <w:szCs w:val="24"/>
          <w:lang w:val="es-ES" w:eastAsia="es-ES"/>
        </w:rPr>
        <w:t>Por otro lado, cabe detenerse en lo preceptuado por el Artículo 65 del propio TOCAF, que expresa textualmente “…</w:t>
      </w:r>
      <w:r w:rsidRPr="007B0CC6">
        <w:rPr>
          <w:rFonts w:ascii="Arial" w:eastAsia="Calibri" w:hAnsi="Arial" w:cs="Arial"/>
          <w:i/>
          <w:sz w:val="24"/>
          <w:szCs w:val="24"/>
          <w:lang w:val="es-ES" w:eastAsia="es-ES"/>
        </w:rPr>
        <w:t>Examinada la admisibilidad de las ofertas, a</w:t>
      </w:r>
      <w:r w:rsidRPr="007B0CC6">
        <w:rPr>
          <w:rFonts w:ascii="Arial" w:eastAsia="Calibri" w:hAnsi="Arial" w:cs="Arial"/>
          <w:sz w:val="24"/>
          <w:szCs w:val="24"/>
          <w:lang w:val="es-ES" w:eastAsia="es-ES"/>
        </w:rPr>
        <w:t xml:space="preserve"> </w:t>
      </w:r>
      <w:r w:rsidRPr="007B0CC6">
        <w:rPr>
          <w:rFonts w:ascii="Arial" w:eastAsia="Calibri" w:hAnsi="Arial" w:cs="Arial"/>
          <w:i/>
          <w:sz w:val="24"/>
          <w:szCs w:val="24"/>
          <w:lang w:val="es-ES" w:eastAsia="es-ES"/>
        </w:rPr>
        <w:t>los efectos de determinar la oferta más conveniente a los intereses de la</w:t>
      </w:r>
      <w:bookmarkStart w:id="0" w:name="page2"/>
      <w:bookmarkEnd w:id="0"/>
      <w:r w:rsidRPr="007B0CC6">
        <w:rPr>
          <w:rFonts w:ascii="Arial" w:eastAsia="Calibri" w:hAnsi="Arial" w:cs="Arial"/>
          <w:i/>
          <w:sz w:val="24"/>
          <w:szCs w:val="24"/>
          <w:lang w:val="es-ES" w:eastAsia="es-ES"/>
        </w:rPr>
        <w:t xml:space="preserve"> Administración pública y las necesidades del servicio, </w:t>
      </w:r>
      <w:r w:rsidRPr="007B0CC6">
        <w:rPr>
          <w:rFonts w:ascii="Arial" w:eastAsia="Calibri" w:hAnsi="Arial" w:cs="Arial"/>
          <w:i/>
          <w:sz w:val="24"/>
          <w:szCs w:val="24"/>
          <w:u w:val="single"/>
          <w:lang w:val="es-ES" w:eastAsia="es-ES"/>
        </w:rPr>
        <w:t>se tendrán en cuenta los</w:t>
      </w:r>
      <w:r w:rsidRPr="007B0CC6">
        <w:rPr>
          <w:rFonts w:ascii="Arial" w:eastAsia="Calibri" w:hAnsi="Arial" w:cs="Arial"/>
          <w:i/>
          <w:sz w:val="24"/>
          <w:szCs w:val="24"/>
          <w:lang w:val="es-ES" w:eastAsia="es-ES"/>
        </w:rPr>
        <w:t xml:space="preserve"> </w:t>
      </w:r>
      <w:r w:rsidRPr="007B0CC6">
        <w:rPr>
          <w:rFonts w:ascii="Arial" w:eastAsia="Calibri" w:hAnsi="Arial" w:cs="Arial"/>
          <w:i/>
          <w:sz w:val="24"/>
          <w:szCs w:val="24"/>
          <w:u w:val="single"/>
          <w:lang w:val="es-ES" w:eastAsia="es-ES"/>
        </w:rPr>
        <w:t>factores de evaluación cuantitativos y cualitativos aplicables en cada caso, que deberán constar en el pliego de condiciones particulares</w:t>
      </w:r>
      <w:r w:rsidRPr="007B0CC6">
        <w:rPr>
          <w:rFonts w:ascii="Arial" w:eastAsia="Calibri" w:hAnsi="Arial" w:cs="Arial"/>
          <w:i/>
          <w:sz w:val="24"/>
          <w:szCs w:val="24"/>
          <w:lang w:val="es-ES" w:eastAsia="es-ES"/>
        </w:rPr>
        <w:t xml:space="preserve"> </w:t>
      </w:r>
      <w:r w:rsidRPr="007B0CC6">
        <w:rPr>
          <w:rFonts w:ascii="Arial" w:eastAsia="Calibri" w:hAnsi="Arial" w:cs="Arial"/>
          <w:sz w:val="24"/>
          <w:szCs w:val="24"/>
          <w:lang w:val="es-ES" w:eastAsia="es-ES"/>
        </w:rPr>
        <w:t>(el subrayado es mío).</w:t>
      </w:r>
    </w:p>
    <w:p w:rsidR="007B0CC6" w:rsidRPr="007B0CC6" w:rsidRDefault="007B0CC6" w:rsidP="007B0CC6">
      <w:pPr>
        <w:spacing w:after="0" w:line="360" w:lineRule="auto"/>
        <w:rPr>
          <w:rFonts w:ascii="Arial" w:eastAsia="Times New Roman" w:hAnsi="Arial" w:cs="Arial"/>
          <w:sz w:val="24"/>
          <w:szCs w:val="24"/>
          <w:lang w:val="es-ES" w:eastAsia="es-ES"/>
        </w:rPr>
      </w:pPr>
    </w:p>
    <w:p w:rsidR="007B0CC6" w:rsidRPr="007B0CC6" w:rsidRDefault="007B0CC6" w:rsidP="007B0CC6">
      <w:pPr>
        <w:tabs>
          <w:tab w:val="left" w:pos="3828"/>
        </w:tabs>
        <w:spacing w:after="0" w:line="360" w:lineRule="auto"/>
        <w:jc w:val="both"/>
        <w:rPr>
          <w:rFonts w:ascii="Arial" w:eastAsia="Calibri" w:hAnsi="Arial" w:cs="Arial"/>
          <w:i/>
          <w:sz w:val="24"/>
          <w:szCs w:val="24"/>
          <w:lang w:val="es-ES" w:eastAsia="es-ES"/>
        </w:rPr>
      </w:pPr>
      <w:r w:rsidRPr="007B0CC6">
        <w:rPr>
          <w:rFonts w:ascii="Arial" w:eastAsia="Calibri" w:hAnsi="Arial" w:cs="Arial"/>
          <w:i/>
          <w:sz w:val="24"/>
          <w:szCs w:val="24"/>
          <w:lang w:val="es-ES" w:eastAsia="es-ES"/>
        </w:rPr>
        <w:t>Se deberá:</w:t>
      </w:r>
    </w:p>
    <w:p w:rsidR="007B0CC6" w:rsidRPr="007B0CC6" w:rsidRDefault="007B0CC6" w:rsidP="007B0CC6">
      <w:pPr>
        <w:tabs>
          <w:tab w:val="left" w:pos="3828"/>
        </w:tabs>
        <w:spacing w:after="0" w:line="360" w:lineRule="auto"/>
        <w:jc w:val="both"/>
        <w:rPr>
          <w:rFonts w:ascii="Arial" w:eastAsia="Times New Roman" w:hAnsi="Arial" w:cs="Arial"/>
          <w:sz w:val="24"/>
          <w:szCs w:val="24"/>
          <w:lang w:val="es-ES" w:eastAsia="es-ES"/>
        </w:rPr>
      </w:pPr>
    </w:p>
    <w:p w:rsidR="007B0CC6" w:rsidRPr="007B0CC6" w:rsidRDefault="007B0CC6" w:rsidP="007B0CC6">
      <w:pPr>
        <w:numPr>
          <w:ilvl w:val="0"/>
          <w:numId w:val="2"/>
        </w:numPr>
        <w:tabs>
          <w:tab w:val="left" w:pos="740"/>
          <w:tab w:val="left" w:pos="3828"/>
        </w:tabs>
        <w:spacing w:after="0" w:line="360" w:lineRule="auto"/>
        <w:jc w:val="both"/>
        <w:rPr>
          <w:rFonts w:ascii="Arial" w:eastAsia="Calibri" w:hAnsi="Arial" w:cs="Arial"/>
          <w:i/>
          <w:sz w:val="24"/>
          <w:szCs w:val="24"/>
          <w:lang w:val="es-ES" w:eastAsia="es-ES"/>
        </w:rPr>
      </w:pPr>
      <w:r w:rsidRPr="007B0CC6">
        <w:rPr>
          <w:rFonts w:ascii="Arial" w:eastAsia="Calibri" w:hAnsi="Arial" w:cs="Arial"/>
          <w:i/>
          <w:sz w:val="24"/>
          <w:szCs w:val="24"/>
          <w:lang w:val="es-ES" w:eastAsia="es-ES"/>
        </w:rPr>
        <w:t>Prever razonablemente una ejecución efectiva y eficiente del contrato.</w:t>
      </w:r>
    </w:p>
    <w:p w:rsidR="007B0CC6" w:rsidRPr="007B0CC6" w:rsidRDefault="007B0CC6" w:rsidP="007B0CC6">
      <w:pPr>
        <w:tabs>
          <w:tab w:val="left" w:pos="3828"/>
        </w:tabs>
        <w:spacing w:after="0" w:line="360" w:lineRule="auto"/>
        <w:jc w:val="both"/>
        <w:rPr>
          <w:rFonts w:ascii="Arial" w:eastAsia="Calibri" w:hAnsi="Arial" w:cs="Arial"/>
          <w:i/>
          <w:sz w:val="24"/>
          <w:szCs w:val="24"/>
          <w:lang w:val="es-ES" w:eastAsia="es-ES"/>
        </w:rPr>
      </w:pPr>
    </w:p>
    <w:p w:rsidR="007B0CC6" w:rsidRPr="007B0CC6" w:rsidRDefault="007B0CC6" w:rsidP="007B0CC6">
      <w:pPr>
        <w:numPr>
          <w:ilvl w:val="0"/>
          <w:numId w:val="2"/>
        </w:numPr>
        <w:tabs>
          <w:tab w:val="left" w:pos="730"/>
          <w:tab w:val="left" w:pos="3828"/>
        </w:tabs>
        <w:spacing w:after="0" w:line="360" w:lineRule="auto"/>
        <w:jc w:val="both"/>
        <w:rPr>
          <w:rFonts w:ascii="Arial" w:eastAsia="Calibri" w:hAnsi="Arial" w:cs="Arial"/>
          <w:i/>
          <w:sz w:val="24"/>
          <w:szCs w:val="24"/>
          <w:lang w:val="es-ES" w:eastAsia="es-ES"/>
        </w:rPr>
      </w:pPr>
      <w:r w:rsidRPr="007B0CC6">
        <w:rPr>
          <w:rFonts w:ascii="Arial" w:eastAsia="Calibri" w:hAnsi="Arial" w:cs="Arial"/>
          <w:i/>
          <w:sz w:val="24"/>
          <w:szCs w:val="24"/>
          <w:lang w:val="es-ES" w:eastAsia="es-ES"/>
        </w:rPr>
        <w:t>Obtener las mejores condiciones de contratación de acuerdo con las necesidades de la Administración.</w:t>
      </w:r>
    </w:p>
    <w:p w:rsidR="007B0CC6" w:rsidRPr="007B0CC6" w:rsidRDefault="007B0CC6" w:rsidP="007B0CC6">
      <w:pPr>
        <w:tabs>
          <w:tab w:val="left" w:pos="3828"/>
        </w:tabs>
        <w:spacing w:after="0" w:line="360" w:lineRule="auto"/>
        <w:jc w:val="both"/>
        <w:rPr>
          <w:rFonts w:ascii="Arial" w:eastAsia="Calibri" w:hAnsi="Arial" w:cs="Arial"/>
          <w:i/>
          <w:sz w:val="24"/>
          <w:szCs w:val="24"/>
          <w:lang w:val="es-ES" w:eastAsia="es-ES"/>
        </w:rPr>
      </w:pPr>
    </w:p>
    <w:p w:rsidR="007B0CC6" w:rsidRPr="007B0CC6" w:rsidRDefault="007B0CC6" w:rsidP="007B0CC6">
      <w:pPr>
        <w:numPr>
          <w:ilvl w:val="0"/>
          <w:numId w:val="2"/>
        </w:numPr>
        <w:tabs>
          <w:tab w:val="left" w:pos="739"/>
          <w:tab w:val="left" w:pos="3828"/>
        </w:tabs>
        <w:spacing w:after="0" w:line="360" w:lineRule="auto"/>
        <w:jc w:val="both"/>
        <w:rPr>
          <w:rFonts w:ascii="Arial" w:eastAsia="Calibri" w:hAnsi="Arial" w:cs="Arial"/>
          <w:i/>
          <w:sz w:val="24"/>
          <w:szCs w:val="24"/>
          <w:lang w:val="es-ES" w:eastAsia="es-ES"/>
        </w:rPr>
      </w:pPr>
      <w:r w:rsidRPr="007B0CC6">
        <w:rPr>
          <w:rFonts w:ascii="Arial" w:eastAsia="Calibri" w:hAnsi="Arial" w:cs="Arial"/>
          <w:i/>
          <w:sz w:val="24"/>
          <w:szCs w:val="24"/>
          <w:u w:val="single"/>
          <w:lang w:val="es-ES" w:eastAsia="es-ES"/>
        </w:rPr>
        <w:t>Juzgar los antecedentes de los oferentes y el contenido de las ofertas en base a los criterios objetivos que se determinen en los pliegos</w:t>
      </w:r>
      <w:r w:rsidRPr="007B0CC6">
        <w:rPr>
          <w:rFonts w:ascii="Arial" w:eastAsia="Calibri" w:hAnsi="Arial" w:cs="Arial"/>
          <w:i/>
          <w:sz w:val="24"/>
          <w:szCs w:val="24"/>
          <w:lang w:val="es-ES" w:eastAsia="es-ES"/>
        </w:rPr>
        <w:t xml:space="preserve">” </w:t>
      </w:r>
      <w:r w:rsidRPr="007B0CC6">
        <w:rPr>
          <w:rFonts w:ascii="Arial" w:eastAsia="Calibri" w:hAnsi="Arial" w:cs="Arial"/>
          <w:sz w:val="24"/>
          <w:szCs w:val="24"/>
          <w:lang w:val="es-ES" w:eastAsia="es-ES"/>
        </w:rPr>
        <w:t>(el subrayado es mío).</w:t>
      </w:r>
    </w:p>
    <w:p w:rsidR="007B0CC6" w:rsidRPr="007B0CC6" w:rsidRDefault="007B0CC6" w:rsidP="007B0CC6">
      <w:pPr>
        <w:tabs>
          <w:tab w:val="left" w:pos="3828"/>
        </w:tabs>
        <w:spacing w:after="0" w:line="360" w:lineRule="auto"/>
        <w:jc w:val="both"/>
        <w:rPr>
          <w:rFonts w:ascii="Arial" w:eastAsia="Times New Roman" w:hAnsi="Arial" w:cs="Arial"/>
          <w:sz w:val="24"/>
          <w:szCs w:val="24"/>
          <w:lang w:val="es-ES" w:eastAsia="es-ES"/>
        </w:rPr>
      </w:pPr>
    </w:p>
    <w:p w:rsidR="007B0CC6" w:rsidRPr="007B0CC6" w:rsidRDefault="007B0CC6" w:rsidP="007B0CC6">
      <w:pPr>
        <w:tabs>
          <w:tab w:val="left" w:pos="3828"/>
        </w:tabs>
        <w:spacing w:after="0" w:line="360" w:lineRule="auto"/>
        <w:jc w:val="both"/>
        <w:rPr>
          <w:rFonts w:ascii="Arial" w:eastAsia="Times New Roman" w:hAnsi="Arial" w:cs="Arial"/>
          <w:sz w:val="24"/>
          <w:szCs w:val="24"/>
          <w:lang w:val="es-ES" w:eastAsia="es-ES"/>
        </w:rPr>
      </w:pPr>
    </w:p>
    <w:p w:rsidR="007B0CC6" w:rsidRPr="007B0CC6" w:rsidRDefault="007B0CC6" w:rsidP="007B0CC6">
      <w:pPr>
        <w:tabs>
          <w:tab w:val="left" w:pos="3828"/>
        </w:tabs>
        <w:spacing w:after="0" w:line="360" w:lineRule="auto"/>
        <w:jc w:val="both"/>
        <w:rPr>
          <w:rFonts w:ascii="Arial" w:eastAsia="Calibri" w:hAnsi="Arial" w:cs="Arial"/>
          <w:sz w:val="24"/>
          <w:szCs w:val="24"/>
          <w:lang w:val="es-ES" w:eastAsia="es-ES"/>
        </w:rPr>
      </w:pPr>
      <w:r w:rsidRPr="007B0CC6">
        <w:rPr>
          <w:rFonts w:ascii="Arial" w:eastAsia="Calibri" w:hAnsi="Arial" w:cs="Arial"/>
          <w:sz w:val="24"/>
          <w:szCs w:val="24"/>
          <w:lang w:val="es-ES" w:eastAsia="es-ES"/>
        </w:rPr>
        <w:lastRenderedPageBreak/>
        <w:t xml:space="preserve">Los Artículos 48 y 65 del TOCAF provienen de la misma Ley 18.834 (Artículos 29 y 39 respectivamente), pero no se puede obviar que éste último refiere a la actuación de la Comisión Asesora de Adjudicaciones (fase esencial), mientras que el Artículo 48 </w:t>
      </w:r>
      <w:r w:rsidRPr="007B0CC6">
        <w:rPr>
          <w:rFonts w:ascii="Arial" w:eastAsia="Calibri" w:hAnsi="Arial" w:cs="Arial"/>
          <w:sz w:val="24"/>
          <w:szCs w:val="24"/>
          <w:u w:val="single"/>
          <w:lang w:val="es-ES" w:eastAsia="es-ES"/>
        </w:rPr>
        <w:t>hace inequívocamente a la confección del pliego</w:t>
      </w:r>
      <w:r w:rsidRPr="007B0CC6">
        <w:rPr>
          <w:rFonts w:ascii="Arial" w:eastAsia="Calibri" w:hAnsi="Arial" w:cs="Arial"/>
          <w:sz w:val="24"/>
          <w:szCs w:val="24"/>
          <w:lang w:val="es-ES" w:eastAsia="es-ES"/>
        </w:rPr>
        <w:t xml:space="preserve"> (etapa preparatoria). </w:t>
      </w:r>
    </w:p>
    <w:p w:rsidR="007B0CC6" w:rsidRPr="007B0CC6" w:rsidRDefault="007B0CC6" w:rsidP="007B0CC6">
      <w:pPr>
        <w:tabs>
          <w:tab w:val="left" w:pos="3828"/>
        </w:tabs>
        <w:spacing w:after="0" w:line="360" w:lineRule="auto"/>
        <w:jc w:val="both"/>
        <w:rPr>
          <w:rFonts w:ascii="Arial" w:eastAsia="Calibri" w:hAnsi="Arial" w:cs="Arial"/>
          <w:sz w:val="24"/>
          <w:szCs w:val="24"/>
          <w:lang w:val="es-ES" w:eastAsia="es-ES"/>
        </w:rPr>
      </w:pPr>
    </w:p>
    <w:p w:rsidR="007B0CC6" w:rsidRPr="007B0CC6" w:rsidRDefault="007B0CC6" w:rsidP="007B0CC6">
      <w:pPr>
        <w:tabs>
          <w:tab w:val="left" w:pos="3828"/>
        </w:tabs>
        <w:spacing w:after="0" w:line="360" w:lineRule="auto"/>
        <w:jc w:val="both"/>
        <w:rPr>
          <w:rFonts w:ascii="Arial" w:eastAsia="Calibri" w:hAnsi="Arial" w:cs="Arial"/>
          <w:sz w:val="24"/>
          <w:szCs w:val="24"/>
          <w:lang w:val="es-ES" w:eastAsia="es-ES"/>
        </w:rPr>
      </w:pPr>
      <w:r w:rsidRPr="007B0CC6">
        <w:rPr>
          <w:rFonts w:ascii="Arial" w:eastAsia="Calibri" w:hAnsi="Arial" w:cs="Arial"/>
          <w:sz w:val="24"/>
          <w:szCs w:val="24"/>
          <w:lang w:val="es-ES" w:eastAsia="es-ES"/>
        </w:rPr>
        <w:t xml:space="preserve">En mi opinión, el Artículo 65 precitado exige que dicha Comisión evalúe las ofertas en base a la información dada en el pliego sobre los factores allí determinados y sobre las ponderaciones definidas para aquellos. Esto es, más allá de la sana crítica con la que debe observarse cada uno de los factores, no cabe </w:t>
      </w:r>
      <w:r w:rsidRPr="007B0CC6">
        <w:rPr>
          <w:rFonts w:ascii="Arial" w:eastAsia="Calibri" w:hAnsi="Arial" w:cs="Arial"/>
          <w:sz w:val="24"/>
          <w:szCs w:val="24"/>
          <w:u w:val="single"/>
          <w:lang w:val="es-ES" w:eastAsia="es-ES"/>
        </w:rPr>
        <w:t>posibilidad alguna de evaluar</w:t>
      </w:r>
      <w:r w:rsidRPr="007B0CC6">
        <w:rPr>
          <w:rFonts w:ascii="Arial" w:eastAsia="Calibri" w:hAnsi="Arial" w:cs="Arial"/>
          <w:color w:val="FF0000"/>
          <w:sz w:val="24"/>
          <w:szCs w:val="24"/>
          <w:u w:val="single"/>
          <w:lang w:val="es-ES" w:eastAsia="es-ES"/>
        </w:rPr>
        <w:t xml:space="preserve"> </w:t>
      </w:r>
      <w:r w:rsidRPr="007B0CC6">
        <w:rPr>
          <w:rFonts w:ascii="Arial" w:eastAsia="Calibri" w:hAnsi="Arial" w:cs="Arial"/>
          <w:sz w:val="24"/>
          <w:szCs w:val="24"/>
          <w:u w:val="single"/>
          <w:lang w:val="es-ES" w:eastAsia="es-ES"/>
        </w:rPr>
        <w:t>cambiando los factores, ni alterando sus respectivos pesos relativos,</w:t>
      </w:r>
      <w:r w:rsidRPr="007B0CC6">
        <w:rPr>
          <w:rFonts w:ascii="Arial" w:eastAsia="Calibri" w:hAnsi="Arial" w:cs="Arial"/>
          <w:sz w:val="24"/>
          <w:szCs w:val="24"/>
          <w:lang w:val="es-ES" w:eastAsia="es-ES"/>
        </w:rPr>
        <w:t xml:space="preserve"> </w:t>
      </w:r>
      <w:r w:rsidRPr="007B0CC6">
        <w:rPr>
          <w:rFonts w:ascii="Arial" w:eastAsia="Calibri" w:hAnsi="Arial" w:cs="Arial"/>
          <w:b/>
          <w:sz w:val="24"/>
          <w:szCs w:val="24"/>
          <w:lang w:val="es-ES" w:eastAsia="es-ES"/>
        </w:rPr>
        <w:t>como criterio objetivo de actuación</w:t>
      </w:r>
      <w:r w:rsidRPr="007B0CC6">
        <w:rPr>
          <w:rFonts w:ascii="Arial" w:eastAsia="Calibri" w:hAnsi="Arial" w:cs="Arial"/>
          <w:sz w:val="24"/>
          <w:szCs w:val="24"/>
          <w:lang w:val="es-ES" w:eastAsia="es-ES"/>
        </w:rPr>
        <w:t>. En suma, entiendo que se procuró aportar previsibilidad normada al obrar de la Comisión en consistencia con los criterios de evaluación especificados en las bases.</w:t>
      </w:r>
    </w:p>
    <w:p w:rsidR="007B0CC6" w:rsidRPr="007B0CC6" w:rsidRDefault="007B0CC6" w:rsidP="007B0CC6">
      <w:pPr>
        <w:tabs>
          <w:tab w:val="left" w:pos="3828"/>
        </w:tabs>
        <w:spacing w:after="0" w:line="360" w:lineRule="auto"/>
        <w:jc w:val="both"/>
        <w:rPr>
          <w:rFonts w:ascii="Arial" w:eastAsia="Times New Roman" w:hAnsi="Arial" w:cs="Arial"/>
          <w:sz w:val="24"/>
          <w:szCs w:val="24"/>
          <w:lang w:val="es-ES" w:eastAsia="es-ES"/>
        </w:rPr>
      </w:pPr>
    </w:p>
    <w:p w:rsidR="007B0CC6" w:rsidRPr="007B0CC6" w:rsidRDefault="007B0CC6" w:rsidP="007B0CC6">
      <w:pPr>
        <w:tabs>
          <w:tab w:val="left" w:pos="3828"/>
        </w:tabs>
        <w:spacing w:after="0" w:line="360" w:lineRule="auto"/>
        <w:jc w:val="both"/>
        <w:rPr>
          <w:rFonts w:ascii="Arial" w:eastAsia="Times New Roman" w:hAnsi="Arial" w:cs="Arial"/>
          <w:sz w:val="24"/>
          <w:szCs w:val="24"/>
          <w:lang w:val="es-ES" w:eastAsia="es-ES"/>
        </w:rPr>
      </w:pPr>
    </w:p>
    <w:p w:rsidR="007B0CC6" w:rsidRPr="007B0CC6" w:rsidRDefault="007B0CC6" w:rsidP="007B0CC6">
      <w:pPr>
        <w:spacing w:after="0" w:line="360" w:lineRule="auto"/>
        <w:jc w:val="both"/>
        <w:rPr>
          <w:rFonts w:ascii="Arial" w:eastAsia="Calibri" w:hAnsi="Arial" w:cs="Arial"/>
          <w:sz w:val="24"/>
          <w:szCs w:val="24"/>
          <w:lang w:val="es-ES" w:eastAsia="es-ES"/>
        </w:rPr>
      </w:pPr>
      <w:r w:rsidRPr="007B0CC6">
        <w:rPr>
          <w:rFonts w:ascii="Arial" w:eastAsia="Calibri" w:hAnsi="Arial" w:cs="Arial"/>
          <w:sz w:val="24"/>
          <w:szCs w:val="24"/>
          <w:lang w:val="es-ES" w:eastAsia="es-ES"/>
        </w:rPr>
        <w:t>Dicho todo esto, bastaba con que el Legislador hubiera dispuesto, en la norma que hace indubitablemente al contenido mínimo de los pliegos (Artículo 48 del TOCAF), su voluntad expresa de que se elaboraran criterios de valoración al nivel de detalle que nos ocupa en este caso.</w:t>
      </w:r>
    </w:p>
    <w:p w:rsidR="007B0CC6" w:rsidRPr="007B0CC6" w:rsidRDefault="007B0CC6" w:rsidP="007B0CC6">
      <w:pPr>
        <w:spacing w:after="0" w:line="360" w:lineRule="auto"/>
        <w:rPr>
          <w:rFonts w:ascii="Arial" w:eastAsia="Times New Roman" w:hAnsi="Arial" w:cs="Arial"/>
          <w:sz w:val="24"/>
          <w:szCs w:val="24"/>
          <w:lang w:val="es-ES" w:eastAsia="es-ES"/>
        </w:rPr>
      </w:pPr>
    </w:p>
    <w:p w:rsidR="007B0CC6" w:rsidRPr="007B0CC6" w:rsidRDefault="007B0CC6" w:rsidP="007B0CC6">
      <w:pPr>
        <w:spacing w:after="0" w:line="360" w:lineRule="auto"/>
        <w:jc w:val="both"/>
        <w:rPr>
          <w:rFonts w:ascii="Arial" w:eastAsia="Calibri" w:hAnsi="Arial" w:cs="Arial"/>
          <w:sz w:val="24"/>
          <w:szCs w:val="24"/>
          <w:lang w:val="es-ES" w:eastAsia="es-ES"/>
        </w:rPr>
      </w:pPr>
      <w:r w:rsidRPr="007B0CC6">
        <w:rPr>
          <w:rFonts w:ascii="Arial" w:eastAsia="Calibri" w:hAnsi="Arial" w:cs="Arial"/>
          <w:sz w:val="24"/>
          <w:szCs w:val="24"/>
          <w:lang w:val="es-ES" w:eastAsia="es-ES"/>
        </w:rPr>
        <w:t xml:space="preserve">Al respecto, resulta ahora indispensable señalar que el régimen de contratación pública, y en particular todo lo que refiere a la inclusión de mayor información en los pliegos en lo respecta a evaluación de ofertas, </w:t>
      </w:r>
      <w:r w:rsidRPr="007B0CC6">
        <w:rPr>
          <w:rFonts w:ascii="Arial" w:eastAsia="Calibri" w:hAnsi="Arial" w:cs="Arial"/>
          <w:sz w:val="24"/>
          <w:szCs w:val="24"/>
          <w:u w:val="single"/>
          <w:lang w:val="es-ES" w:eastAsia="es-ES"/>
        </w:rPr>
        <w:t>ha tenido una evolución</w:t>
      </w:r>
      <w:r w:rsidRPr="007B0CC6">
        <w:rPr>
          <w:rFonts w:ascii="Arial" w:eastAsia="Calibri" w:hAnsi="Arial" w:cs="Arial"/>
          <w:sz w:val="24"/>
          <w:szCs w:val="24"/>
          <w:lang w:val="es-ES" w:eastAsia="es-ES"/>
        </w:rPr>
        <w:t xml:space="preserve"> </w:t>
      </w:r>
      <w:r w:rsidRPr="007B0CC6">
        <w:rPr>
          <w:rFonts w:ascii="Arial" w:eastAsia="Calibri" w:hAnsi="Arial" w:cs="Arial"/>
          <w:sz w:val="24"/>
          <w:szCs w:val="24"/>
          <w:u w:val="single"/>
          <w:lang w:val="es-ES" w:eastAsia="es-ES"/>
        </w:rPr>
        <w:t>normativa lógica y gradual</w:t>
      </w:r>
      <w:r w:rsidRPr="007B0CC6">
        <w:rPr>
          <w:rFonts w:ascii="Arial" w:eastAsia="Calibri" w:hAnsi="Arial" w:cs="Arial"/>
          <w:sz w:val="24"/>
          <w:szCs w:val="24"/>
          <w:lang w:val="es-ES" w:eastAsia="es-ES"/>
        </w:rPr>
        <w:t xml:space="preserve">. El Decreto No. 104 del año 1968 y posteriormente la Ley 15.903 del año 1987, establecían </w:t>
      </w:r>
      <w:r w:rsidRPr="007B0CC6">
        <w:rPr>
          <w:rFonts w:ascii="Arial" w:eastAsia="Calibri" w:hAnsi="Arial" w:cs="Arial"/>
          <w:sz w:val="24"/>
          <w:szCs w:val="24"/>
          <w:u w:val="single"/>
          <w:lang w:val="es-ES" w:eastAsia="es-ES"/>
        </w:rPr>
        <w:t>solamente que la adjudicación se hará a la oferta que se considere más conveniente, sin que sea preciso hacer la adjudicación a favor de la de menor precio, salvo en identidad de circunstancias y calidad</w:t>
      </w:r>
      <w:r w:rsidRPr="007B0CC6">
        <w:rPr>
          <w:rFonts w:ascii="Arial" w:eastAsia="Calibri" w:hAnsi="Arial" w:cs="Arial"/>
          <w:sz w:val="24"/>
          <w:szCs w:val="24"/>
          <w:lang w:val="es-ES" w:eastAsia="es-ES"/>
        </w:rPr>
        <w:t xml:space="preserve">. La ley 16.170 del año 1990, configuró reformas </w:t>
      </w:r>
      <w:r w:rsidRPr="007B0CC6">
        <w:rPr>
          <w:rFonts w:ascii="Arial" w:eastAsia="Calibri" w:hAnsi="Arial" w:cs="Arial"/>
          <w:sz w:val="24"/>
          <w:szCs w:val="24"/>
          <w:lang w:val="es-ES" w:eastAsia="es-ES"/>
        </w:rPr>
        <w:lastRenderedPageBreak/>
        <w:t xml:space="preserve">significativas en lo que refiere a compras estatales en general. Desde allí, se incluyó la obligación que el pliego contenga </w:t>
      </w:r>
      <w:r w:rsidRPr="007B0CC6">
        <w:rPr>
          <w:rFonts w:ascii="Arial" w:eastAsia="Calibri" w:hAnsi="Arial" w:cs="Arial"/>
          <w:sz w:val="24"/>
          <w:szCs w:val="24"/>
          <w:u w:val="single"/>
          <w:lang w:val="es-ES" w:eastAsia="es-ES"/>
        </w:rPr>
        <w:t>los</w:t>
      </w:r>
      <w:r w:rsidRPr="007B0CC6">
        <w:rPr>
          <w:rFonts w:ascii="Arial" w:eastAsia="Calibri" w:hAnsi="Arial" w:cs="Arial"/>
          <w:sz w:val="24"/>
          <w:szCs w:val="24"/>
          <w:lang w:val="es-ES" w:eastAsia="es-ES"/>
        </w:rPr>
        <w:t xml:space="preserve"> </w:t>
      </w:r>
      <w:r w:rsidRPr="007B0CC6">
        <w:rPr>
          <w:rFonts w:ascii="Arial" w:eastAsia="Calibri" w:hAnsi="Arial" w:cs="Arial"/>
          <w:sz w:val="24"/>
          <w:szCs w:val="24"/>
          <w:u w:val="single"/>
          <w:lang w:val="es-ES" w:eastAsia="es-ES"/>
        </w:rPr>
        <w:t>principales factores que se tendrán en cuenta además del precio para evaluar las ofertas</w:t>
      </w:r>
      <w:r w:rsidRPr="007B0CC6">
        <w:rPr>
          <w:rFonts w:ascii="Arial" w:eastAsia="Calibri" w:hAnsi="Arial" w:cs="Arial"/>
          <w:sz w:val="24"/>
          <w:szCs w:val="24"/>
          <w:lang w:val="es-ES" w:eastAsia="es-ES"/>
        </w:rPr>
        <w:t>.</w:t>
      </w:r>
      <w:bookmarkStart w:id="1" w:name="page3"/>
      <w:bookmarkEnd w:id="1"/>
    </w:p>
    <w:p w:rsidR="007B0CC6" w:rsidRPr="007B0CC6" w:rsidRDefault="007B0CC6" w:rsidP="007B0CC6">
      <w:pPr>
        <w:spacing w:after="0" w:line="360" w:lineRule="auto"/>
        <w:jc w:val="both"/>
        <w:rPr>
          <w:rFonts w:ascii="Arial" w:eastAsia="Calibri" w:hAnsi="Arial" w:cs="Arial"/>
          <w:sz w:val="24"/>
          <w:szCs w:val="24"/>
          <w:lang w:val="es-ES" w:eastAsia="es-ES"/>
        </w:rPr>
      </w:pPr>
      <w:r w:rsidRPr="007B0CC6">
        <w:rPr>
          <w:rFonts w:ascii="Arial" w:eastAsia="Calibri" w:hAnsi="Arial" w:cs="Arial"/>
          <w:sz w:val="24"/>
          <w:szCs w:val="24"/>
          <w:lang w:val="es-ES" w:eastAsia="es-ES"/>
        </w:rPr>
        <w:t xml:space="preserve">Finalmente, en el año 2011 a través de la Ley 18.834, se dispuso la actual redacción del Artículo 48 del TOCAF, avanzando en la exigencia -en mi opinión- de que los pliegos al menos determinen, </w:t>
      </w:r>
      <w:r w:rsidRPr="007B0CC6">
        <w:rPr>
          <w:rFonts w:ascii="Arial" w:eastAsia="Calibri" w:hAnsi="Arial" w:cs="Arial"/>
          <w:sz w:val="24"/>
          <w:szCs w:val="24"/>
          <w:u w:val="single"/>
          <w:lang w:val="es-ES" w:eastAsia="es-ES"/>
        </w:rPr>
        <w:t>no sólo los principales factores, sino también la</w:t>
      </w:r>
      <w:r w:rsidRPr="007B0CC6">
        <w:rPr>
          <w:rFonts w:ascii="Arial" w:eastAsia="Calibri" w:hAnsi="Arial" w:cs="Arial"/>
          <w:sz w:val="24"/>
          <w:szCs w:val="24"/>
          <w:lang w:val="es-ES" w:eastAsia="es-ES"/>
        </w:rPr>
        <w:t xml:space="preserve"> </w:t>
      </w:r>
      <w:r w:rsidRPr="007B0CC6">
        <w:rPr>
          <w:rFonts w:ascii="Arial" w:eastAsia="Calibri" w:hAnsi="Arial" w:cs="Arial"/>
          <w:sz w:val="24"/>
          <w:szCs w:val="24"/>
          <w:u w:val="single"/>
          <w:lang w:val="es-ES" w:eastAsia="es-ES"/>
        </w:rPr>
        <w:t>ponderación de cada uno de ellos</w:t>
      </w:r>
      <w:r w:rsidRPr="007B0CC6">
        <w:rPr>
          <w:rFonts w:ascii="Arial" w:eastAsia="Calibri" w:hAnsi="Arial" w:cs="Arial"/>
          <w:sz w:val="24"/>
          <w:szCs w:val="24"/>
          <w:lang w:val="es-ES" w:eastAsia="es-ES"/>
        </w:rPr>
        <w:t>.</w:t>
      </w:r>
    </w:p>
    <w:p w:rsidR="007B0CC6" w:rsidRPr="007B0CC6" w:rsidRDefault="007B0CC6" w:rsidP="007B0CC6">
      <w:pPr>
        <w:spacing w:after="0" w:line="360" w:lineRule="auto"/>
        <w:rPr>
          <w:rFonts w:ascii="Arial" w:eastAsia="Times New Roman" w:hAnsi="Arial" w:cs="Arial"/>
          <w:sz w:val="24"/>
          <w:szCs w:val="24"/>
          <w:lang w:val="es-ES" w:eastAsia="es-ES"/>
        </w:rPr>
      </w:pPr>
    </w:p>
    <w:p w:rsidR="007B0CC6" w:rsidRPr="007B0CC6" w:rsidRDefault="007B0CC6" w:rsidP="007B0CC6">
      <w:pPr>
        <w:spacing w:after="0" w:line="360" w:lineRule="auto"/>
        <w:jc w:val="both"/>
        <w:rPr>
          <w:rFonts w:ascii="Arial" w:eastAsia="Calibri" w:hAnsi="Arial" w:cs="Arial"/>
          <w:sz w:val="24"/>
          <w:szCs w:val="24"/>
          <w:lang w:val="es-ES" w:eastAsia="es-ES"/>
        </w:rPr>
      </w:pPr>
      <w:r w:rsidRPr="007B0CC6">
        <w:rPr>
          <w:rFonts w:ascii="Arial" w:eastAsia="Calibri" w:hAnsi="Arial" w:cs="Arial"/>
          <w:sz w:val="24"/>
          <w:szCs w:val="24"/>
          <w:lang w:val="es-ES" w:eastAsia="es-ES"/>
        </w:rPr>
        <w:t>Por cierto, las entidades públicas estatales pueden confeccionar sus pliegos con criterios superiores a los mínimos exigidos en la normativa vigente, pero luego, inevitablemente, deberán respetarlos a la hora de evaluar las propuestas y tomar luego la decisión de adjudicación.</w:t>
      </w:r>
    </w:p>
    <w:p w:rsidR="007B0CC6" w:rsidRPr="007B0CC6" w:rsidRDefault="007B0CC6" w:rsidP="007B0CC6">
      <w:pPr>
        <w:spacing w:after="0" w:line="360" w:lineRule="auto"/>
        <w:rPr>
          <w:rFonts w:ascii="Arial" w:eastAsia="Times New Roman" w:hAnsi="Arial" w:cs="Arial"/>
          <w:sz w:val="24"/>
          <w:szCs w:val="24"/>
          <w:lang w:val="es-ES" w:eastAsia="es-ES"/>
        </w:rPr>
      </w:pPr>
    </w:p>
    <w:p w:rsidR="007B0CC6" w:rsidRPr="007B0CC6" w:rsidRDefault="007B0CC6" w:rsidP="007B0CC6">
      <w:pPr>
        <w:spacing w:after="0" w:line="360" w:lineRule="auto"/>
        <w:jc w:val="both"/>
        <w:rPr>
          <w:rFonts w:ascii="Arial" w:eastAsia="Calibri" w:hAnsi="Arial" w:cs="Arial"/>
          <w:sz w:val="24"/>
          <w:szCs w:val="24"/>
          <w:lang w:val="es-ES" w:eastAsia="es-ES"/>
        </w:rPr>
      </w:pPr>
      <w:r w:rsidRPr="007B0CC6">
        <w:rPr>
          <w:rFonts w:ascii="Arial" w:eastAsia="Calibri" w:hAnsi="Arial" w:cs="Arial"/>
          <w:sz w:val="24"/>
          <w:szCs w:val="24"/>
          <w:lang w:val="es-ES" w:eastAsia="es-ES"/>
        </w:rPr>
        <w:t>Por último, entiendo que puede resultar oportuno avanzar normativamente en la temática en cuestión, compartiendo el fin perseguido por el Tribunal respecto a una mayor previsibilidad en los criterios de evaluación de ofertas. No obstante, a mi entender dicha finalidad se encuentra hoy más alineada al concepto de “buenas prácticas” que a lo establecido efectivamente en las normas en vigencia.”</w:t>
      </w:r>
    </w:p>
    <w:p w:rsidR="007B0CC6" w:rsidRPr="007B0CC6" w:rsidRDefault="007B0CC6" w:rsidP="007B0CC6">
      <w:pPr>
        <w:spacing w:after="0" w:line="360" w:lineRule="auto"/>
        <w:rPr>
          <w:rFonts w:ascii="Arial" w:eastAsia="Times New Roman" w:hAnsi="Arial" w:cs="Arial"/>
          <w:sz w:val="24"/>
          <w:szCs w:val="24"/>
          <w:lang w:val="es-ES" w:eastAsia="es-ES"/>
        </w:rPr>
      </w:pPr>
    </w:p>
    <w:p w:rsidR="007B0CC6" w:rsidRPr="007B0CC6" w:rsidRDefault="007B0CC6" w:rsidP="007B0CC6">
      <w:pPr>
        <w:spacing w:after="0" w:line="360" w:lineRule="auto"/>
        <w:jc w:val="both"/>
        <w:rPr>
          <w:rFonts w:ascii="Arial" w:eastAsia="Calibri" w:hAnsi="Arial" w:cs="Arial"/>
          <w:sz w:val="24"/>
          <w:szCs w:val="24"/>
          <w:lang w:val="es-ES" w:eastAsia="es-ES"/>
        </w:rPr>
      </w:pPr>
      <w:r w:rsidRPr="007B0CC6">
        <w:rPr>
          <w:rFonts w:ascii="Arial" w:eastAsia="Calibri" w:hAnsi="Arial" w:cs="Arial"/>
          <w:sz w:val="24"/>
          <w:szCs w:val="24"/>
          <w:lang w:val="es-ES" w:eastAsia="es-ES"/>
        </w:rPr>
        <w:t>Por  lo expuesto, he votado en forma discorde la Resolución de este expediente en función del considerando 1</w:t>
      </w:r>
      <w:r w:rsidRPr="007B0CC6">
        <w:rPr>
          <w:rFonts w:ascii="Arial" w:eastAsia="Calibri" w:hAnsi="Arial" w:cs="Arial"/>
          <w:sz w:val="24"/>
          <w:szCs w:val="24"/>
          <w:lang w:val="es-ES" w:eastAsia="es-ES"/>
        </w:rPr>
        <w:t>.”</w:t>
      </w:r>
    </w:p>
    <w:p w:rsidR="007B0CC6" w:rsidRPr="007B0CC6" w:rsidRDefault="007B0CC6" w:rsidP="00D71A3A">
      <w:pPr>
        <w:spacing w:line="360" w:lineRule="auto"/>
        <w:ind w:right="-1"/>
        <w:jc w:val="both"/>
        <w:rPr>
          <w:rFonts w:ascii="Arial" w:hAnsi="Arial" w:cs="Arial"/>
          <w:szCs w:val="24"/>
          <w:lang w:val="es-ES"/>
        </w:rPr>
      </w:pPr>
    </w:p>
    <w:p w:rsidR="007B0CC6" w:rsidRDefault="007B0CC6" w:rsidP="00D71A3A">
      <w:pPr>
        <w:spacing w:line="360" w:lineRule="auto"/>
        <w:jc w:val="both"/>
        <w:rPr>
          <w:rFonts w:ascii="Arial" w:hAnsi="Arial" w:cs="Arial"/>
          <w:szCs w:val="24"/>
        </w:rPr>
      </w:pPr>
    </w:p>
    <w:p w:rsidR="007B0CC6" w:rsidRDefault="007B0CC6" w:rsidP="00D71A3A">
      <w:pPr>
        <w:spacing w:line="360" w:lineRule="auto"/>
        <w:jc w:val="both"/>
        <w:rPr>
          <w:rFonts w:ascii="Arial" w:hAnsi="Arial" w:cs="Arial"/>
          <w:szCs w:val="24"/>
        </w:rPr>
      </w:pPr>
      <w:bookmarkStart w:id="2" w:name="_GoBack"/>
      <w:bookmarkEnd w:id="2"/>
    </w:p>
    <w:sectPr w:rsidR="007B0CC6" w:rsidSect="00A004AA">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762963C7"/>
    <w:multiLevelType w:val="hybridMultilevel"/>
    <w:tmpl w:val="F05C8F74"/>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762"/>
    <w:rsid w:val="00044F25"/>
    <w:rsid w:val="00195C14"/>
    <w:rsid w:val="0023281A"/>
    <w:rsid w:val="003326AF"/>
    <w:rsid w:val="0033337B"/>
    <w:rsid w:val="00373B78"/>
    <w:rsid w:val="00512762"/>
    <w:rsid w:val="0060145D"/>
    <w:rsid w:val="006F174C"/>
    <w:rsid w:val="006F5B6A"/>
    <w:rsid w:val="00773A0D"/>
    <w:rsid w:val="007B0CC6"/>
    <w:rsid w:val="007E50DB"/>
    <w:rsid w:val="008C5281"/>
    <w:rsid w:val="00973B51"/>
    <w:rsid w:val="00A004AA"/>
    <w:rsid w:val="00A5452A"/>
    <w:rsid w:val="00AB0F4A"/>
    <w:rsid w:val="00B04D6F"/>
    <w:rsid w:val="00BC12CA"/>
    <w:rsid w:val="00C8253E"/>
    <w:rsid w:val="00E858C3"/>
    <w:rsid w:val="00F7410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B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1681</Words>
  <Characters>9249</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Miriam Cristina Rivero</cp:lastModifiedBy>
  <cp:revision>2</cp:revision>
  <cp:lastPrinted>2018-12-10T16:29:00Z</cp:lastPrinted>
  <dcterms:created xsi:type="dcterms:W3CDTF">2018-12-10T16:40:00Z</dcterms:created>
  <dcterms:modified xsi:type="dcterms:W3CDTF">2018-12-10T16:40:00Z</dcterms:modified>
</cp:coreProperties>
</file>