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873" w:rsidRPr="00C61614" w:rsidRDefault="00023873" w:rsidP="00C61614">
      <w:pPr>
        <w:tabs>
          <w:tab w:val="center" w:pos="4253"/>
        </w:tabs>
        <w:suppressAutoHyphens/>
        <w:jc w:val="right"/>
        <w:rPr>
          <w:rFonts w:cs="Arial"/>
          <w:b/>
          <w:sz w:val="28"/>
          <w:szCs w:val="28"/>
          <w:lang w:val="es-ES_tradnl"/>
        </w:rPr>
      </w:pPr>
      <w:r>
        <w:rPr>
          <w:rFonts w:cs="Arial"/>
          <w:b/>
          <w:sz w:val="28"/>
          <w:szCs w:val="28"/>
          <w:lang w:val="es-ES_tradnl"/>
        </w:rPr>
        <w:t xml:space="preserve">RES. </w:t>
      </w:r>
      <w:r w:rsidR="0039125A">
        <w:rPr>
          <w:rFonts w:cs="Arial"/>
          <w:b/>
          <w:sz w:val="28"/>
          <w:szCs w:val="28"/>
          <w:lang w:val="es-ES_tradnl"/>
        </w:rPr>
        <w:t>3666</w:t>
      </w:r>
      <w:r>
        <w:rPr>
          <w:rFonts w:cs="Arial"/>
          <w:b/>
          <w:sz w:val="28"/>
          <w:szCs w:val="28"/>
          <w:lang w:val="es-ES_tradnl"/>
        </w:rPr>
        <w:t>/18</w:t>
      </w:r>
    </w:p>
    <w:p w:rsidR="00023873" w:rsidRDefault="00023873">
      <w:pPr>
        <w:tabs>
          <w:tab w:val="center" w:pos="4253"/>
        </w:tabs>
        <w:suppressAutoHyphens/>
        <w:jc w:val="center"/>
        <w:rPr>
          <w:rFonts w:cs="Arial"/>
          <w:b/>
          <w:lang w:val="es-ES_tradnl"/>
        </w:rPr>
      </w:pPr>
    </w:p>
    <w:p w:rsidR="00023873" w:rsidRDefault="00023873" w:rsidP="00662BF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023873" w:rsidRDefault="00023873" w:rsidP="00662BF1">
      <w:pPr>
        <w:tabs>
          <w:tab w:val="left" w:pos="-720"/>
        </w:tabs>
        <w:suppressAutoHyphens/>
        <w:jc w:val="center"/>
        <w:rPr>
          <w:rFonts w:ascii="Helvetica" w:hAnsi="Helvetica"/>
          <w:b/>
          <w:lang w:val="es-ES_tradnl"/>
        </w:rPr>
      </w:pPr>
    </w:p>
    <w:p w:rsidR="00023873" w:rsidRDefault="00023873" w:rsidP="00662BF1">
      <w:pPr>
        <w:tabs>
          <w:tab w:val="center" w:pos="4253"/>
        </w:tabs>
        <w:suppressAutoHyphens/>
        <w:jc w:val="center"/>
        <w:rPr>
          <w:rFonts w:ascii="Helvetica" w:hAnsi="Helvetica"/>
          <w:b/>
          <w:lang w:val="es-ES_tradnl"/>
        </w:rPr>
      </w:pPr>
      <w:r>
        <w:rPr>
          <w:rFonts w:ascii="Helvetica" w:hAnsi="Helvetica"/>
          <w:b/>
          <w:lang w:val="es-ES_tradnl"/>
        </w:rPr>
        <w:t>TRIBUNAL DE CUENTAS</w:t>
      </w:r>
    </w:p>
    <w:p w:rsidR="00023873" w:rsidRDefault="00023873" w:rsidP="00662BF1">
      <w:pPr>
        <w:tabs>
          <w:tab w:val="left" w:pos="-720"/>
        </w:tabs>
        <w:suppressAutoHyphens/>
        <w:jc w:val="center"/>
        <w:rPr>
          <w:rFonts w:ascii="Helvetica" w:hAnsi="Helvetica"/>
          <w:b/>
          <w:lang w:val="es-ES_tradnl"/>
        </w:rPr>
      </w:pPr>
    </w:p>
    <w:p w:rsidR="00023873" w:rsidRDefault="00023873" w:rsidP="00662BF1">
      <w:pPr>
        <w:tabs>
          <w:tab w:val="center" w:pos="4253"/>
        </w:tabs>
        <w:suppressAutoHyphens/>
        <w:jc w:val="center"/>
        <w:rPr>
          <w:rFonts w:ascii="Helvetica" w:hAnsi="Helvetica"/>
          <w:b/>
          <w:lang w:val="es-ES_tradnl"/>
        </w:rPr>
      </w:pPr>
      <w:r>
        <w:rPr>
          <w:rFonts w:ascii="Helvetica" w:hAnsi="Helvetica"/>
          <w:b/>
          <w:lang w:val="es-ES_tradnl"/>
        </w:rPr>
        <w:t>EN SESION DE FECHA  28 DE NOVIEMBRE  DE 2018</w:t>
      </w:r>
    </w:p>
    <w:p w:rsidR="00023873" w:rsidRDefault="00023873" w:rsidP="00662BF1">
      <w:pPr>
        <w:tabs>
          <w:tab w:val="center" w:pos="4253"/>
        </w:tabs>
        <w:suppressAutoHyphens/>
        <w:jc w:val="center"/>
        <w:rPr>
          <w:rFonts w:ascii="Helvetica" w:hAnsi="Helvetica"/>
          <w:b/>
          <w:lang w:val="es-ES_tradnl"/>
        </w:rPr>
      </w:pPr>
    </w:p>
    <w:p w:rsidR="00023873" w:rsidRPr="00023873" w:rsidRDefault="00023873" w:rsidP="00662BF1">
      <w:pPr>
        <w:tabs>
          <w:tab w:val="center" w:pos="4253"/>
        </w:tabs>
        <w:suppressAutoHyphens/>
        <w:jc w:val="center"/>
        <w:rPr>
          <w:rFonts w:ascii="Helvetica" w:hAnsi="Helvetica"/>
          <w:b/>
        </w:rPr>
      </w:pPr>
      <w:r w:rsidRPr="00023873">
        <w:rPr>
          <w:rFonts w:ascii="Helvetica" w:hAnsi="Helvetica"/>
          <w:b/>
        </w:rPr>
        <w:t>(E. E. Nº 201</w:t>
      </w:r>
      <w:r>
        <w:rPr>
          <w:rFonts w:ascii="Helvetica" w:hAnsi="Helvetica"/>
          <w:b/>
        </w:rPr>
        <w:t>8</w:t>
      </w:r>
      <w:r w:rsidRPr="00023873">
        <w:rPr>
          <w:rFonts w:ascii="Helvetica" w:hAnsi="Helvetica"/>
          <w:b/>
        </w:rPr>
        <w:t>-17-1-000</w:t>
      </w:r>
      <w:r>
        <w:rPr>
          <w:rFonts w:ascii="Helvetica" w:hAnsi="Helvetica"/>
          <w:b/>
        </w:rPr>
        <w:t>4973</w:t>
      </w:r>
      <w:r w:rsidRPr="00023873">
        <w:rPr>
          <w:rFonts w:ascii="Helvetica" w:hAnsi="Helvetica"/>
          <w:b/>
        </w:rPr>
        <w:t xml:space="preserve">, </w:t>
      </w:r>
      <w:proofErr w:type="spellStart"/>
      <w:r w:rsidRPr="00023873">
        <w:rPr>
          <w:rFonts w:ascii="Helvetica" w:hAnsi="Helvetica"/>
          <w:b/>
        </w:rPr>
        <w:t>Ent</w:t>
      </w:r>
      <w:proofErr w:type="spellEnd"/>
      <w:r w:rsidRPr="00023873">
        <w:rPr>
          <w:rFonts w:ascii="Helvetica" w:hAnsi="Helvetica"/>
          <w:b/>
        </w:rPr>
        <w:t>. N°</w:t>
      </w:r>
      <w:r>
        <w:rPr>
          <w:rFonts w:ascii="Helvetica" w:hAnsi="Helvetica"/>
          <w:b/>
        </w:rPr>
        <w:t xml:space="preserve"> 5146</w:t>
      </w:r>
      <w:r w:rsidRPr="00023873">
        <w:rPr>
          <w:rFonts w:ascii="Helvetica" w:hAnsi="Helvetica"/>
          <w:b/>
        </w:rPr>
        <w:t>/</w:t>
      </w:r>
      <w:r>
        <w:rPr>
          <w:rFonts w:ascii="Helvetica" w:hAnsi="Helvetica"/>
          <w:b/>
        </w:rPr>
        <w:t>18</w:t>
      </w:r>
      <w:r w:rsidRPr="00023873">
        <w:rPr>
          <w:rFonts w:ascii="Helvetica" w:hAnsi="Helvetica"/>
          <w:b/>
        </w:rPr>
        <w:t>)</w:t>
      </w:r>
    </w:p>
    <w:p w:rsidR="00023873" w:rsidRPr="00023873" w:rsidRDefault="00023873">
      <w:pPr>
        <w:tabs>
          <w:tab w:val="center" w:pos="4253"/>
        </w:tabs>
        <w:suppressAutoHyphens/>
        <w:jc w:val="center"/>
        <w:rPr>
          <w:rFonts w:cs="Arial"/>
          <w:b/>
        </w:rPr>
      </w:pPr>
    </w:p>
    <w:p w:rsidR="00023873" w:rsidRDefault="00023873" w:rsidP="00305CD7">
      <w:pPr>
        <w:tabs>
          <w:tab w:val="center" w:pos="4253"/>
        </w:tabs>
        <w:suppressAutoHyphens/>
        <w:jc w:val="center"/>
        <w:rPr>
          <w:rFonts w:ascii="Helvetica" w:hAnsi="Helvetica"/>
          <w:b/>
          <w:lang w:val="es-ES_tradnl"/>
        </w:rPr>
      </w:pPr>
    </w:p>
    <w:p w:rsidR="00367D67" w:rsidRDefault="00367D67" w:rsidP="00367D67">
      <w:pPr>
        <w:spacing w:line="360" w:lineRule="auto"/>
        <w:jc w:val="center"/>
        <w:rPr>
          <w:b/>
          <w:bCs/>
          <w:i/>
          <w:iCs/>
        </w:rPr>
      </w:pPr>
    </w:p>
    <w:p w:rsidR="00367D67" w:rsidRDefault="0039125A" w:rsidP="0039125A">
      <w:pPr>
        <w:pStyle w:val="Textoindependiente"/>
        <w:ind w:firstLine="851"/>
      </w:pPr>
      <w:r>
        <w:t xml:space="preserve"> </w:t>
      </w:r>
      <w:r w:rsidR="00367D67" w:rsidRPr="00367D67">
        <w:rPr>
          <w:b/>
        </w:rPr>
        <w:t>VISTO:</w:t>
      </w:r>
      <w:r w:rsidR="00367D67">
        <w:t xml:space="preserve"> las nuevas actuaciones remitidas por el Contador Auditor destacado ante la Secretaría Nacional de Deporte (SND) de la Presidencia de la República, relacionadas con la reiteración del gasto emergente de la Licitación Pública Nº 1/2018, cuyo objeto es la contratación de los trabajos de mantenimiento de las piscinas cerradas ubicadas en las Plazas de Deporte de las ciudades de Montevideo y Canelones,  por el plazo de un año, el que podrá ser prorrogado por hasta dos per</w:t>
      </w:r>
      <w:r w:rsidR="0010294B">
        <w:t xml:space="preserve">íodos de un año cada uno; </w:t>
      </w:r>
    </w:p>
    <w:p w:rsidR="00367D67" w:rsidRDefault="0010294B" w:rsidP="005E277A">
      <w:pPr>
        <w:spacing w:line="360" w:lineRule="auto"/>
        <w:ind w:firstLine="851"/>
        <w:jc w:val="both"/>
      </w:pPr>
      <w:r>
        <w:rPr>
          <w:b/>
        </w:rPr>
        <w:t xml:space="preserve">RESULTANDO: </w:t>
      </w:r>
      <w:r w:rsidRPr="0010294B">
        <w:rPr>
          <w:b/>
        </w:rPr>
        <w:t>1)</w:t>
      </w:r>
      <w:r>
        <w:t xml:space="preserve"> que en Sesión de fecha 29 de agosto de 2018, </w:t>
      </w:r>
      <w:r w:rsidR="00367D67">
        <w:t>este Tribunal acordó observar el gasto emergente del llamado de referencia</w:t>
      </w:r>
      <w:r w:rsidR="00C61F74">
        <w:t>, por contravención de los artículos 65 inciso 7 y 48 del TOCAF</w:t>
      </w:r>
      <w:r w:rsidR="006E72A0">
        <w:t xml:space="preserve">; </w:t>
      </w:r>
      <w:r w:rsidR="00367D67">
        <w:t xml:space="preserve"> </w:t>
      </w:r>
    </w:p>
    <w:p w:rsidR="00C61F74" w:rsidRDefault="006E72A0" w:rsidP="005E277A">
      <w:pPr>
        <w:spacing w:line="360" w:lineRule="auto"/>
        <w:ind w:firstLine="2694"/>
        <w:jc w:val="both"/>
      </w:pPr>
      <w:r w:rsidRPr="006E72A0">
        <w:rPr>
          <w:b/>
        </w:rPr>
        <w:t xml:space="preserve">2) </w:t>
      </w:r>
      <w:r>
        <w:t xml:space="preserve">que en </w:t>
      </w:r>
      <w:r w:rsidR="00C61F74">
        <w:t>esta</w:t>
      </w:r>
      <w:r>
        <w:t xml:space="preserve"> oportunidad</w:t>
      </w:r>
      <w:r w:rsidR="00C61F74">
        <w:t>,</w:t>
      </w:r>
      <w:r>
        <w:t xml:space="preserve"> </w:t>
      </w:r>
      <w:r w:rsidR="00C61F74">
        <w:t xml:space="preserve">el Contador Auditor comunica que con fecha 12 de octubre intervino por reiteración el gasto de </w:t>
      </w:r>
      <w:r w:rsidR="005E277A">
        <w:t xml:space="preserve">                    </w:t>
      </w:r>
      <w:r w:rsidR="00C61F74">
        <w:t xml:space="preserve">$ 11.837.050 IVA y leyes sociales, más ajustes paramétricos incluidos a favor de la firma </w:t>
      </w:r>
      <w:proofErr w:type="spellStart"/>
      <w:r w:rsidR="00C61F74">
        <w:t>Nedoril</w:t>
      </w:r>
      <w:proofErr w:type="spellEnd"/>
      <w:r w:rsidR="00C61F74">
        <w:t xml:space="preserve"> S.A., por el período de 12 meses; </w:t>
      </w:r>
    </w:p>
    <w:p w:rsidR="005E277A" w:rsidRDefault="00C61F74" w:rsidP="005E277A">
      <w:pPr>
        <w:spacing w:line="360" w:lineRule="auto"/>
        <w:ind w:firstLine="2694"/>
        <w:jc w:val="both"/>
      </w:pPr>
      <w:r w:rsidRPr="00C61F74">
        <w:rPr>
          <w:b/>
        </w:rPr>
        <w:t>3)</w:t>
      </w:r>
      <w:r>
        <w:t xml:space="preserve"> que adjunta copia de la </w:t>
      </w:r>
      <w:r w:rsidR="00367D67">
        <w:t>Resolución dictada por el Secretario Nacional de Deporte, media</w:t>
      </w:r>
      <w:r w:rsidR="006E72A0">
        <w:t>nte la cual se reitera el gasto</w:t>
      </w:r>
      <w:r>
        <w:t xml:space="preserve"> de referencia</w:t>
      </w:r>
      <w:r w:rsidR="006E72A0">
        <w:t xml:space="preserve">; </w:t>
      </w:r>
    </w:p>
    <w:p w:rsidR="00D452B3" w:rsidRDefault="00B242F6" w:rsidP="005E277A">
      <w:pPr>
        <w:spacing w:line="360" w:lineRule="auto"/>
        <w:ind w:firstLine="851"/>
        <w:jc w:val="both"/>
      </w:pPr>
      <w:r w:rsidRPr="000D6ADE">
        <w:rPr>
          <w:b/>
          <w:bCs/>
        </w:rPr>
        <w:t xml:space="preserve">CONSIDERANDO: </w:t>
      </w:r>
      <w:r w:rsidR="007C6705">
        <w:rPr>
          <w:b/>
          <w:bCs/>
        </w:rPr>
        <w:t xml:space="preserve">1) </w:t>
      </w:r>
      <w:r w:rsidRPr="000D6ADE">
        <w:t xml:space="preserve">que se mantienen incambiadas las razones por las cuales se observó el gasto de referencia, no esgrimiéndose por parte de la Administración argumentos que ameriten su reconsideración </w:t>
      </w:r>
      <w:r w:rsidR="00C00789">
        <w:t xml:space="preserve">y subsiguiente levantamiento;  </w:t>
      </w:r>
    </w:p>
    <w:p w:rsidR="003F5206" w:rsidRPr="003F5206" w:rsidRDefault="007C6705" w:rsidP="007D21B1">
      <w:pPr>
        <w:spacing w:line="360" w:lineRule="auto"/>
        <w:ind w:firstLine="2977"/>
        <w:jc w:val="both"/>
        <w:rPr>
          <w:rFonts w:cs="Arial"/>
        </w:rPr>
      </w:pPr>
      <w:r w:rsidRPr="007C6705">
        <w:rPr>
          <w:b/>
        </w:rPr>
        <w:lastRenderedPageBreak/>
        <w:t>2)</w:t>
      </w:r>
      <w:r w:rsidR="003F5206" w:rsidRPr="00DD0967">
        <w:rPr>
          <w:rFonts w:cs="Arial"/>
          <w:b/>
        </w:rPr>
        <w:t xml:space="preserve"> </w:t>
      </w:r>
      <w:r w:rsidR="003F5206" w:rsidRPr="003F5206">
        <w:rPr>
          <w:rFonts w:cs="Arial"/>
        </w:rPr>
        <w:t>que el Artículo 114 del TOCAF establece que en caso de que el Ordenador reitere el gasto deberá comunicar tal resolución a este Tribunal, supuesto que no fue realizado en forma oportuna;</w:t>
      </w:r>
    </w:p>
    <w:p w:rsidR="00150E2D" w:rsidRDefault="00150E2D" w:rsidP="007D21B1">
      <w:pPr>
        <w:spacing w:line="360" w:lineRule="auto"/>
        <w:ind w:firstLine="851"/>
        <w:jc w:val="both"/>
      </w:pPr>
      <w:r w:rsidRPr="00150E2D">
        <w:rPr>
          <w:rFonts w:cs="Arial"/>
          <w:b/>
        </w:rPr>
        <w:t xml:space="preserve">ATENTO: </w:t>
      </w:r>
      <w:r w:rsidRPr="00150E2D">
        <w:rPr>
          <w:rFonts w:cs="Arial"/>
        </w:rPr>
        <w:t xml:space="preserve">a lo precedentemente expuesto y a lo dispuesto por el </w:t>
      </w:r>
      <w:r w:rsidR="00C61F74">
        <w:rPr>
          <w:rFonts w:cs="Arial"/>
        </w:rPr>
        <w:t>a</w:t>
      </w:r>
      <w:r w:rsidRPr="00150E2D">
        <w:rPr>
          <w:rFonts w:cs="Arial"/>
        </w:rPr>
        <w:t xml:space="preserve">rtículo 211, </w:t>
      </w:r>
      <w:r w:rsidR="00C61F74">
        <w:rPr>
          <w:rFonts w:cs="Arial"/>
        </w:rPr>
        <w:t>l</w:t>
      </w:r>
      <w:r w:rsidRPr="00150E2D">
        <w:rPr>
          <w:rFonts w:cs="Arial"/>
        </w:rPr>
        <w:t xml:space="preserve">iteral B) de </w:t>
      </w:r>
      <w:r w:rsidR="00C00789">
        <w:rPr>
          <w:rFonts w:cs="Arial"/>
        </w:rPr>
        <w:t>la Constitución de la República;</w:t>
      </w:r>
    </w:p>
    <w:p w:rsidR="00150E2D" w:rsidRDefault="00150E2D" w:rsidP="007D21B1">
      <w:pPr>
        <w:pStyle w:val="Ttulo2"/>
        <w:tabs>
          <w:tab w:val="left" w:pos="2010"/>
          <w:tab w:val="center" w:pos="4252"/>
        </w:tabs>
        <w:rPr>
          <w:b w:val="0"/>
        </w:rPr>
      </w:pPr>
      <w:r>
        <w:t>EL TRIBUNAL ACUERDA</w:t>
      </w:r>
    </w:p>
    <w:p w:rsidR="006E72A0" w:rsidRDefault="00150E2D" w:rsidP="007D21B1">
      <w:pPr>
        <w:keepNext/>
        <w:spacing w:line="360" w:lineRule="auto"/>
        <w:jc w:val="both"/>
        <w:outlineLvl w:val="0"/>
        <w:rPr>
          <w:rFonts w:cs="Arial"/>
          <w:bCs/>
        </w:rPr>
      </w:pPr>
      <w:r w:rsidRPr="007D21B1">
        <w:rPr>
          <w:rFonts w:cs="Arial"/>
          <w:b/>
          <w:bCs/>
          <w:lang w:val="es-MX"/>
        </w:rPr>
        <w:t>1)</w:t>
      </w:r>
      <w:r w:rsidRPr="00150E2D">
        <w:rPr>
          <w:rFonts w:cs="Arial"/>
          <w:bCs/>
          <w:lang w:val="es-MX"/>
        </w:rPr>
        <w:t xml:space="preserve"> </w:t>
      </w:r>
      <w:r w:rsidRPr="00150E2D">
        <w:rPr>
          <w:rFonts w:cs="Arial"/>
          <w:bCs/>
        </w:rPr>
        <w:t xml:space="preserve">Mantener la observación formulada </w:t>
      </w:r>
      <w:r w:rsidR="00C61F74">
        <w:rPr>
          <w:rFonts w:cs="Arial"/>
          <w:bCs/>
        </w:rPr>
        <w:t>en Acuerdo</w:t>
      </w:r>
      <w:r w:rsidRPr="00150E2D">
        <w:rPr>
          <w:rFonts w:cs="Arial"/>
          <w:bCs/>
        </w:rPr>
        <w:t xml:space="preserve"> de</w:t>
      </w:r>
      <w:r w:rsidR="00C61F74">
        <w:rPr>
          <w:rFonts w:cs="Arial"/>
          <w:bCs/>
        </w:rPr>
        <w:t>l</w:t>
      </w:r>
      <w:r w:rsidRPr="00150E2D">
        <w:rPr>
          <w:rFonts w:cs="Arial"/>
          <w:bCs/>
        </w:rPr>
        <w:t xml:space="preserve"> </w:t>
      </w:r>
      <w:r w:rsidR="006E72A0">
        <w:rPr>
          <w:rFonts w:cs="Arial"/>
          <w:bCs/>
        </w:rPr>
        <w:t>29 de agosto</w:t>
      </w:r>
      <w:r w:rsidRPr="00150E2D">
        <w:rPr>
          <w:rFonts w:cs="Arial"/>
          <w:bCs/>
        </w:rPr>
        <w:t xml:space="preserve"> de 201</w:t>
      </w:r>
      <w:r w:rsidR="006E72A0">
        <w:rPr>
          <w:rFonts w:cs="Arial"/>
          <w:bCs/>
        </w:rPr>
        <w:t>8</w:t>
      </w:r>
      <w:r w:rsidRPr="00150E2D">
        <w:rPr>
          <w:rFonts w:cs="Arial"/>
          <w:bCs/>
        </w:rPr>
        <w:t>;</w:t>
      </w:r>
    </w:p>
    <w:p w:rsidR="007D21B1" w:rsidRDefault="00CE0C5C" w:rsidP="007D21B1">
      <w:pPr>
        <w:spacing w:line="360" w:lineRule="auto"/>
        <w:jc w:val="both"/>
        <w:rPr>
          <w:rFonts w:cs="Arial"/>
          <w:bCs/>
        </w:rPr>
      </w:pPr>
      <w:r w:rsidRPr="007D21B1">
        <w:rPr>
          <w:rFonts w:cs="Arial"/>
          <w:b/>
          <w:bCs/>
        </w:rPr>
        <w:t>2</w:t>
      </w:r>
      <w:r w:rsidR="00150E2D" w:rsidRPr="007D21B1">
        <w:rPr>
          <w:rFonts w:cs="Arial"/>
          <w:b/>
          <w:bCs/>
        </w:rPr>
        <w:t>)</w:t>
      </w:r>
      <w:r w:rsidR="00150E2D" w:rsidRPr="00150E2D">
        <w:rPr>
          <w:rFonts w:cs="Arial"/>
          <w:bCs/>
        </w:rPr>
        <w:t xml:space="preserve"> </w:t>
      </w:r>
      <w:r w:rsidR="007D21B1" w:rsidRPr="00CE0C5C">
        <w:rPr>
          <w:rFonts w:cs="Arial"/>
          <w:bCs/>
        </w:rPr>
        <w:t>Téngase presente lo señalado en el Considerando 2);</w:t>
      </w:r>
    </w:p>
    <w:p w:rsidR="007D21B1" w:rsidRDefault="007D21B1" w:rsidP="007D21B1">
      <w:pPr>
        <w:spacing w:line="360" w:lineRule="auto"/>
        <w:jc w:val="both"/>
        <w:rPr>
          <w:rFonts w:cs="Arial"/>
          <w:bCs/>
        </w:rPr>
      </w:pPr>
      <w:r w:rsidRPr="007D21B1">
        <w:rPr>
          <w:rFonts w:cs="Arial"/>
          <w:b/>
          <w:bCs/>
        </w:rPr>
        <w:t>3)</w:t>
      </w:r>
      <w:r>
        <w:rPr>
          <w:rFonts w:cs="Arial"/>
          <w:bCs/>
        </w:rPr>
        <w:t xml:space="preserve"> </w:t>
      </w:r>
      <w:r w:rsidRPr="00150E2D">
        <w:rPr>
          <w:rFonts w:cs="Arial"/>
          <w:bCs/>
        </w:rPr>
        <w:t xml:space="preserve">Comunicar al  Poder Ejecutivo y al Contador </w:t>
      </w:r>
      <w:r>
        <w:rPr>
          <w:rFonts w:cs="Arial"/>
          <w:bCs/>
        </w:rPr>
        <w:t>Auditor</w:t>
      </w:r>
      <w:r w:rsidRPr="00150E2D">
        <w:rPr>
          <w:rFonts w:cs="Arial"/>
          <w:bCs/>
        </w:rPr>
        <w:t>;</w:t>
      </w:r>
    </w:p>
    <w:p w:rsidR="00150E2D" w:rsidRPr="00150E2D" w:rsidRDefault="007D21B1" w:rsidP="007D21B1">
      <w:pPr>
        <w:spacing w:line="360" w:lineRule="auto"/>
        <w:jc w:val="both"/>
        <w:rPr>
          <w:rFonts w:cs="Arial"/>
          <w:bCs/>
        </w:rPr>
      </w:pPr>
      <w:r w:rsidRPr="007D21B1">
        <w:rPr>
          <w:rFonts w:cs="Arial"/>
          <w:b/>
          <w:bCs/>
        </w:rPr>
        <w:t>4)</w:t>
      </w:r>
      <w:r>
        <w:rPr>
          <w:rFonts w:cs="Arial"/>
          <w:bCs/>
        </w:rPr>
        <w:t xml:space="preserve"> </w:t>
      </w:r>
      <w:r w:rsidR="00150E2D" w:rsidRPr="00150E2D">
        <w:rPr>
          <w:rFonts w:cs="Arial"/>
          <w:bCs/>
        </w:rPr>
        <w:t xml:space="preserve">Dar cuenta a la Asamblea General; </w:t>
      </w:r>
    </w:p>
    <w:p w:rsidR="00A823C5" w:rsidRDefault="006E72A0" w:rsidP="007D21B1">
      <w:pPr>
        <w:spacing w:line="360" w:lineRule="auto"/>
        <w:jc w:val="both"/>
        <w:rPr>
          <w:rFonts w:cs="Arial"/>
          <w:bCs/>
        </w:rPr>
      </w:pPr>
      <w:r w:rsidRPr="007D21B1">
        <w:rPr>
          <w:rFonts w:cs="Arial"/>
          <w:b/>
          <w:bCs/>
        </w:rPr>
        <w:t>5</w:t>
      </w:r>
      <w:r w:rsidR="00150E2D" w:rsidRPr="007D21B1">
        <w:rPr>
          <w:rFonts w:cs="Arial"/>
          <w:b/>
          <w:bCs/>
        </w:rPr>
        <w:t>)</w:t>
      </w:r>
      <w:r w:rsidR="00150E2D" w:rsidRPr="00150E2D">
        <w:rPr>
          <w:rFonts w:cs="Arial"/>
          <w:bCs/>
        </w:rPr>
        <w:t xml:space="preserve"> Devolver las actuaciones </w:t>
      </w:r>
      <w:r w:rsidR="0023616C">
        <w:rPr>
          <w:rFonts w:cs="Arial"/>
          <w:bCs/>
        </w:rPr>
        <w:t>a la Secretaría Nacional de Deporte</w:t>
      </w:r>
      <w:r w:rsidR="00A823C5">
        <w:rPr>
          <w:rFonts w:cs="Arial"/>
          <w:bCs/>
        </w:rPr>
        <w:t>.</w:t>
      </w:r>
    </w:p>
    <w:p w:rsidR="007D21B1" w:rsidRDefault="007D21B1" w:rsidP="007D21B1">
      <w:pPr>
        <w:spacing w:line="360" w:lineRule="auto"/>
        <w:jc w:val="both"/>
        <w:rPr>
          <w:rFonts w:cs="Arial"/>
          <w:bCs/>
        </w:rPr>
      </w:pPr>
    </w:p>
    <w:p w:rsidR="00944875" w:rsidRDefault="00944875" w:rsidP="007D21B1">
      <w:pPr>
        <w:spacing w:line="360" w:lineRule="auto"/>
        <w:jc w:val="both"/>
        <w:rPr>
          <w:rFonts w:cs="Arial"/>
          <w:bCs/>
        </w:rPr>
      </w:pPr>
    </w:p>
    <w:p w:rsidR="00944875" w:rsidRDefault="00944875" w:rsidP="007D21B1">
      <w:pPr>
        <w:spacing w:line="360" w:lineRule="auto"/>
        <w:jc w:val="both"/>
        <w:rPr>
          <w:rFonts w:cs="Arial"/>
          <w:bCs/>
        </w:rPr>
      </w:pPr>
    </w:p>
    <w:p w:rsidR="00944875" w:rsidRDefault="00944875" w:rsidP="007D21B1">
      <w:pPr>
        <w:spacing w:line="360" w:lineRule="auto"/>
        <w:jc w:val="both"/>
        <w:rPr>
          <w:rFonts w:cs="Arial"/>
          <w:bCs/>
        </w:rPr>
      </w:pPr>
    </w:p>
    <w:p w:rsidR="00435E79" w:rsidRDefault="00944875" w:rsidP="00435E79">
      <w:pPr>
        <w:spacing w:line="360" w:lineRule="auto"/>
        <w:jc w:val="both"/>
      </w:pPr>
      <w:r w:rsidRPr="00E9382D">
        <w:rPr>
          <w:rFonts w:cs="Arial"/>
          <w:b/>
          <w:lang w:val="es-UY"/>
        </w:rPr>
        <w:t>CON</w:t>
      </w:r>
      <w:r>
        <w:rPr>
          <w:rFonts w:cs="Arial"/>
          <w:b/>
          <w:lang w:val="es-UY"/>
        </w:rPr>
        <w:t>S</w:t>
      </w:r>
      <w:r w:rsidRPr="00E9382D">
        <w:rPr>
          <w:rFonts w:cs="Arial"/>
          <w:b/>
          <w:lang w:val="es-UY"/>
        </w:rPr>
        <w:t xml:space="preserve">TANCIA DE FUNDAMENTO DE VOTO </w:t>
      </w:r>
      <w:r>
        <w:rPr>
          <w:rFonts w:cs="Arial"/>
          <w:b/>
          <w:lang w:val="es-UY"/>
        </w:rPr>
        <w:t>DISCORDE</w:t>
      </w:r>
      <w:r w:rsidRPr="00E9382D">
        <w:rPr>
          <w:rFonts w:cs="Arial"/>
          <w:b/>
          <w:lang w:val="es-UY"/>
        </w:rPr>
        <w:t xml:space="preserve"> DEL </w:t>
      </w:r>
      <w:r>
        <w:rPr>
          <w:rFonts w:cs="Arial"/>
          <w:b/>
          <w:lang w:val="es-UY"/>
        </w:rPr>
        <w:t>MINISTRO</w:t>
      </w:r>
      <w:r w:rsidRPr="00E9382D">
        <w:rPr>
          <w:rFonts w:cs="Arial"/>
          <w:b/>
          <w:lang w:val="es-UY"/>
        </w:rPr>
        <w:t xml:space="preserve"> </w:t>
      </w:r>
      <w:r>
        <w:rPr>
          <w:rFonts w:cs="Arial"/>
          <w:b/>
          <w:lang w:val="es-UY"/>
        </w:rPr>
        <w:t>C</w:t>
      </w:r>
      <w:r w:rsidRPr="00E9382D">
        <w:rPr>
          <w:rFonts w:cs="Arial"/>
          <w:b/>
          <w:lang w:val="es-UY"/>
        </w:rPr>
        <w:t xml:space="preserve">R. </w:t>
      </w:r>
      <w:r>
        <w:rPr>
          <w:rFonts w:cs="Arial"/>
          <w:b/>
          <w:lang w:val="es-UY"/>
        </w:rPr>
        <w:t>ENRIQUE CABRERA</w:t>
      </w:r>
      <w:r w:rsidRPr="00E9382D">
        <w:rPr>
          <w:rFonts w:cs="Arial"/>
          <w:b/>
          <w:lang w:val="es-UY"/>
        </w:rPr>
        <w:t xml:space="preserve">: </w:t>
      </w:r>
      <w:r w:rsidR="00435E79">
        <w:t>He concluido que no corresponde la causal de observación formulada por el Tribunal de Cuentas  en la medida que en su considerando 1  se hace referencia   a la observación  del procedimiento realizada en la sesión del 29/08/2018 (Resultando1 de esta resolución).</w:t>
      </w:r>
    </w:p>
    <w:p w:rsidR="00435E79" w:rsidRDefault="00435E79" w:rsidP="00435E79">
      <w:pPr>
        <w:spacing w:line="360" w:lineRule="auto"/>
        <w:jc w:val="both"/>
      </w:pPr>
    </w:p>
    <w:p w:rsidR="00435E79" w:rsidRDefault="00435E79" w:rsidP="00435E79">
      <w:pPr>
        <w:spacing w:line="360" w:lineRule="auto"/>
        <w:jc w:val="both"/>
      </w:pPr>
      <w:r>
        <w:t>Que en la resolución  del 29/08/2018 se observa por contravenir lo dispuesto en al artículo 48 Literal C,   posición sustentada con la cual muestro mi discordia.</w:t>
      </w:r>
    </w:p>
    <w:p w:rsidR="00435E79" w:rsidRDefault="00435E79" w:rsidP="00435E79">
      <w:pPr>
        <w:spacing w:line="360" w:lineRule="auto"/>
        <w:jc w:val="both"/>
      </w:pPr>
    </w:p>
    <w:p w:rsidR="00435E79" w:rsidRDefault="00435E79" w:rsidP="00435E79">
      <w:pPr>
        <w:spacing w:line="360" w:lineRule="auto"/>
        <w:jc w:val="both"/>
      </w:pPr>
      <w:r>
        <w:t>Fundamentación</w:t>
      </w:r>
    </w:p>
    <w:p w:rsidR="00435E79" w:rsidRDefault="00435E79" w:rsidP="00435E79">
      <w:pPr>
        <w:spacing w:line="360" w:lineRule="auto"/>
        <w:rPr>
          <w:rFonts w:ascii="Times New Roman" w:hAnsi="Times New Roman"/>
        </w:rPr>
      </w:pPr>
      <w:r>
        <w:rPr>
          <w:rFonts w:ascii="Times New Roman" w:hAnsi="Times New Roman"/>
        </w:rPr>
        <w:t xml:space="preserve">         </w:t>
      </w:r>
    </w:p>
    <w:p w:rsidR="00435E79" w:rsidRPr="009711C6" w:rsidRDefault="00435E79" w:rsidP="00435E79">
      <w:pPr>
        <w:spacing w:line="360" w:lineRule="auto"/>
        <w:rPr>
          <w:rFonts w:eastAsia="Calibri" w:cs="Arial"/>
        </w:rPr>
      </w:pPr>
      <w:r w:rsidRPr="009711C6">
        <w:rPr>
          <w:rFonts w:cs="Arial"/>
        </w:rPr>
        <w:t xml:space="preserve">Para la misma cito textualmente la fundamentación realizada  por el Ministro Miguel    Aumento para  el </w:t>
      </w:r>
      <w:r w:rsidRPr="009711C6">
        <w:rPr>
          <w:rFonts w:cs="Arial"/>
          <w:b/>
        </w:rPr>
        <w:t xml:space="preserve">Asunto 1-1-2 Sesión Ordinaria del 10 de enero de 2018  </w:t>
      </w:r>
      <w:r w:rsidRPr="009711C6">
        <w:rPr>
          <w:rFonts w:cs="Arial"/>
        </w:rPr>
        <w:t>por tratarse de un asunto similar</w:t>
      </w:r>
    </w:p>
    <w:p w:rsidR="00435E79" w:rsidRPr="009711C6" w:rsidRDefault="00435E79" w:rsidP="00435E79">
      <w:pPr>
        <w:spacing w:line="360" w:lineRule="auto"/>
        <w:rPr>
          <w:rFonts w:cs="Arial"/>
        </w:rPr>
      </w:pPr>
    </w:p>
    <w:p w:rsidR="00435E79" w:rsidRPr="009711C6" w:rsidRDefault="00435E79" w:rsidP="00435E79">
      <w:pPr>
        <w:spacing w:line="360" w:lineRule="auto"/>
        <w:jc w:val="both"/>
        <w:rPr>
          <w:rFonts w:eastAsia="Calibri" w:cs="Arial"/>
        </w:rPr>
      </w:pPr>
      <w:r w:rsidRPr="009711C6">
        <w:rPr>
          <w:rFonts w:cs="Arial"/>
        </w:rPr>
        <w:t xml:space="preserve">“La cuestión aquí es dirimir el grado de previsibilidad pretendido por el Legislador para la determinación de la calificación de ofertas, </w:t>
      </w:r>
      <w:r w:rsidRPr="009711C6">
        <w:rPr>
          <w:rFonts w:cs="Arial"/>
          <w:u w:val="single"/>
        </w:rPr>
        <w:t>al momento de confeccionarse</w:t>
      </w:r>
      <w:r w:rsidRPr="009711C6">
        <w:rPr>
          <w:rFonts w:cs="Arial"/>
        </w:rPr>
        <w:t xml:space="preserve"> </w:t>
      </w:r>
      <w:r w:rsidRPr="009711C6">
        <w:rPr>
          <w:rFonts w:cs="Arial"/>
          <w:u w:val="single"/>
        </w:rPr>
        <w:t>el pliego</w:t>
      </w:r>
      <w:r w:rsidRPr="009711C6">
        <w:rPr>
          <w:rFonts w:cs="Arial"/>
        </w:rPr>
        <w:t>.</w:t>
      </w:r>
    </w:p>
    <w:p w:rsidR="00435E79" w:rsidRPr="009711C6" w:rsidRDefault="00435E79" w:rsidP="00435E79">
      <w:pPr>
        <w:spacing w:line="360" w:lineRule="auto"/>
        <w:rPr>
          <w:rFonts w:cs="Arial"/>
        </w:rPr>
      </w:pPr>
    </w:p>
    <w:p w:rsidR="00435E79" w:rsidRPr="009711C6" w:rsidRDefault="00435E79" w:rsidP="00435E79">
      <w:pPr>
        <w:spacing w:line="360" w:lineRule="auto"/>
        <w:rPr>
          <w:rFonts w:cs="Arial"/>
        </w:rPr>
      </w:pPr>
    </w:p>
    <w:p w:rsidR="00435E79" w:rsidRPr="009711C6" w:rsidRDefault="00435E79" w:rsidP="00435E79">
      <w:pPr>
        <w:spacing w:line="360" w:lineRule="auto"/>
        <w:jc w:val="both"/>
        <w:rPr>
          <w:rFonts w:eastAsia="Calibri" w:cs="Arial"/>
        </w:rPr>
      </w:pPr>
      <w:r w:rsidRPr="009711C6">
        <w:rPr>
          <w:rFonts w:cs="Arial"/>
        </w:rPr>
        <w:t>No comparto que se haya vulnerado el Artículo 48 del TOCAF, dado que la Administración actuante estableció los principales factores (a su propio juicio) y sus respectivas ponderaciones (pesos relativos) tal como preceptúa dicha norma, como obligación de mínima. A mi entender, la necesidad de determinar los criterios de asignación de puntajes dentro de cada factor no está indicada (ni para los factores cuantitativos ni mucho menos para los cualitativos, en su caso), efectuándose  dentro de los parámetros de discrecionalidad reglada y sana crítica de la Comisión Asesora de Adjudicaciones y en última instancia del Ordenador.</w:t>
      </w:r>
    </w:p>
    <w:p w:rsidR="00435E79" w:rsidRPr="009711C6" w:rsidRDefault="00435E79" w:rsidP="00435E79">
      <w:pPr>
        <w:spacing w:line="360" w:lineRule="auto"/>
        <w:rPr>
          <w:rFonts w:cs="Arial"/>
        </w:rPr>
      </w:pPr>
    </w:p>
    <w:p w:rsidR="00435E79" w:rsidRPr="009711C6" w:rsidRDefault="00435E79" w:rsidP="00435E79">
      <w:pPr>
        <w:spacing w:line="360" w:lineRule="auto"/>
        <w:jc w:val="both"/>
        <w:rPr>
          <w:rFonts w:eastAsia="Calibri" w:cs="Arial"/>
        </w:rPr>
      </w:pPr>
      <w:r w:rsidRPr="009711C6">
        <w:rPr>
          <w:rFonts w:cs="Arial"/>
        </w:rPr>
        <w:t xml:space="preserve">De forma adicional, no se puede soslayar que la redacción dada contiene la expresión “principales factores”. En mi opinión, se reduce así la posibilidad interpretativa de que exista también la obligación de determinar la distribución de los puntajes en cada factor, </w:t>
      </w:r>
      <w:r w:rsidRPr="009711C6">
        <w:rPr>
          <w:rFonts w:cs="Arial"/>
          <w:u w:val="single"/>
        </w:rPr>
        <w:t>si es que ello -como es el caso- no está consagrado a texto expreso</w:t>
      </w:r>
      <w:r w:rsidRPr="009711C6">
        <w:rPr>
          <w:rFonts w:cs="Arial"/>
        </w:rPr>
        <w:t>; dado que además está sujeto a la posibilidad de la Administración circunscribir la definición de factores a los considerados como principales (para luego establecer sus respectivos pesos relativos).</w:t>
      </w:r>
    </w:p>
    <w:p w:rsidR="00435E79" w:rsidRPr="009711C6" w:rsidRDefault="00435E79" w:rsidP="00435E79">
      <w:pPr>
        <w:spacing w:line="360" w:lineRule="auto"/>
        <w:rPr>
          <w:rFonts w:cs="Arial"/>
        </w:rPr>
      </w:pPr>
    </w:p>
    <w:p w:rsidR="00435E79" w:rsidRPr="009711C6" w:rsidRDefault="00435E79" w:rsidP="00435E79">
      <w:pPr>
        <w:spacing w:line="360" w:lineRule="auto"/>
        <w:jc w:val="both"/>
        <w:rPr>
          <w:rFonts w:eastAsia="Calibri" w:cs="Arial"/>
        </w:rPr>
      </w:pPr>
      <w:r w:rsidRPr="009711C6">
        <w:rPr>
          <w:rFonts w:cs="Arial"/>
        </w:rPr>
        <w:t xml:space="preserve">En la misma línea, dicha expresión no podría referir a </w:t>
      </w:r>
      <w:r w:rsidRPr="009711C6">
        <w:rPr>
          <w:rFonts w:cs="Arial"/>
          <w:u w:val="single"/>
        </w:rPr>
        <w:t>todo factor</w:t>
      </w:r>
      <w:r w:rsidRPr="009711C6">
        <w:rPr>
          <w:rFonts w:cs="Arial"/>
        </w:rPr>
        <w:t xml:space="preserve"> del primer nivel (fáctico y potencial) </w:t>
      </w:r>
      <w:r w:rsidRPr="009711C6">
        <w:rPr>
          <w:rFonts w:cs="Arial"/>
          <w:u w:val="single"/>
        </w:rPr>
        <w:t>sin que incluya</w:t>
      </w:r>
      <w:r w:rsidRPr="009711C6">
        <w:rPr>
          <w:rFonts w:cs="Arial"/>
        </w:rPr>
        <w:t xml:space="preserve"> a sub-factores de aquel que lo pudiera contener, dado que dichos sub-factores resultan imprescindibles para arribar al pretendido grado de previsibilidad en la calificación de ofertas (asignando puntajes dentro de cada sub-factor). Entonces, resultaría aún más difícil concluir que la expresión “principales factores” incluye a todo factor del eventual árbol jerárquico, dado que la facultad discrecional ya señalada sigue en pie.</w:t>
      </w:r>
    </w:p>
    <w:p w:rsidR="00435E79" w:rsidRPr="009711C6" w:rsidRDefault="00435E79" w:rsidP="00435E79">
      <w:pPr>
        <w:spacing w:line="360" w:lineRule="auto"/>
        <w:rPr>
          <w:rFonts w:cs="Arial"/>
        </w:rPr>
      </w:pPr>
    </w:p>
    <w:p w:rsidR="00435E79" w:rsidRPr="009711C6" w:rsidRDefault="00435E79" w:rsidP="00435E79">
      <w:pPr>
        <w:spacing w:line="360" w:lineRule="auto"/>
        <w:jc w:val="both"/>
        <w:rPr>
          <w:rFonts w:eastAsia="Calibri" w:cs="Arial"/>
        </w:rPr>
      </w:pPr>
      <w:r w:rsidRPr="009711C6">
        <w:rPr>
          <w:rFonts w:cs="Arial"/>
        </w:rPr>
        <w:t>Por otro lado, cabe detenerse en lo preceptuado por el Artículo 65 del propio TOCAF, que expresa textualmente “…</w:t>
      </w:r>
      <w:r w:rsidRPr="009711C6">
        <w:rPr>
          <w:rFonts w:cs="Arial"/>
          <w:i/>
        </w:rPr>
        <w:t>Examinada la admisibilidad de las ofertas, a</w:t>
      </w:r>
      <w:r w:rsidRPr="009711C6">
        <w:rPr>
          <w:rFonts w:cs="Arial"/>
        </w:rPr>
        <w:t xml:space="preserve"> </w:t>
      </w:r>
      <w:r w:rsidRPr="009711C6">
        <w:rPr>
          <w:rFonts w:cs="Arial"/>
          <w:i/>
        </w:rPr>
        <w:t>los efectos de determinar la oferta más conveniente a los intereses de la</w:t>
      </w:r>
      <w:bookmarkStart w:id="0" w:name="page2"/>
      <w:bookmarkEnd w:id="0"/>
      <w:r w:rsidRPr="009711C6">
        <w:rPr>
          <w:rFonts w:cs="Arial"/>
          <w:i/>
        </w:rPr>
        <w:t xml:space="preserve"> Administración pública y las necesidades del servicio, </w:t>
      </w:r>
      <w:r w:rsidRPr="009711C6">
        <w:rPr>
          <w:rFonts w:cs="Arial"/>
          <w:i/>
          <w:u w:val="single"/>
        </w:rPr>
        <w:t>se tendrán en cuenta los</w:t>
      </w:r>
      <w:r w:rsidRPr="009711C6">
        <w:rPr>
          <w:rFonts w:cs="Arial"/>
          <w:i/>
        </w:rPr>
        <w:t xml:space="preserve"> </w:t>
      </w:r>
      <w:r w:rsidRPr="009711C6">
        <w:rPr>
          <w:rFonts w:cs="Arial"/>
          <w:i/>
          <w:u w:val="single"/>
        </w:rPr>
        <w:t>factores de evaluación cuantitativos y cualitativos aplicables en cada caso, que deberán constar en el pliego de condiciones particulares</w:t>
      </w:r>
      <w:r w:rsidRPr="009711C6">
        <w:rPr>
          <w:rFonts w:cs="Arial"/>
          <w:i/>
        </w:rPr>
        <w:t xml:space="preserve"> </w:t>
      </w:r>
      <w:r w:rsidRPr="009711C6">
        <w:rPr>
          <w:rFonts w:cs="Arial"/>
        </w:rPr>
        <w:t>(el subrayado es mío).</w:t>
      </w:r>
    </w:p>
    <w:p w:rsidR="00435E79" w:rsidRPr="009711C6" w:rsidRDefault="00435E79" w:rsidP="00435E79">
      <w:pPr>
        <w:spacing w:line="360" w:lineRule="auto"/>
        <w:rPr>
          <w:rFonts w:cs="Arial"/>
          <w:sz w:val="20"/>
        </w:rPr>
      </w:pPr>
    </w:p>
    <w:p w:rsidR="00435E79" w:rsidRPr="009711C6" w:rsidRDefault="00435E79" w:rsidP="00435E79">
      <w:pPr>
        <w:spacing w:line="360" w:lineRule="auto"/>
        <w:rPr>
          <w:rFonts w:eastAsia="Calibri" w:cs="Arial"/>
          <w:i/>
        </w:rPr>
      </w:pPr>
      <w:r w:rsidRPr="009711C6">
        <w:rPr>
          <w:rFonts w:cs="Arial"/>
          <w:i/>
        </w:rPr>
        <w:t>Se deberá:</w:t>
      </w:r>
    </w:p>
    <w:p w:rsidR="00435E79" w:rsidRPr="009711C6" w:rsidRDefault="00435E79" w:rsidP="00435E79">
      <w:pPr>
        <w:spacing w:line="360" w:lineRule="auto"/>
        <w:rPr>
          <w:rFonts w:cs="Arial"/>
          <w:sz w:val="20"/>
        </w:rPr>
      </w:pPr>
    </w:p>
    <w:p w:rsidR="00435E79" w:rsidRPr="009711C6" w:rsidRDefault="00435E79" w:rsidP="00435E79">
      <w:pPr>
        <w:numPr>
          <w:ilvl w:val="0"/>
          <w:numId w:val="5"/>
        </w:numPr>
        <w:tabs>
          <w:tab w:val="left" w:pos="740"/>
        </w:tabs>
        <w:spacing w:line="360" w:lineRule="auto"/>
        <w:ind w:hanging="257"/>
        <w:rPr>
          <w:rFonts w:eastAsia="Calibri" w:cs="Arial"/>
          <w:i/>
        </w:rPr>
      </w:pPr>
      <w:r w:rsidRPr="009711C6">
        <w:rPr>
          <w:rFonts w:cs="Arial"/>
          <w:i/>
        </w:rPr>
        <w:t>Prever razonablemente una ejecución efectiva y eficiente del contrato.</w:t>
      </w:r>
    </w:p>
    <w:p w:rsidR="00435E79" w:rsidRPr="009711C6" w:rsidRDefault="00435E79" w:rsidP="00435E79">
      <w:pPr>
        <w:spacing w:line="360" w:lineRule="auto"/>
        <w:rPr>
          <w:rFonts w:cs="Arial"/>
          <w:i/>
        </w:rPr>
      </w:pPr>
    </w:p>
    <w:p w:rsidR="00435E79" w:rsidRPr="009711C6" w:rsidRDefault="00435E79" w:rsidP="00435E79">
      <w:pPr>
        <w:numPr>
          <w:ilvl w:val="0"/>
          <w:numId w:val="5"/>
        </w:numPr>
        <w:tabs>
          <w:tab w:val="left" w:pos="730"/>
        </w:tabs>
        <w:spacing w:line="360" w:lineRule="auto"/>
        <w:ind w:firstLine="3"/>
        <w:rPr>
          <w:rFonts w:cs="Arial"/>
          <w:i/>
        </w:rPr>
      </w:pPr>
      <w:r w:rsidRPr="009711C6">
        <w:rPr>
          <w:rFonts w:cs="Arial"/>
          <w:i/>
        </w:rPr>
        <w:t>Obtener las mejores condiciones de contratación de acuerdo con las necesidades de la Administración.</w:t>
      </w:r>
    </w:p>
    <w:p w:rsidR="00435E79" w:rsidRPr="009711C6" w:rsidRDefault="00435E79" w:rsidP="00435E79">
      <w:pPr>
        <w:spacing w:line="360" w:lineRule="auto"/>
        <w:rPr>
          <w:rFonts w:cs="Arial"/>
          <w:i/>
        </w:rPr>
      </w:pPr>
    </w:p>
    <w:p w:rsidR="00435E79" w:rsidRPr="009711C6" w:rsidRDefault="00435E79" w:rsidP="00435E79">
      <w:pPr>
        <w:numPr>
          <w:ilvl w:val="0"/>
          <w:numId w:val="5"/>
        </w:numPr>
        <w:tabs>
          <w:tab w:val="left" w:pos="739"/>
        </w:tabs>
        <w:spacing w:line="360" w:lineRule="auto"/>
        <w:ind w:firstLine="3"/>
        <w:rPr>
          <w:rFonts w:cs="Arial"/>
          <w:i/>
        </w:rPr>
      </w:pPr>
      <w:r w:rsidRPr="009711C6">
        <w:rPr>
          <w:rFonts w:cs="Arial"/>
          <w:i/>
          <w:u w:val="single"/>
        </w:rPr>
        <w:t>Juzgar los antecedentes de los oferentes y el contenido de las ofertas en base a los criterios objetivos que se determinen en los pliegos</w:t>
      </w:r>
      <w:r w:rsidRPr="009711C6">
        <w:rPr>
          <w:rFonts w:cs="Arial"/>
          <w:i/>
        </w:rPr>
        <w:t xml:space="preserve">” </w:t>
      </w:r>
      <w:r w:rsidRPr="009711C6">
        <w:rPr>
          <w:rFonts w:cs="Arial"/>
        </w:rPr>
        <w:t>(el subrayado es mío).</w:t>
      </w:r>
    </w:p>
    <w:p w:rsidR="00435E79" w:rsidRPr="009711C6" w:rsidRDefault="00435E79" w:rsidP="00435E79">
      <w:pPr>
        <w:spacing w:line="360" w:lineRule="auto"/>
        <w:rPr>
          <w:rFonts w:cs="Arial"/>
          <w:sz w:val="20"/>
        </w:rPr>
      </w:pPr>
    </w:p>
    <w:p w:rsidR="00435E79" w:rsidRPr="009711C6" w:rsidRDefault="00435E79" w:rsidP="00435E79">
      <w:pPr>
        <w:spacing w:line="360" w:lineRule="auto"/>
        <w:rPr>
          <w:rFonts w:cs="Arial"/>
        </w:rPr>
      </w:pPr>
    </w:p>
    <w:p w:rsidR="00435E79" w:rsidRPr="009711C6" w:rsidRDefault="00435E79" w:rsidP="00435E79">
      <w:pPr>
        <w:spacing w:line="360" w:lineRule="auto"/>
        <w:jc w:val="both"/>
        <w:rPr>
          <w:rFonts w:eastAsia="Calibri" w:cs="Arial"/>
        </w:rPr>
      </w:pPr>
      <w:r w:rsidRPr="009711C6">
        <w:rPr>
          <w:rFonts w:cs="Arial"/>
        </w:rPr>
        <w:t xml:space="preserve">Los Artículos 48 y 65 del TOCAF provienen de la misma Ley 18.834 (Artículos 29 y 39 respectivamente), pero no se puede obviar que éste último refiere a la actuación de la Comisión Asesora de Adjudicaciones (fase esencial), mientras que el Artículo 48 </w:t>
      </w:r>
      <w:r w:rsidRPr="009711C6">
        <w:rPr>
          <w:rFonts w:cs="Arial"/>
          <w:u w:val="single"/>
        </w:rPr>
        <w:t>hace inequívocamente a la confección del pliego</w:t>
      </w:r>
      <w:r w:rsidRPr="009711C6">
        <w:rPr>
          <w:rFonts w:cs="Arial"/>
        </w:rPr>
        <w:t xml:space="preserve"> (etapa preparatoria). </w:t>
      </w:r>
    </w:p>
    <w:p w:rsidR="00435E79" w:rsidRPr="009711C6" w:rsidRDefault="00435E79" w:rsidP="00435E79">
      <w:pPr>
        <w:spacing w:line="360" w:lineRule="auto"/>
        <w:jc w:val="both"/>
        <w:rPr>
          <w:rFonts w:cs="Arial"/>
        </w:rPr>
      </w:pPr>
    </w:p>
    <w:p w:rsidR="00435E79" w:rsidRDefault="00435E79" w:rsidP="00435E79">
      <w:pPr>
        <w:spacing w:line="360" w:lineRule="auto"/>
        <w:jc w:val="both"/>
      </w:pPr>
      <w:r>
        <w:t xml:space="preserve">En mi opinión, el Artículo 65 precitado exige que dicha Comisión evalúe las ofertas en base a la información dada en el pliego sobre los factores allí determinados y sobre las ponderaciones definidas para aquellos. Esto es, más allá de la sana crítica con la que debe observarse cada uno de los factores, no cabe </w:t>
      </w:r>
      <w:r>
        <w:rPr>
          <w:u w:val="single"/>
        </w:rPr>
        <w:t>posibilidad alguna de evaluar</w:t>
      </w:r>
      <w:r>
        <w:rPr>
          <w:color w:val="FF0000"/>
          <w:u w:val="single"/>
        </w:rPr>
        <w:t xml:space="preserve"> </w:t>
      </w:r>
      <w:r>
        <w:rPr>
          <w:u w:val="single"/>
        </w:rPr>
        <w:t>cambiando los factores, ni alterando sus respectivos pesos relativos,</w:t>
      </w:r>
      <w:r>
        <w:t xml:space="preserve"> </w:t>
      </w:r>
      <w:r>
        <w:rPr>
          <w:b/>
        </w:rPr>
        <w:t>como criterio objetivo de actuación</w:t>
      </w:r>
      <w:r>
        <w:t>. En suma, entiendo que se procuró aportar previsibilidad normada al obrar de la Comisión en consistencia con los criterios de evaluación especificados en las bases.</w:t>
      </w:r>
    </w:p>
    <w:p w:rsidR="00435E79" w:rsidRDefault="00435E79" w:rsidP="00435E79">
      <w:pPr>
        <w:spacing w:line="360" w:lineRule="auto"/>
        <w:rPr>
          <w:rFonts w:ascii="Times New Roman" w:hAnsi="Times New Roman"/>
          <w:sz w:val="20"/>
        </w:rPr>
      </w:pPr>
    </w:p>
    <w:p w:rsidR="00435E79" w:rsidRDefault="00435E79" w:rsidP="00435E79">
      <w:pPr>
        <w:spacing w:line="360" w:lineRule="auto"/>
        <w:rPr>
          <w:rFonts w:ascii="Times New Roman" w:hAnsi="Times New Roman"/>
        </w:rPr>
      </w:pPr>
    </w:p>
    <w:p w:rsidR="00435E79" w:rsidRDefault="00435E79" w:rsidP="00435E79">
      <w:pPr>
        <w:spacing w:line="360" w:lineRule="auto"/>
        <w:jc w:val="both"/>
        <w:rPr>
          <w:rFonts w:ascii="Calibri" w:eastAsia="Calibri" w:hAnsi="Calibri"/>
        </w:rPr>
      </w:pPr>
      <w:r>
        <w:t>Dicho todo esto, bastaba con que el Legislador hubiera dispuesto, en la norma que hace indubitablemente al contenido mínimo de los pliegos (Artículo 48 del TOCAF), su voluntad expresa de que se elaboraran criterios de valoración al nivel de detalle que nos ocupa en este caso.</w:t>
      </w:r>
    </w:p>
    <w:p w:rsidR="00435E79" w:rsidRDefault="00435E79" w:rsidP="00435E79">
      <w:pPr>
        <w:spacing w:line="360" w:lineRule="auto"/>
        <w:rPr>
          <w:rFonts w:ascii="Times New Roman" w:hAnsi="Times New Roman"/>
          <w:sz w:val="20"/>
        </w:rPr>
      </w:pPr>
    </w:p>
    <w:p w:rsidR="00435E79" w:rsidRDefault="00435E79" w:rsidP="00435E79">
      <w:pPr>
        <w:spacing w:line="360" w:lineRule="auto"/>
        <w:jc w:val="both"/>
        <w:rPr>
          <w:rFonts w:ascii="Calibri" w:eastAsia="Calibri" w:hAnsi="Calibri"/>
        </w:rPr>
      </w:pPr>
      <w:r>
        <w:t xml:space="preserve">Al respecto, resulta ahora indispensable señalar que el régimen de contratación pública, y en particular todo lo que refiere a la inclusión de mayor información en los pliegos en lo respecta a evaluación de ofertas, </w:t>
      </w:r>
      <w:r>
        <w:rPr>
          <w:u w:val="single"/>
        </w:rPr>
        <w:t>ha tenido una evolución</w:t>
      </w:r>
      <w:r>
        <w:t xml:space="preserve"> </w:t>
      </w:r>
      <w:r>
        <w:rPr>
          <w:u w:val="single"/>
        </w:rPr>
        <w:t>normativa lógica y gradual</w:t>
      </w:r>
      <w:r>
        <w:t xml:space="preserve">. El Decreto No. 104 del año 1968 y posteriormente la Ley 15.903 del año 1987, establecían </w:t>
      </w:r>
      <w:r>
        <w:rPr>
          <w:u w:val="single"/>
        </w:rPr>
        <w:t>solamente que la adjudicación se hará a la oferta que se considere más conveniente, sin que sea preciso hacer la adjudicación a favor de la de menor precio, salvo en identidad de circunstancias y calidad</w:t>
      </w:r>
      <w:r>
        <w:t xml:space="preserve">. La ley 16.170 del año 1990, configuró reformas significativas en lo que refiere a compras estatales en general. Desde allí, se incluyó la obligación que el pliego contenga </w:t>
      </w:r>
      <w:r>
        <w:rPr>
          <w:u w:val="single"/>
        </w:rPr>
        <w:t>los</w:t>
      </w:r>
      <w:r>
        <w:t xml:space="preserve"> </w:t>
      </w:r>
      <w:r>
        <w:rPr>
          <w:u w:val="single"/>
        </w:rPr>
        <w:t>principales factores que se tendrán en cuenta además del precio para evaluar las ofertas</w:t>
      </w:r>
      <w:r>
        <w:t>.</w:t>
      </w:r>
      <w:bookmarkStart w:id="1" w:name="page3"/>
      <w:bookmarkEnd w:id="1"/>
    </w:p>
    <w:p w:rsidR="00435E79" w:rsidRDefault="00435E79" w:rsidP="00435E79">
      <w:pPr>
        <w:spacing w:line="360" w:lineRule="auto"/>
        <w:jc w:val="both"/>
      </w:pPr>
      <w:r>
        <w:t xml:space="preserve">Finalmente, en el año 2011 a través de la Ley 18.834, se dispuso la actual redacción del Artículo 48 del TOCAF, avanzando en la exigencia -en mi opinión- de que los pliegos al menos determinen, </w:t>
      </w:r>
      <w:r>
        <w:rPr>
          <w:u w:val="single"/>
        </w:rPr>
        <w:t>no sólo los principales factores, sino también la</w:t>
      </w:r>
      <w:r>
        <w:t xml:space="preserve"> </w:t>
      </w:r>
      <w:r>
        <w:rPr>
          <w:u w:val="single"/>
        </w:rPr>
        <w:t>ponderación de cada uno de ellos</w:t>
      </w:r>
      <w:r>
        <w:t>.</w:t>
      </w:r>
    </w:p>
    <w:p w:rsidR="00435E79" w:rsidRDefault="00435E79" w:rsidP="00435E79">
      <w:pPr>
        <w:spacing w:line="360" w:lineRule="auto"/>
        <w:rPr>
          <w:rFonts w:ascii="Times New Roman" w:hAnsi="Times New Roman"/>
          <w:sz w:val="20"/>
        </w:rPr>
      </w:pPr>
    </w:p>
    <w:p w:rsidR="00435E79" w:rsidRDefault="00435E79" w:rsidP="00435E79">
      <w:pPr>
        <w:spacing w:line="360" w:lineRule="auto"/>
        <w:jc w:val="both"/>
        <w:rPr>
          <w:rFonts w:ascii="Calibri" w:eastAsia="Calibri" w:hAnsi="Calibri"/>
        </w:rPr>
      </w:pPr>
      <w:r>
        <w:t>Por cierto, las entidades públicas estatales pueden confeccionar sus pliegos con criterios superiores a los mínimos exigidos en la normativa vigente, pero luego, inevitablemente, deberán respetarlos a la hora de evaluar las propuestas y tomar luego la decisión de adjudicación.</w:t>
      </w:r>
    </w:p>
    <w:p w:rsidR="00435E79" w:rsidRDefault="00435E79" w:rsidP="00435E79">
      <w:pPr>
        <w:spacing w:line="360" w:lineRule="auto"/>
        <w:rPr>
          <w:rFonts w:ascii="Times New Roman" w:hAnsi="Times New Roman"/>
          <w:sz w:val="20"/>
        </w:rPr>
      </w:pPr>
    </w:p>
    <w:p w:rsidR="00435E79" w:rsidRDefault="00435E79" w:rsidP="00435E79">
      <w:pPr>
        <w:spacing w:line="360" w:lineRule="auto"/>
        <w:jc w:val="both"/>
        <w:rPr>
          <w:rFonts w:ascii="Calibri" w:eastAsia="Calibri" w:hAnsi="Calibri"/>
        </w:rPr>
      </w:pPr>
      <w:r>
        <w:t>Por último, entiendo que puede resultar oportuno avanzar normativamente en la temática en cuestión, compartiendo el fin perseguido por el Tribunal respecto a una mayor previsibilidad en los criterios de evaluación de ofertas. No obstante, a mi entender dicha finalidad se encuentra hoy más alineada al concepto de “buenas prácticas” que a lo establecido efectivamente en las normas en vigencia.”</w:t>
      </w:r>
    </w:p>
    <w:p w:rsidR="00435E79" w:rsidRDefault="00435E79" w:rsidP="00435E79">
      <w:pPr>
        <w:spacing w:line="360" w:lineRule="auto"/>
        <w:rPr>
          <w:rFonts w:ascii="Times New Roman" w:hAnsi="Times New Roman"/>
          <w:sz w:val="20"/>
        </w:rPr>
      </w:pPr>
    </w:p>
    <w:p w:rsidR="00435E79" w:rsidRDefault="00435E79" w:rsidP="00435E79">
      <w:pPr>
        <w:spacing w:line="360" w:lineRule="auto"/>
        <w:jc w:val="both"/>
        <w:rPr>
          <w:rFonts w:ascii="Calibri" w:eastAsia="Calibri" w:hAnsi="Calibri"/>
        </w:rPr>
      </w:pPr>
      <w:r>
        <w:t>Por  lo expuesto, he votado en forma discorde la Resolución de este expediente en función del considerando 1.-</w:t>
      </w:r>
    </w:p>
    <w:p w:rsidR="00944875" w:rsidRPr="00435E79" w:rsidRDefault="00944875" w:rsidP="00435E79">
      <w:pPr>
        <w:spacing w:line="360" w:lineRule="auto"/>
        <w:jc w:val="both"/>
        <w:rPr>
          <w:rFonts w:cs="Arial"/>
          <w:b/>
        </w:rPr>
      </w:pPr>
    </w:p>
    <w:p w:rsidR="00944875" w:rsidRDefault="00944875" w:rsidP="00435E79">
      <w:pPr>
        <w:spacing w:line="360" w:lineRule="auto"/>
        <w:jc w:val="both"/>
        <w:rPr>
          <w:rFonts w:cs="Arial"/>
          <w:lang w:val="es-UY"/>
        </w:rPr>
      </w:pPr>
    </w:p>
    <w:p w:rsidR="00944875" w:rsidRDefault="00944875" w:rsidP="00435E79">
      <w:pPr>
        <w:spacing w:line="360" w:lineRule="auto"/>
        <w:jc w:val="both"/>
        <w:rPr>
          <w:rFonts w:cs="Arial"/>
          <w:lang w:val="es-UY"/>
        </w:rPr>
      </w:pPr>
    </w:p>
    <w:p w:rsidR="00944875" w:rsidRDefault="00944875" w:rsidP="00D71A3A">
      <w:pPr>
        <w:spacing w:line="360" w:lineRule="auto"/>
        <w:jc w:val="both"/>
        <w:rPr>
          <w:rFonts w:cs="Arial"/>
          <w:lang w:val="es-UY"/>
        </w:rPr>
      </w:pPr>
      <w:r w:rsidRPr="00E9382D">
        <w:rPr>
          <w:rFonts w:cs="Arial"/>
          <w:b/>
          <w:lang w:val="es-UY"/>
        </w:rPr>
        <w:t>CON</w:t>
      </w:r>
      <w:r>
        <w:rPr>
          <w:rFonts w:cs="Arial"/>
          <w:b/>
          <w:lang w:val="es-UY"/>
        </w:rPr>
        <w:t>S</w:t>
      </w:r>
      <w:r w:rsidRPr="00E9382D">
        <w:rPr>
          <w:rFonts w:cs="Arial"/>
          <w:b/>
          <w:lang w:val="es-UY"/>
        </w:rPr>
        <w:t xml:space="preserve">TANCIA DE FUNDAMENTO DE VOTO </w:t>
      </w:r>
      <w:r>
        <w:rPr>
          <w:rFonts w:cs="Arial"/>
          <w:b/>
          <w:lang w:val="es-UY"/>
        </w:rPr>
        <w:t>DISCORDE</w:t>
      </w:r>
      <w:r w:rsidRPr="00E9382D">
        <w:rPr>
          <w:rFonts w:cs="Arial"/>
          <w:b/>
          <w:lang w:val="es-UY"/>
        </w:rPr>
        <w:t xml:space="preserve"> DEL </w:t>
      </w:r>
      <w:r w:rsidRPr="00837E21">
        <w:rPr>
          <w:rFonts w:cs="Arial"/>
          <w:b/>
          <w:lang w:val="es-UY"/>
        </w:rPr>
        <w:t>MINISTRO</w:t>
      </w:r>
      <w:r>
        <w:rPr>
          <w:rFonts w:cs="Arial"/>
          <w:lang w:val="es-UY"/>
        </w:rPr>
        <w:t xml:space="preserve">               </w:t>
      </w:r>
      <w:r>
        <w:rPr>
          <w:rFonts w:cs="Arial"/>
          <w:b/>
          <w:lang w:val="es-UY"/>
        </w:rPr>
        <w:t>ALVARO ADDIEGO</w:t>
      </w:r>
      <w:r w:rsidRPr="00D71A3A">
        <w:rPr>
          <w:rFonts w:cs="Arial"/>
          <w:b/>
          <w:lang w:val="es-UY"/>
        </w:rPr>
        <w:t>:</w:t>
      </w:r>
      <w:r w:rsidRPr="005C0AC0">
        <w:rPr>
          <w:rFonts w:cs="Arial"/>
          <w:b/>
          <w:lang w:val="es-UY"/>
        </w:rPr>
        <w:t xml:space="preserve"> </w:t>
      </w:r>
      <w:r w:rsidR="003224DF" w:rsidRPr="003224DF">
        <w:rPr>
          <w:rFonts w:cs="Arial"/>
          <w:lang w:val="es-UY"/>
        </w:rPr>
        <w:t>Mantengo el voto</w:t>
      </w:r>
      <w:r w:rsidR="003224DF">
        <w:rPr>
          <w:rFonts w:cs="Arial"/>
          <w:b/>
          <w:lang w:val="es-UY"/>
        </w:rPr>
        <w:t xml:space="preserve"> </w:t>
      </w:r>
      <w:r w:rsidR="003224DF" w:rsidRPr="003224DF">
        <w:rPr>
          <w:rFonts w:cs="Arial"/>
          <w:lang w:val="es-UY"/>
        </w:rPr>
        <w:t>discorde tal como fue fundamentado</w:t>
      </w:r>
      <w:r w:rsidR="003224DF">
        <w:rPr>
          <w:rFonts w:cs="Arial"/>
          <w:b/>
          <w:lang w:val="es-UY"/>
        </w:rPr>
        <w:t xml:space="preserve"> </w:t>
      </w:r>
      <w:r w:rsidR="003224DF" w:rsidRPr="003224DF">
        <w:rPr>
          <w:rFonts w:cs="Arial"/>
          <w:lang w:val="es-UY"/>
        </w:rPr>
        <w:t>por el Ministro Miguel Aumento en sesión del 29 de agosto de 2018, en Asunto 1-1-2.</w:t>
      </w:r>
    </w:p>
    <w:p w:rsidR="003224DF" w:rsidRDefault="003224DF" w:rsidP="00D71A3A">
      <w:pPr>
        <w:spacing w:line="360" w:lineRule="auto"/>
        <w:jc w:val="both"/>
        <w:rPr>
          <w:rFonts w:cs="Arial"/>
          <w:lang w:val="es-UY"/>
        </w:rPr>
      </w:pPr>
    </w:p>
    <w:p w:rsidR="003224DF" w:rsidRPr="003224DF" w:rsidRDefault="003224DF" w:rsidP="00D71A3A">
      <w:pPr>
        <w:spacing w:line="360" w:lineRule="auto"/>
        <w:jc w:val="both"/>
        <w:rPr>
          <w:rFonts w:cs="Arial"/>
          <w:lang w:val="es-UY"/>
        </w:rPr>
      </w:pPr>
      <w:r>
        <w:rPr>
          <w:rFonts w:cs="Arial"/>
          <w:lang w:val="es-UY"/>
        </w:rPr>
        <w:t>Por lo expresado anteriormente, he votado en forma discorde la Resolución de este expediente.</w:t>
      </w:r>
    </w:p>
    <w:p w:rsidR="00944875" w:rsidRDefault="00944875" w:rsidP="00D71A3A">
      <w:pPr>
        <w:spacing w:line="360" w:lineRule="auto"/>
        <w:jc w:val="both"/>
        <w:rPr>
          <w:rFonts w:cs="Arial"/>
          <w:lang w:val="es-UY"/>
        </w:rPr>
      </w:pPr>
    </w:p>
    <w:p w:rsidR="00020212" w:rsidRDefault="003224DF" w:rsidP="00443743">
      <w:pPr>
        <w:spacing w:line="360" w:lineRule="auto"/>
        <w:jc w:val="both"/>
      </w:pPr>
      <w:proofErr w:type="spellStart"/>
      <w:r>
        <w:rPr>
          <w:rFonts w:cs="Arial"/>
          <w:bCs/>
        </w:rPr>
        <w:t>a</w:t>
      </w:r>
      <w:r w:rsidR="007D21B1">
        <w:rPr>
          <w:rFonts w:cs="Arial"/>
          <w:bCs/>
        </w:rPr>
        <w:t>g</w:t>
      </w:r>
      <w:bookmarkStart w:id="2" w:name="_GoBack"/>
      <w:bookmarkEnd w:id="2"/>
      <w:proofErr w:type="spellEnd"/>
    </w:p>
    <w:p w:rsidR="00CE0C5C" w:rsidRDefault="00CE0C5C" w:rsidP="00CE0C5C"/>
    <w:sectPr w:rsidR="00CE0C5C" w:rsidSect="00023873">
      <w:footerReference w:type="even" r:id="rId9"/>
      <w:footerReference w:type="default" r:id="rId10"/>
      <w:pgSz w:w="11906" w:h="16838" w:code="9"/>
      <w:pgMar w:top="3289"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E2D" w:rsidRDefault="00150E2D">
      <w:r>
        <w:separator/>
      </w:r>
    </w:p>
  </w:endnote>
  <w:endnote w:type="continuationSeparator" w:id="0">
    <w:p w:rsidR="00150E2D" w:rsidRDefault="0015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2D" w:rsidRDefault="00150E2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50E2D" w:rsidRDefault="00150E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2D" w:rsidRDefault="00150E2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3743">
      <w:rPr>
        <w:rStyle w:val="Nmerodepgina"/>
        <w:noProof/>
      </w:rPr>
      <w:t>6</w:t>
    </w:r>
    <w:r>
      <w:rPr>
        <w:rStyle w:val="Nmerodepgina"/>
      </w:rPr>
      <w:fldChar w:fldCharType="end"/>
    </w:r>
  </w:p>
  <w:p w:rsidR="00150E2D" w:rsidRDefault="00150E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E2D" w:rsidRDefault="00150E2D">
      <w:r>
        <w:separator/>
      </w:r>
    </w:p>
  </w:footnote>
  <w:footnote w:type="continuationSeparator" w:id="0">
    <w:p w:rsidR="00150E2D" w:rsidRDefault="00150E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433E42"/>
    <w:multiLevelType w:val="multilevel"/>
    <w:tmpl w:val="641E6144"/>
    <w:lvl w:ilvl="0">
      <w:start w:val="1"/>
      <w:numFmt w:val="decimal"/>
      <w:lvlText w:val="%1."/>
      <w:lvlJc w:val="left"/>
      <w:pPr>
        <w:ind w:left="525" w:hanging="525"/>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2">
    <w:nsid w:val="25B53FE8"/>
    <w:multiLevelType w:val="hybridMultilevel"/>
    <w:tmpl w:val="AAE6BA96"/>
    <w:lvl w:ilvl="0" w:tplc="FF04E15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38351396"/>
    <w:multiLevelType w:val="hybridMultilevel"/>
    <w:tmpl w:val="0C42ABE6"/>
    <w:lvl w:ilvl="0" w:tplc="C09CB06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37D6236"/>
    <w:multiLevelType w:val="hybridMultilevel"/>
    <w:tmpl w:val="18746258"/>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24"/>
    <w:rsid w:val="00017DD0"/>
    <w:rsid w:val="00020212"/>
    <w:rsid w:val="000202E6"/>
    <w:rsid w:val="00023873"/>
    <w:rsid w:val="00037180"/>
    <w:rsid w:val="00054260"/>
    <w:rsid w:val="0006186B"/>
    <w:rsid w:val="000B7C17"/>
    <w:rsid w:val="000C3C07"/>
    <w:rsid w:val="000D6ADE"/>
    <w:rsid w:val="0010294B"/>
    <w:rsid w:val="00117934"/>
    <w:rsid w:val="001361A6"/>
    <w:rsid w:val="00142088"/>
    <w:rsid w:val="00150E2D"/>
    <w:rsid w:val="00161D5E"/>
    <w:rsid w:val="00164ECF"/>
    <w:rsid w:val="00184672"/>
    <w:rsid w:val="001A3674"/>
    <w:rsid w:val="001F2B67"/>
    <w:rsid w:val="0023616C"/>
    <w:rsid w:val="00253E2B"/>
    <w:rsid w:val="00294C41"/>
    <w:rsid w:val="002B01F3"/>
    <w:rsid w:val="002F2AC2"/>
    <w:rsid w:val="003224DF"/>
    <w:rsid w:val="00324784"/>
    <w:rsid w:val="003372FB"/>
    <w:rsid w:val="00367D67"/>
    <w:rsid w:val="0039125A"/>
    <w:rsid w:val="003F1FB7"/>
    <w:rsid w:val="003F5206"/>
    <w:rsid w:val="00406BFC"/>
    <w:rsid w:val="00435E79"/>
    <w:rsid w:val="00443630"/>
    <w:rsid w:val="00443743"/>
    <w:rsid w:val="004501C5"/>
    <w:rsid w:val="00462478"/>
    <w:rsid w:val="00470884"/>
    <w:rsid w:val="004C37C0"/>
    <w:rsid w:val="004C4E22"/>
    <w:rsid w:val="004D01CD"/>
    <w:rsid w:val="00511300"/>
    <w:rsid w:val="00511DC9"/>
    <w:rsid w:val="00516224"/>
    <w:rsid w:val="0052566D"/>
    <w:rsid w:val="00531109"/>
    <w:rsid w:val="00542A28"/>
    <w:rsid w:val="00577656"/>
    <w:rsid w:val="00585CFE"/>
    <w:rsid w:val="005B5C7E"/>
    <w:rsid w:val="005E277A"/>
    <w:rsid w:val="00622BC6"/>
    <w:rsid w:val="00624606"/>
    <w:rsid w:val="00696162"/>
    <w:rsid w:val="006A4D8B"/>
    <w:rsid w:val="006E72A0"/>
    <w:rsid w:val="0070351A"/>
    <w:rsid w:val="00704E80"/>
    <w:rsid w:val="00745442"/>
    <w:rsid w:val="00746DB2"/>
    <w:rsid w:val="00757AC1"/>
    <w:rsid w:val="007C6705"/>
    <w:rsid w:val="007D21B1"/>
    <w:rsid w:val="007D715D"/>
    <w:rsid w:val="00825F39"/>
    <w:rsid w:val="00841AD4"/>
    <w:rsid w:val="0089371C"/>
    <w:rsid w:val="008C1EE3"/>
    <w:rsid w:val="008C7743"/>
    <w:rsid w:val="00917BC0"/>
    <w:rsid w:val="00930627"/>
    <w:rsid w:val="00944875"/>
    <w:rsid w:val="009711C6"/>
    <w:rsid w:val="009727FD"/>
    <w:rsid w:val="009744C7"/>
    <w:rsid w:val="009A3FD6"/>
    <w:rsid w:val="009E2584"/>
    <w:rsid w:val="009E2CD4"/>
    <w:rsid w:val="00A11035"/>
    <w:rsid w:val="00A3117B"/>
    <w:rsid w:val="00A46272"/>
    <w:rsid w:val="00A823C5"/>
    <w:rsid w:val="00AC10A1"/>
    <w:rsid w:val="00AC7ED4"/>
    <w:rsid w:val="00AE2C7C"/>
    <w:rsid w:val="00B012FB"/>
    <w:rsid w:val="00B0699D"/>
    <w:rsid w:val="00B242F6"/>
    <w:rsid w:val="00B65F09"/>
    <w:rsid w:val="00BB0A97"/>
    <w:rsid w:val="00C00789"/>
    <w:rsid w:val="00C444A4"/>
    <w:rsid w:val="00C52406"/>
    <w:rsid w:val="00C61F74"/>
    <w:rsid w:val="00C70147"/>
    <w:rsid w:val="00C72122"/>
    <w:rsid w:val="00C9007C"/>
    <w:rsid w:val="00CD32EB"/>
    <w:rsid w:val="00CE0C5C"/>
    <w:rsid w:val="00D105E0"/>
    <w:rsid w:val="00D452B3"/>
    <w:rsid w:val="00D91532"/>
    <w:rsid w:val="00DC6738"/>
    <w:rsid w:val="00DC69BD"/>
    <w:rsid w:val="00DD7954"/>
    <w:rsid w:val="00DE6B2A"/>
    <w:rsid w:val="00E02061"/>
    <w:rsid w:val="00E62FDA"/>
    <w:rsid w:val="00E9267A"/>
    <w:rsid w:val="00F15B5E"/>
    <w:rsid w:val="00F52ACA"/>
    <w:rsid w:val="00F74BF9"/>
    <w:rsid w:val="00FB3615"/>
    <w:rsid w:val="00FC0F87"/>
    <w:rsid w:val="00FE4D10"/>
    <w:rsid w:val="00FF28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F6"/>
    <w:pPr>
      <w:spacing w:after="0" w:line="240" w:lineRule="auto"/>
    </w:pPr>
    <w:rPr>
      <w:rFonts w:ascii="Arial" w:eastAsia="Times New Roman" w:hAnsi="Arial" w:cs="Times New Roman"/>
      <w:sz w:val="24"/>
      <w:szCs w:val="24"/>
      <w:lang w:eastAsia="es-ES"/>
    </w:rPr>
  </w:style>
  <w:style w:type="paragraph" w:styleId="Ttulo2">
    <w:name w:val="heading 2"/>
    <w:basedOn w:val="Normal"/>
    <w:next w:val="Normal"/>
    <w:link w:val="Ttulo2Car"/>
    <w:qFormat/>
    <w:rsid w:val="00B242F6"/>
    <w:pPr>
      <w:keepNext/>
      <w:spacing w:line="360" w:lineRule="auto"/>
      <w:jc w:val="center"/>
      <w:outlineLvl w:val="1"/>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42F6"/>
    <w:rPr>
      <w:rFonts w:ascii="Arial" w:eastAsia="Times New Roman" w:hAnsi="Arial" w:cs="Arial"/>
      <w:b/>
      <w:bCs/>
      <w:sz w:val="24"/>
      <w:szCs w:val="24"/>
      <w:lang w:eastAsia="es-ES"/>
    </w:rPr>
  </w:style>
  <w:style w:type="paragraph" w:styleId="Textoindependiente">
    <w:name w:val="Body Text"/>
    <w:basedOn w:val="Normal"/>
    <w:link w:val="TextoindependienteCar"/>
    <w:rsid w:val="00B242F6"/>
    <w:pPr>
      <w:spacing w:line="360" w:lineRule="auto"/>
      <w:jc w:val="both"/>
    </w:pPr>
  </w:style>
  <w:style w:type="character" w:customStyle="1" w:styleId="TextoindependienteCar">
    <w:name w:val="Texto independiente Car"/>
    <w:basedOn w:val="Fuentedeprrafopredeter"/>
    <w:link w:val="Textoindependiente"/>
    <w:rsid w:val="00B242F6"/>
    <w:rPr>
      <w:rFonts w:ascii="Arial" w:eastAsia="Times New Roman" w:hAnsi="Arial" w:cs="Times New Roman"/>
      <w:sz w:val="24"/>
      <w:szCs w:val="24"/>
      <w:lang w:eastAsia="es-ES"/>
    </w:rPr>
  </w:style>
  <w:style w:type="paragraph" w:styleId="Piedepgina">
    <w:name w:val="footer"/>
    <w:basedOn w:val="Normal"/>
    <w:link w:val="PiedepginaCar"/>
    <w:rsid w:val="00B242F6"/>
    <w:pPr>
      <w:tabs>
        <w:tab w:val="center" w:pos="4252"/>
        <w:tab w:val="right" w:pos="8504"/>
      </w:tabs>
    </w:pPr>
  </w:style>
  <w:style w:type="character" w:customStyle="1" w:styleId="PiedepginaCar">
    <w:name w:val="Pie de página Car"/>
    <w:basedOn w:val="Fuentedeprrafopredeter"/>
    <w:link w:val="Piedepgina"/>
    <w:rsid w:val="00B242F6"/>
    <w:rPr>
      <w:rFonts w:ascii="Arial" w:eastAsia="Times New Roman" w:hAnsi="Arial" w:cs="Times New Roman"/>
      <w:sz w:val="24"/>
      <w:szCs w:val="24"/>
      <w:lang w:eastAsia="es-ES"/>
    </w:rPr>
  </w:style>
  <w:style w:type="character" w:styleId="Nmerodepgina">
    <w:name w:val="page number"/>
    <w:basedOn w:val="Fuentedeprrafopredeter"/>
    <w:rsid w:val="00B242F6"/>
  </w:style>
  <w:style w:type="paragraph" w:customStyle="1" w:styleId="Florete-FtoPrrafo">
    <w:name w:val="Florete-Fto.Párrafo."/>
    <w:basedOn w:val="Normal"/>
    <w:rsid w:val="00B242F6"/>
    <w:pPr>
      <w:spacing w:line="520" w:lineRule="exact"/>
      <w:jc w:val="both"/>
    </w:pPr>
  </w:style>
  <w:style w:type="paragraph" w:styleId="Ttulo">
    <w:name w:val="Title"/>
    <w:basedOn w:val="Normal"/>
    <w:link w:val="TtuloCar"/>
    <w:qFormat/>
    <w:rsid w:val="00B242F6"/>
    <w:pPr>
      <w:spacing w:line="360" w:lineRule="auto"/>
      <w:jc w:val="center"/>
    </w:pPr>
    <w:rPr>
      <w:b/>
      <w:u w:val="single"/>
      <w:lang w:val="es-UY"/>
    </w:rPr>
  </w:style>
  <w:style w:type="character" w:customStyle="1" w:styleId="TtuloCar">
    <w:name w:val="Título Car"/>
    <w:basedOn w:val="Fuentedeprrafopredeter"/>
    <w:link w:val="Ttulo"/>
    <w:rsid w:val="00B242F6"/>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C524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F6"/>
    <w:pPr>
      <w:spacing w:after="0" w:line="240" w:lineRule="auto"/>
    </w:pPr>
    <w:rPr>
      <w:rFonts w:ascii="Arial" w:eastAsia="Times New Roman" w:hAnsi="Arial" w:cs="Times New Roman"/>
      <w:sz w:val="24"/>
      <w:szCs w:val="24"/>
      <w:lang w:eastAsia="es-ES"/>
    </w:rPr>
  </w:style>
  <w:style w:type="paragraph" w:styleId="Ttulo2">
    <w:name w:val="heading 2"/>
    <w:basedOn w:val="Normal"/>
    <w:next w:val="Normal"/>
    <w:link w:val="Ttulo2Car"/>
    <w:qFormat/>
    <w:rsid w:val="00B242F6"/>
    <w:pPr>
      <w:keepNext/>
      <w:spacing w:line="360" w:lineRule="auto"/>
      <w:jc w:val="center"/>
      <w:outlineLvl w:val="1"/>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42F6"/>
    <w:rPr>
      <w:rFonts w:ascii="Arial" w:eastAsia="Times New Roman" w:hAnsi="Arial" w:cs="Arial"/>
      <w:b/>
      <w:bCs/>
      <w:sz w:val="24"/>
      <w:szCs w:val="24"/>
      <w:lang w:eastAsia="es-ES"/>
    </w:rPr>
  </w:style>
  <w:style w:type="paragraph" w:styleId="Textoindependiente">
    <w:name w:val="Body Text"/>
    <w:basedOn w:val="Normal"/>
    <w:link w:val="TextoindependienteCar"/>
    <w:rsid w:val="00B242F6"/>
    <w:pPr>
      <w:spacing w:line="360" w:lineRule="auto"/>
      <w:jc w:val="both"/>
    </w:pPr>
  </w:style>
  <w:style w:type="character" w:customStyle="1" w:styleId="TextoindependienteCar">
    <w:name w:val="Texto independiente Car"/>
    <w:basedOn w:val="Fuentedeprrafopredeter"/>
    <w:link w:val="Textoindependiente"/>
    <w:rsid w:val="00B242F6"/>
    <w:rPr>
      <w:rFonts w:ascii="Arial" w:eastAsia="Times New Roman" w:hAnsi="Arial" w:cs="Times New Roman"/>
      <w:sz w:val="24"/>
      <w:szCs w:val="24"/>
      <w:lang w:eastAsia="es-ES"/>
    </w:rPr>
  </w:style>
  <w:style w:type="paragraph" w:styleId="Piedepgina">
    <w:name w:val="footer"/>
    <w:basedOn w:val="Normal"/>
    <w:link w:val="PiedepginaCar"/>
    <w:rsid w:val="00B242F6"/>
    <w:pPr>
      <w:tabs>
        <w:tab w:val="center" w:pos="4252"/>
        <w:tab w:val="right" w:pos="8504"/>
      </w:tabs>
    </w:pPr>
  </w:style>
  <w:style w:type="character" w:customStyle="1" w:styleId="PiedepginaCar">
    <w:name w:val="Pie de página Car"/>
    <w:basedOn w:val="Fuentedeprrafopredeter"/>
    <w:link w:val="Piedepgina"/>
    <w:rsid w:val="00B242F6"/>
    <w:rPr>
      <w:rFonts w:ascii="Arial" w:eastAsia="Times New Roman" w:hAnsi="Arial" w:cs="Times New Roman"/>
      <w:sz w:val="24"/>
      <w:szCs w:val="24"/>
      <w:lang w:eastAsia="es-ES"/>
    </w:rPr>
  </w:style>
  <w:style w:type="character" w:styleId="Nmerodepgina">
    <w:name w:val="page number"/>
    <w:basedOn w:val="Fuentedeprrafopredeter"/>
    <w:rsid w:val="00B242F6"/>
  </w:style>
  <w:style w:type="paragraph" w:customStyle="1" w:styleId="Florete-FtoPrrafo">
    <w:name w:val="Florete-Fto.Párrafo."/>
    <w:basedOn w:val="Normal"/>
    <w:rsid w:val="00B242F6"/>
    <w:pPr>
      <w:spacing w:line="520" w:lineRule="exact"/>
      <w:jc w:val="both"/>
    </w:pPr>
  </w:style>
  <w:style w:type="paragraph" w:styleId="Ttulo">
    <w:name w:val="Title"/>
    <w:basedOn w:val="Normal"/>
    <w:link w:val="TtuloCar"/>
    <w:qFormat/>
    <w:rsid w:val="00B242F6"/>
    <w:pPr>
      <w:spacing w:line="360" w:lineRule="auto"/>
      <w:jc w:val="center"/>
    </w:pPr>
    <w:rPr>
      <w:b/>
      <w:u w:val="single"/>
      <w:lang w:val="es-UY"/>
    </w:rPr>
  </w:style>
  <w:style w:type="character" w:customStyle="1" w:styleId="TtuloCar">
    <w:name w:val="Título Car"/>
    <w:basedOn w:val="Fuentedeprrafopredeter"/>
    <w:link w:val="Ttulo"/>
    <w:rsid w:val="00B242F6"/>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C52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7246">
      <w:bodyDiv w:val="1"/>
      <w:marLeft w:val="0"/>
      <w:marRight w:val="0"/>
      <w:marTop w:val="0"/>
      <w:marBottom w:val="0"/>
      <w:divBdr>
        <w:top w:val="none" w:sz="0" w:space="0" w:color="auto"/>
        <w:left w:val="none" w:sz="0" w:space="0" w:color="auto"/>
        <w:bottom w:val="none" w:sz="0" w:space="0" w:color="auto"/>
        <w:right w:val="none" w:sz="0" w:space="0" w:color="auto"/>
      </w:divBdr>
    </w:div>
    <w:div w:id="689373718">
      <w:bodyDiv w:val="1"/>
      <w:marLeft w:val="0"/>
      <w:marRight w:val="0"/>
      <w:marTop w:val="0"/>
      <w:marBottom w:val="0"/>
      <w:divBdr>
        <w:top w:val="none" w:sz="0" w:space="0" w:color="auto"/>
        <w:left w:val="none" w:sz="0" w:space="0" w:color="auto"/>
        <w:bottom w:val="none" w:sz="0" w:space="0" w:color="auto"/>
        <w:right w:val="none" w:sz="0" w:space="0" w:color="auto"/>
      </w:divBdr>
    </w:div>
    <w:div w:id="7348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CE91B-D363-48F8-BE05-8C58258CC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1386</Words>
  <Characters>7629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13</cp:revision>
  <dcterms:created xsi:type="dcterms:W3CDTF">2018-12-03T19:19:00Z</dcterms:created>
  <dcterms:modified xsi:type="dcterms:W3CDTF">2018-12-04T16:22:00Z</dcterms:modified>
</cp:coreProperties>
</file>