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4E6" w:rsidRPr="00850799" w:rsidRDefault="00FD14E6" w:rsidP="00FD14E6">
      <w:pPr>
        <w:pStyle w:val="Ttulo2"/>
        <w:spacing w:line="360" w:lineRule="auto"/>
        <w:jc w:val="right"/>
        <w:rPr>
          <w:rFonts w:cs="Arial"/>
          <w:szCs w:val="20"/>
        </w:rPr>
      </w:pPr>
      <w:r>
        <w:rPr>
          <w:rFonts w:cs="Arial"/>
          <w:bCs w:val="0"/>
        </w:rPr>
        <w:t xml:space="preserve">                  </w:t>
      </w:r>
      <w:r w:rsidRPr="00850799">
        <w:rPr>
          <w:rFonts w:cs="Arial"/>
          <w:sz w:val="28"/>
          <w:szCs w:val="28"/>
          <w:lang w:val="es-ES_tradnl"/>
        </w:rPr>
        <w:t xml:space="preserve">RES. </w:t>
      </w:r>
      <w:r>
        <w:rPr>
          <w:rFonts w:cs="Arial"/>
          <w:sz w:val="28"/>
          <w:szCs w:val="28"/>
          <w:lang w:val="es-ES_tradnl"/>
        </w:rPr>
        <w:t>3555</w:t>
      </w:r>
      <w:r w:rsidRPr="00850799">
        <w:rPr>
          <w:rFonts w:cs="Arial"/>
          <w:sz w:val="28"/>
          <w:szCs w:val="28"/>
          <w:lang w:val="es-ES_tradnl"/>
        </w:rPr>
        <w:t>/18</w:t>
      </w:r>
    </w:p>
    <w:p w:rsidR="00FD14E6" w:rsidRPr="00A41067" w:rsidRDefault="00FD14E6" w:rsidP="00FD14E6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FD14E6" w:rsidRPr="00A41067" w:rsidRDefault="00FD14E6" w:rsidP="00FD14E6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A41067">
        <w:rPr>
          <w:rFonts w:cs="Arial"/>
          <w:b/>
          <w:lang w:val="es-ES_tradnl"/>
        </w:rPr>
        <w:t>RESOLUCION ADOPTADA POR EL</w:t>
      </w:r>
    </w:p>
    <w:p w:rsidR="00FD14E6" w:rsidRPr="00A41067" w:rsidRDefault="00FD14E6" w:rsidP="00FD14E6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FD14E6" w:rsidRPr="00A41067" w:rsidRDefault="00FD14E6" w:rsidP="00FD14E6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A41067">
        <w:rPr>
          <w:rFonts w:cs="Arial"/>
          <w:b/>
          <w:lang w:val="es-ES_tradnl"/>
        </w:rPr>
        <w:t>TRIBUNAL DE CUENTAS</w:t>
      </w:r>
    </w:p>
    <w:p w:rsidR="00FD14E6" w:rsidRPr="00A41067" w:rsidRDefault="00FD14E6" w:rsidP="00FD14E6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FD14E6" w:rsidRPr="00A41067" w:rsidRDefault="00FD14E6" w:rsidP="00FD14E6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A41067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>21</w:t>
      </w:r>
      <w:r w:rsidRPr="00A41067">
        <w:rPr>
          <w:rFonts w:cs="Arial"/>
          <w:b/>
          <w:lang w:val="es-ES_tradnl"/>
        </w:rPr>
        <w:t xml:space="preserve"> DE NOVIEMBRE DE 2018</w:t>
      </w:r>
    </w:p>
    <w:p w:rsidR="00FD14E6" w:rsidRPr="00A41067" w:rsidRDefault="00FD14E6" w:rsidP="00FD14E6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FD14E6" w:rsidRPr="00266E11" w:rsidRDefault="00FD14E6" w:rsidP="00FD14E6">
      <w:pPr>
        <w:tabs>
          <w:tab w:val="center" w:pos="4253"/>
        </w:tabs>
        <w:suppressAutoHyphens/>
        <w:jc w:val="center"/>
        <w:rPr>
          <w:rFonts w:cs="Arial"/>
          <w:b/>
          <w:lang w:val="es-UY"/>
        </w:rPr>
      </w:pPr>
      <w:r w:rsidRPr="00266E11">
        <w:rPr>
          <w:rFonts w:cs="Arial"/>
          <w:b/>
          <w:lang w:val="es-UY"/>
        </w:rPr>
        <w:t xml:space="preserve">(E. E. Nº </w:t>
      </w:r>
      <w:r w:rsidRPr="00266E11">
        <w:rPr>
          <w:b/>
        </w:rPr>
        <w:t>201</w:t>
      </w:r>
      <w:r>
        <w:rPr>
          <w:b/>
        </w:rPr>
        <w:t>5</w:t>
      </w:r>
      <w:r w:rsidRPr="00266E11">
        <w:rPr>
          <w:b/>
        </w:rPr>
        <w:t>-17-1-0006</w:t>
      </w:r>
      <w:r>
        <w:rPr>
          <w:b/>
        </w:rPr>
        <w:t>142,</w:t>
      </w:r>
      <w:r w:rsidRPr="00266E11">
        <w:rPr>
          <w:rFonts w:cs="Arial"/>
          <w:b/>
          <w:lang w:val="es-UY"/>
        </w:rPr>
        <w:t xml:space="preserve"> </w:t>
      </w:r>
      <w:proofErr w:type="spellStart"/>
      <w:r w:rsidRPr="00266E11">
        <w:rPr>
          <w:rFonts w:cs="Arial"/>
          <w:b/>
          <w:lang w:val="es-UY"/>
        </w:rPr>
        <w:t>Ent</w:t>
      </w:r>
      <w:proofErr w:type="spellEnd"/>
      <w:r w:rsidRPr="00266E11">
        <w:rPr>
          <w:rFonts w:cs="Arial"/>
          <w:b/>
          <w:lang w:val="es-UY"/>
        </w:rPr>
        <w:t xml:space="preserve">. N° </w:t>
      </w:r>
      <w:r>
        <w:rPr>
          <w:rFonts w:cs="Arial"/>
          <w:b/>
          <w:lang w:val="es-UY"/>
        </w:rPr>
        <w:t>5119</w:t>
      </w:r>
      <w:r w:rsidRPr="00266E11">
        <w:rPr>
          <w:rFonts w:cs="Arial"/>
          <w:b/>
          <w:lang w:val="es-UY"/>
        </w:rPr>
        <w:t>/18)</w:t>
      </w:r>
    </w:p>
    <w:p w:rsidR="00FD14E6" w:rsidRDefault="00FD14E6" w:rsidP="00E34CE6">
      <w:pPr>
        <w:spacing w:line="360" w:lineRule="auto"/>
        <w:jc w:val="both"/>
        <w:rPr>
          <w:rFonts w:cs="Arial"/>
          <w:b/>
        </w:rPr>
      </w:pPr>
    </w:p>
    <w:p w:rsidR="00E34CE6" w:rsidRDefault="00E34CE6" w:rsidP="00FD14E6">
      <w:pPr>
        <w:spacing w:line="360" w:lineRule="auto"/>
        <w:ind w:firstLine="851"/>
        <w:jc w:val="both"/>
        <w:rPr>
          <w:rFonts w:cs="Arial"/>
        </w:rPr>
      </w:pPr>
      <w:r>
        <w:rPr>
          <w:rFonts w:cs="Arial"/>
          <w:b/>
        </w:rPr>
        <w:t>VISTO:</w:t>
      </w:r>
      <w:r>
        <w:rPr>
          <w:rFonts w:cs="Arial"/>
        </w:rPr>
        <w:t xml:space="preserve"> </w:t>
      </w:r>
      <w:r w:rsidR="00532EA7">
        <w:rPr>
          <w:rFonts w:cs="Arial"/>
        </w:rPr>
        <w:t xml:space="preserve">la nota Nº 485-18 de fecha 26 de octubre </w:t>
      </w:r>
      <w:r>
        <w:rPr>
          <w:rFonts w:cs="Arial"/>
        </w:rPr>
        <w:t>remitida</w:t>
      </w:r>
      <w:r w:rsidR="00532EA7">
        <w:rPr>
          <w:rFonts w:cs="Arial"/>
        </w:rPr>
        <w:t xml:space="preserve"> por la Presidencia de la</w:t>
      </w:r>
      <w:r>
        <w:rPr>
          <w:rFonts w:cs="Arial"/>
        </w:rPr>
        <w:t xml:space="preserve"> Administración Nacional de Telecomunicaciones</w:t>
      </w:r>
      <w:r w:rsidR="00153465">
        <w:rPr>
          <w:rFonts w:cs="Arial"/>
        </w:rPr>
        <w:t xml:space="preserve"> (A.N.T.E.L.)</w:t>
      </w:r>
      <w:r>
        <w:rPr>
          <w:rFonts w:cs="Arial"/>
        </w:rPr>
        <w:t>, relacionadas con la capitalización de la sociedad anónima constituida en la República Argentina, denominada “</w:t>
      </w:r>
      <w:proofErr w:type="spellStart"/>
      <w:r>
        <w:rPr>
          <w:rFonts w:cs="Arial"/>
        </w:rPr>
        <w:t>Antel</w:t>
      </w:r>
      <w:proofErr w:type="spellEnd"/>
      <w:r>
        <w:rPr>
          <w:rFonts w:cs="Arial"/>
        </w:rPr>
        <w:t xml:space="preserve"> Telecomunicaciones Argentina S.A”;</w:t>
      </w:r>
    </w:p>
    <w:p w:rsidR="00E34CE6" w:rsidRDefault="00E34CE6" w:rsidP="00FD14E6">
      <w:pPr>
        <w:spacing w:line="360" w:lineRule="auto"/>
        <w:ind w:firstLine="851"/>
        <w:jc w:val="both"/>
      </w:pPr>
      <w:r>
        <w:rPr>
          <w:b/>
          <w:bCs/>
        </w:rPr>
        <w:t>RESULTANDO:</w:t>
      </w:r>
      <w:r>
        <w:t xml:space="preserve"> </w:t>
      </w:r>
      <w:r>
        <w:rPr>
          <w:b/>
          <w:bCs/>
        </w:rPr>
        <w:t>1)</w:t>
      </w:r>
      <w:r>
        <w:t xml:space="preserve"> </w:t>
      </w:r>
      <w:r>
        <w:rPr>
          <w:bCs/>
        </w:rPr>
        <w:t>que con fecha 29 de agosto de 2018</w:t>
      </w:r>
      <w:r>
        <w:t>, este Tribunal acordó observar el gasto emergente de</w:t>
      </w:r>
      <w:r w:rsidRPr="00E34CE6">
        <w:t xml:space="preserve"> </w:t>
      </w:r>
      <w:r>
        <w:t xml:space="preserve">la capitalización adicional de la sociedad </w:t>
      </w:r>
      <w:r w:rsidRPr="00764EC2">
        <w:t>“</w:t>
      </w:r>
      <w:proofErr w:type="spellStart"/>
      <w:r w:rsidRPr="00764EC2">
        <w:t>Antel</w:t>
      </w:r>
      <w:proofErr w:type="spellEnd"/>
      <w:r w:rsidRPr="00764EC2">
        <w:t xml:space="preserve"> Telecomunicaciones Argentina S.A”</w:t>
      </w:r>
      <w:r w:rsidR="00153465">
        <w:t>,</w:t>
      </w:r>
      <w:r>
        <w:t xml:space="preserve"> en virtud de que el grupo de imputación del gasto no c</w:t>
      </w:r>
      <w:r w:rsidR="00153465">
        <w:t>ontaba</w:t>
      </w:r>
      <w:r>
        <w:t xml:space="preserve"> con disponibilidad para atender </w:t>
      </w:r>
      <w:r w:rsidR="00532EA7">
        <w:t>el mismo</w:t>
      </w:r>
      <w:r>
        <w:t>, vulnerándose de ese modo lo dispuesto por el artículo 15 del T.O.C.A.F.;</w:t>
      </w:r>
    </w:p>
    <w:p w:rsidR="00153465" w:rsidRDefault="00153465" w:rsidP="00FD14E6">
      <w:pPr>
        <w:spacing w:line="360" w:lineRule="auto"/>
        <w:ind w:firstLine="2694"/>
        <w:jc w:val="both"/>
      </w:pPr>
      <w:r>
        <w:rPr>
          <w:b/>
        </w:rPr>
        <w:t xml:space="preserve">2) </w:t>
      </w:r>
      <w:r>
        <w:t>que en esta oportunidad, se remite Resolución del Directorio de A</w:t>
      </w:r>
      <w:r w:rsidR="00B42DE5">
        <w:t>.</w:t>
      </w:r>
      <w:r>
        <w:t>N</w:t>
      </w:r>
      <w:r w:rsidR="00B42DE5">
        <w:t>.</w:t>
      </w:r>
      <w:r>
        <w:t>T</w:t>
      </w:r>
      <w:r w:rsidR="00B42DE5">
        <w:t>.</w:t>
      </w:r>
      <w:r>
        <w:t>E</w:t>
      </w:r>
      <w:r w:rsidR="00B42DE5">
        <w:t>.</w:t>
      </w:r>
      <w:r>
        <w:t>L</w:t>
      </w:r>
      <w:r w:rsidR="00B42DE5">
        <w:t>.</w:t>
      </w:r>
      <w:r>
        <w:t xml:space="preserve">  Nº 1213/18 dictada el 25 de octubre de 2018, por la cual se resuelve reiterar el gasto  </w:t>
      </w:r>
      <w:r w:rsidR="00B42DE5">
        <w:t>observado</w:t>
      </w:r>
      <w:r w:rsidR="00532EA7">
        <w:t>, el</w:t>
      </w:r>
      <w:r>
        <w:t xml:space="preserve"> que asciende a U$S 3.500.000,  en virtud de </w:t>
      </w:r>
      <w:r w:rsidR="00B42DE5">
        <w:t>su</w:t>
      </w:r>
      <w:r>
        <w:t xml:space="preserve"> importancia y urgencia para el desempeño de los cometidos de la empresa;</w:t>
      </w:r>
    </w:p>
    <w:p w:rsidR="00153465" w:rsidRDefault="00153465" w:rsidP="00FD14E6">
      <w:pPr>
        <w:tabs>
          <w:tab w:val="left" w:pos="2160"/>
        </w:tabs>
        <w:spacing w:line="360" w:lineRule="auto"/>
        <w:ind w:firstLine="851"/>
        <w:jc w:val="both"/>
        <w:rPr>
          <w:rFonts w:cs="Arial"/>
          <w:szCs w:val="17"/>
          <w:shd w:val="clear" w:color="auto" w:fill="FFFFFF"/>
        </w:rPr>
      </w:pPr>
      <w:r>
        <w:rPr>
          <w:b/>
          <w:bCs/>
        </w:rPr>
        <w:t xml:space="preserve">CONSIDERANDO: </w:t>
      </w:r>
      <w:r>
        <w:rPr>
          <w:rFonts w:cs="Arial"/>
          <w:b/>
          <w:bCs/>
        </w:rPr>
        <w:t>1)</w:t>
      </w:r>
      <w:r>
        <w:rPr>
          <w:rFonts w:cs="Arial"/>
          <w:b/>
          <w:bCs/>
          <w:color w:val="000000"/>
        </w:rPr>
        <w:t xml:space="preserve"> </w:t>
      </w:r>
      <w:r>
        <w:rPr>
          <w:rFonts w:cs="Arial"/>
          <w:bCs/>
          <w:color w:val="000000"/>
        </w:rPr>
        <w:t>que el artículo 475 de la Ley 17.296 de 21/2/01, establece que los Ordenadores de gastos o pagos, al ejercer la facultad de insistencia o reiteración que les acuerda el Artículo 211 Literal B) de la Constitución de la República, deben hacerlo en forma fundada, detallando los motivos que a su juicio justifican seguir el curso del gasto o pago;</w:t>
      </w:r>
    </w:p>
    <w:p w:rsidR="00153465" w:rsidRDefault="00153465" w:rsidP="00FD14E6">
      <w:pPr>
        <w:spacing w:line="360" w:lineRule="auto"/>
        <w:ind w:firstLine="2977"/>
        <w:jc w:val="both"/>
        <w:rPr>
          <w:bCs/>
        </w:rPr>
      </w:pPr>
      <w:r>
        <w:rPr>
          <w:b/>
        </w:rPr>
        <w:t xml:space="preserve">2) </w:t>
      </w:r>
      <w:r>
        <w:rPr>
          <w:bCs/>
        </w:rPr>
        <w:t>que los motivos alegados para proceder a</w:t>
      </w:r>
      <w:r>
        <w:rPr>
          <w:b/>
        </w:rPr>
        <w:t xml:space="preserve"> </w:t>
      </w:r>
      <w:r>
        <w:t>la</w:t>
      </w:r>
      <w:r>
        <w:rPr>
          <w:b/>
        </w:rPr>
        <w:t xml:space="preserve"> </w:t>
      </w:r>
      <w:r>
        <w:rPr>
          <w:bCs/>
        </w:rPr>
        <w:t xml:space="preserve">reiteración refieren a la conveniencia y no a la legalidad del gasto, por lo que no logran modificar </w:t>
      </w:r>
      <w:r w:rsidR="00532EA7">
        <w:rPr>
          <w:bCs/>
        </w:rPr>
        <w:t>e</w:t>
      </w:r>
      <w:r>
        <w:rPr>
          <w:bCs/>
        </w:rPr>
        <w:t>l fundamento expuesto por este Tribunal en su Resolució</w:t>
      </w:r>
      <w:bookmarkStart w:id="0" w:name="_GoBack"/>
      <w:bookmarkEnd w:id="0"/>
      <w:r>
        <w:rPr>
          <w:bCs/>
        </w:rPr>
        <w:t xml:space="preserve">n  de fecha </w:t>
      </w:r>
      <w:r w:rsidR="00B42DE5">
        <w:rPr>
          <w:bCs/>
        </w:rPr>
        <w:t>29 de agosto de 2018</w:t>
      </w:r>
      <w:r>
        <w:rPr>
          <w:bCs/>
        </w:rPr>
        <w:t>;</w:t>
      </w:r>
    </w:p>
    <w:p w:rsidR="00FD14E6" w:rsidRPr="00FD14E6" w:rsidRDefault="00153465" w:rsidP="00FD14E6">
      <w:pPr>
        <w:spacing w:line="360" w:lineRule="auto"/>
        <w:ind w:firstLine="851"/>
        <w:jc w:val="both"/>
        <w:rPr>
          <w:rFonts w:cs="Arial"/>
          <w:lang w:val="es-MX"/>
        </w:rPr>
      </w:pPr>
      <w:r>
        <w:rPr>
          <w:rFonts w:cs="Arial"/>
          <w:b/>
          <w:bCs/>
          <w:lang w:val="es-MX"/>
        </w:rPr>
        <w:t>ATENTO:</w:t>
      </w:r>
      <w:r>
        <w:rPr>
          <w:rFonts w:cs="Arial"/>
          <w:lang w:val="es-MX"/>
        </w:rPr>
        <w:t xml:space="preserve"> a lo expresado precedentemente</w:t>
      </w:r>
      <w:r>
        <w:t xml:space="preserve"> </w:t>
      </w:r>
      <w:r>
        <w:rPr>
          <w:rFonts w:cs="Arial"/>
          <w:lang w:val="es-MX"/>
        </w:rPr>
        <w:t>y a lo dispuesto por el artículo 211 literal B) de la Constitución</w:t>
      </w:r>
      <w:r w:rsidR="00FD14E6">
        <w:rPr>
          <w:rFonts w:cs="Arial"/>
          <w:lang w:val="es-MX"/>
        </w:rPr>
        <w:t xml:space="preserve"> de la República</w:t>
      </w:r>
      <w:r>
        <w:rPr>
          <w:rFonts w:cs="Arial"/>
          <w:lang w:val="es-MX"/>
        </w:rPr>
        <w:t>;</w:t>
      </w:r>
    </w:p>
    <w:p w:rsidR="00153465" w:rsidRDefault="00FD14E6" w:rsidP="00FD14E6">
      <w:pPr>
        <w:spacing w:line="360" w:lineRule="auto"/>
        <w:ind w:firstLine="708"/>
        <w:jc w:val="center"/>
        <w:rPr>
          <w:b/>
          <w:bCs/>
        </w:rPr>
      </w:pPr>
      <w:r>
        <w:rPr>
          <w:b/>
          <w:bCs/>
        </w:rPr>
        <w:t>EL TRIBUNAL ACUERDA</w:t>
      </w:r>
    </w:p>
    <w:p w:rsidR="00153465" w:rsidRDefault="00153465" w:rsidP="00FD14E6">
      <w:pPr>
        <w:tabs>
          <w:tab w:val="left" w:pos="284"/>
          <w:tab w:val="left" w:pos="426"/>
        </w:tabs>
        <w:spacing w:line="360" w:lineRule="auto"/>
        <w:ind w:left="284" w:hanging="284"/>
        <w:jc w:val="both"/>
        <w:rPr>
          <w:rFonts w:cs="Arial"/>
          <w:lang w:val="es-UY"/>
        </w:rPr>
      </w:pPr>
      <w:r w:rsidRPr="00885040">
        <w:rPr>
          <w:rFonts w:cs="Arial"/>
          <w:b/>
          <w:lang w:val="es-UY"/>
        </w:rPr>
        <w:t>1)</w:t>
      </w:r>
      <w:r>
        <w:rPr>
          <w:rFonts w:cs="Arial"/>
          <w:lang w:val="es-UY"/>
        </w:rPr>
        <w:t xml:space="preserve"> Mantener la observación formulada por este Tribunal, con fecha 29</w:t>
      </w:r>
      <w:r>
        <w:rPr>
          <w:bCs/>
        </w:rPr>
        <w:t xml:space="preserve"> de agosto  de 2018</w:t>
      </w:r>
      <w:r>
        <w:rPr>
          <w:rFonts w:cs="Arial"/>
          <w:lang w:val="es-UY"/>
        </w:rPr>
        <w:t xml:space="preserve">;  </w:t>
      </w:r>
    </w:p>
    <w:p w:rsidR="00153465" w:rsidRDefault="00153465" w:rsidP="00FD14E6">
      <w:pPr>
        <w:tabs>
          <w:tab w:val="left" w:pos="284"/>
        </w:tabs>
        <w:spacing w:line="360" w:lineRule="auto"/>
        <w:ind w:left="284" w:hanging="284"/>
        <w:jc w:val="both"/>
        <w:rPr>
          <w:rFonts w:cs="Arial"/>
          <w:lang w:val="es-UY"/>
        </w:rPr>
      </w:pPr>
      <w:r w:rsidRPr="00885040">
        <w:rPr>
          <w:rFonts w:cs="Arial"/>
          <w:b/>
          <w:lang w:val="es-UY"/>
        </w:rPr>
        <w:t>2)</w:t>
      </w:r>
      <w:r>
        <w:rPr>
          <w:rFonts w:cs="Arial"/>
          <w:lang w:val="es-UY"/>
        </w:rPr>
        <w:t xml:space="preserve"> Dar cuenta a la Asamblea General;  </w:t>
      </w:r>
    </w:p>
    <w:p w:rsidR="00153465" w:rsidRDefault="00153465" w:rsidP="00FD14E6">
      <w:pPr>
        <w:tabs>
          <w:tab w:val="left" w:pos="284"/>
        </w:tabs>
        <w:spacing w:line="360" w:lineRule="auto"/>
        <w:ind w:left="284" w:hanging="284"/>
        <w:jc w:val="both"/>
      </w:pPr>
      <w:r w:rsidRPr="00885040">
        <w:rPr>
          <w:rFonts w:cs="Arial"/>
          <w:b/>
          <w:lang w:val="es-UY"/>
        </w:rPr>
        <w:t>3)</w:t>
      </w:r>
      <w:r>
        <w:rPr>
          <w:rFonts w:cs="Arial"/>
          <w:lang w:val="es-UY"/>
        </w:rPr>
        <w:t xml:space="preserve"> Comunicar a la Administración actuante. </w:t>
      </w:r>
    </w:p>
    <w:p w:rsidR="00153465" w:rsidRPr="00FD14E6" w:rsidRDefault="00FD14E6" w:rsidP="00FD14E6">
      <w:pPr>
        <w:spacing w:line="360" w:lineRule="auto"/>
        <w:rPr>
          <w:rFonts w:cs="Arial"/>
          <w:bCs/>
          <w:sz w:val="20"/>
          <w:szCs w:val="20"/>
          <w:lang w:val="es-MX"/>
        </w:rPr>
      </w:pPr>
      <w:r>
        <w:rPr>
          <w:rFonts w:cs="Arial"/>
          <w:bCs/>
          <w:sz w:val="20"/>
          <w:szCs w:val="20"/>
          <w:lang w:val="es-MX"/>
        </w:rPr>
        <w:t>CLC</w:t>
      </w:r>
    </w:p>
    <w:p w:rsidR="00153465" w:rsidRDefault="00153465" w:rsidP="00153465">
      <w:pPr>
        <w:spacing w:line="360" w:lineRule="auto"/>
        <w:jc w:val="right"/>
        <w:rPr>
          <w:rFonts w:cs="Arial"/>
          <w:bCs/>
          <w:lang w:val="es-MX"/>
        </w:rPr>
      </w:pPr>
    </w:p>
    <w:p w:rsidR="00153465" w:rsidRDefault="00153465" w:rsidP="00153465"/>
    <w:p w:rsidR="00153465" w:rsidRDefault="00153465" w:rsidP="00153465"/>
    <w:p w:rsidR="00153465" w:rsidRDefault="00153465" w:rsidP="00153465">
      <w:pPr>
        <w:spacing w:line="360" w:lineRule="auto"/>
        <w:jc w:val="both"/>
      </w:pPr>
    </w:p>
    <w:sectPr w:rsidR="00153465" w:rsidSect="00FD14E6">
      <w:footerReference w:type="even" r:id="rId8"/>
      <w:footerReference w:type="default" r:id="rId9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3CE" w:rsidRDefault="001173CE">
      <w:r>
        <w:separator/>
      </w:r>
    </w:p>
  </w:endnote>
  <w:endnote w:type="continuationSeparator" w:id="0">
    <w:p w:rsidR="001173CE" w:rsidRDefault="00117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FF8" w:rsidRDefault="00B42DE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E7FF8" w:rsidRDefault="0043254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FF8" w:rsidRDefault="00B42DE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3254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E7FF8" w:rsidRDefault="0043254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3CE" w:rsidRDefault="001173CE">
      <w:r>
        <w:separator/>
      </w:r>
    </w:p>
  </w:footnote>
  <w:footnote w:type="continuationSeparator" w:id="0">
    <w:p w:rsidR="001173CE" w:rsidRDefault="00117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5474E"/>
    <w:multiLevelType w:val="hybridMultilevel"/>
    <w:tmpl w:val="CA3A90BE"/>
    <w:lvl w:ilvl="0" w:tplc="C96A9B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CE6"/>
    <w:rsid w:val="001173CE"/>
    <w:rsid w:val="00153465"/>
    <w:rsid w:val="00173DCA"/>
    <w:rsid w:val="0024128A"/>
    <w:rsid w:val="003C4522"/>
    <w:rsid w:val="003E2CB0"/>
    <w:rsid w:val="0043254E"/>
    <w:rsid w:val="005164A5"/>
    <w:rsid w:val="00532EA7"/>
    <w:rsid w:val="006B6893"/>
    <w:rsid w:val="00B37947"/>
    <w:rsid w:val="00B42DE5"/>
    <w:rsid w:val="00B442E7"/>
    <w:rsid w:val="00E34CE6"/>
    <w:rsid w:val="00FD14E6"/>
    <w:rsid w:val="00FF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CE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34CE6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E34CE6"/>
    <w:pPr>
      <w:keepNext/>
      <w:jc w:val="center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34CE6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E34CE6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semiHidden/>
    <w:rsid w:val="00E34C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E34CE6"/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semiHidden/>
    <w:rsid w:val="00E34C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CE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34CE6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E34CE6"/>
    <w:pPr>
      <w:keepNext/>
      <w:jc w:val="center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34CE6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E34CE6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semiHidden/>
    <w:rsid w:val="00E34C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E34CE6"/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semiHidden/>
    <w:rsid w:val="00E34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2</cp:revision>
  <cp:lastPrinted>2018-11-27T17:35:00Z</cp:lastPrinted>
  <dcterms:created xsi:type="dcterms:W3CDTF">2018-11-27T17:36:00Z</dcterms:created>
  <dcterms:modified xsi:type="dcterms:W3CDTF">2018-11-27T17:36:00Z</dcterms:modified>
</cp:coreProperties>
</file>