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09" w:rsidRPr="00786EEB" w:rsidRDefault="00D3030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3562/18</w:t>
      </w:r>
    </w:p>
    <w:p w:rsidR="00D30309" w:rsidRDefault="00D3030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30309" w:rsidRPr="00762B34" w:rsidRDefault="00D3030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30309" w:rsidRPr="00762B34" w:rsidRDefault="00D3030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30309" w:rsidRPr="00762B34" w:rsidRDefault="00D3030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30309" w:rsidRPr="00762B34" w:rsidRDefault="00D3030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30309" w:rsidRPr="00762B34" w:rsidRDefault="00D3030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21 DE NOVIEMBRE </w:t>
      </w:r>
      <w:r>
        <w:rPr>
          <w:rFonts w:ascii="Helvetica" w:hAnsi="Helvetica"/>
          <w:b/>
          <w:lang w:val="es-ES_tradnl"/>
        </w:rPr>
        <w:t>DE 2018</w:t>
      </w:r>
    </w:p>
    <w:p w:rsidR="00D30309" w:rsidRPr="00762B34" w:rsidRDefault="00D3030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30309" w:rsidRPr="00762B34" w:rsidRDefault="00D30309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2014-17-1-0009029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5298/18</w:t>
      </w:r>
      <w:r w:rsidRPr="00762B34">
        <w:rPr>
          <w:rFonts w:cs="Arial"/>
          <w:b/>
          <w:lang w:val="en-US"/>
        </w:rPr>
        <w:t>)</w:t>
      </w:r>
    </w:p>
    <w:p w:rsidR="00D30309" w:rsidRDefault="00D30309" w:rsidP="005D13B0">
      <w:pPr>
        <w:spacing w:line="360" w:lineRule="auto"/>
        <w:jc w:val="both"/>
        <w:rPr>
          <w:rFonts w:cs="Arial"/>
          <w:b/>
        </w:rPr>
      </w:pPr>
    </w:p>
    <w:p w:rsidR="00D30309" w:rsidRDefault="00D30309" w:rsidP="00D30309">
      <w:pPr>
        <w:spacing w:line="360" w:lineRule="auto"/>
        <w:ind w:firstLine="708"/>
        <w:jc w:val="both"/>
        <w:rPr>
          <w:rFonts w:cs="Arial"/>
          <w:b/>
        </w:rPr>
      </w:pPr>
    </w:p>
    <w:p w:rsidR="005D13B0" w:rsidRDefault="005D13B0" w:rsidP="00D30309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los antecedentes remitidos por el Ministerio de Desarrollo Social (MIDES), relacionados con el contrato de fideicomiso </w:t>
      </w:r>
      <w:r w:rsidR="00443777">
        <w:rPr>
          <w:rFonts w:cs="Arial"/>
        </w:rPr>
        <w:t>celebra</w:t>
      </w:r>
      <w:r w:rsidR="00511121">
        <w:rPr>
          <w:rFonts w:cs="Arial"/>
        </w:rPr>
        <w:t xml:space="preserve">do </w:t>
      </w:r>
      <w:r w:rsidR="00443777">
        <w:rPr>
          <w:rFonts w:cs="Arial"/>
        </w:rPr>
        <w:t xml:space="preserve">por dicho Ministerio con </w:t>
      </w:r>
      <w:r>
        <w:rPr>
          <w:rFonts w:cs="Arial"/>
        </w:rPr>
        <w:t xml:space="preserve"> </w:t>
      </w:r>
      <w:r w:rsidR="00E11158">
        <w:rPr>
          <w:rFonts w:cs="Arial"/>
        </w:rPr>
        <w:t xml:space="preserve">la </w:t>
      </w:r>
      <w:r>
        <w:rPr>
          <w:rFonts w:cs="Arial"/>
        </w:rPr>
        <w:t xml:space="preserve">Corporación Nacional para el Desarrollo </w:t>
      </w:r>
      <w:r w:rsidR="00443777">
        <w:rPr>
          <w:rFonts w:cs="Arial"/>
        </w:rPr>
        <w:t xml:space="preserve">(CND) </w:t>
      </w:r>
      <w:r>
        <w:rPr>
          <w:rFonts w:cs="Arial"/>
        </w:rPr>
        <w:t>y la Intendencia de Montevideo</w:t>
      </w:r>
      <w:r w:rsidR="00443777">
        <w:rPr>
          <w:rFonts w:cs="Arial"/>
        </w:rPr>
        <w:t xml:space="preserve"> (IM)</w:t>
      </w:r>
      <w:r>
        <w:rPr>
          <w:rFonts w:cs="Arial"/>
        </w:rPr>
        <w:t xml:space="preserve">; </w:t>
      </w:r>
    </w:p>
    <w:p w:rsidR="005D13B0" w:rsidRDefault="005D13B0" w:rsidP="00D30309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</w:rPr>
        <w:t xml:space="preserve">RESULTANDO: 1) </w:t>
      </w:r>
      <w:r>
        <w:rPr>
          <w:rFonts w:cs="Arial"/>
        </w:rPr>
        <w:t>que con fecha 19 de setiembre de 2014,</w:t>
      </w:r>
      <w:r w:rsidRPr="00365D16">
        <w:rPr>
          <w:rFonts w:cs="Arial"/>
        </w:rPr>
        <w:t xml:space="preserve"> </w:t>
      </w:r>
      <w:r>
        <w:rPr>
          <w:rFonts w:cs="Arial"/>
        </w:rPr>
        <w:t xml:space="preserve">el </w:t>
      </w:r>
      <w:r w:rsidR="00443777">
        <w:rPr>
          <w:rFonts w:cs="Arial"/>
        </w:rPr>
        <w:t>MIDES</w:t>
      </w:r>
      <w:r>
        <w:rPr>
          <w:rFonts w:cs="Arial"/>
        </w:rPr>
        <w:t>, la C</w:t>
      </w:r>
      <w:r w:rsidR="00AE626F">
        <w:rPr>
          <w:rFonts w:cs="Arial"/>
        </w:rPr>
        <w:t>ND</w:t>
      </w:r>
      <w:r>
        <w:rPr>
          <w:rFonts w:cs="Arial"/>
        </w:rPr>
        <w:t xml:space="preserve"> y la I</w:t>
      </w:r>
      <w:r w:rsidR="00E11158">
        <w:rPr>
          <w:rFonts w:cs="Arial"/>
        </w:rPr>
        <w:t>M</w:t>
      </w:r>
      <w:r>
        <w:rPr>
          <w:rFonts w:cs="Arial"/>
        </w:rPr>
        <w:t xml:space="preserve">, suscribieron un </w:t>
      </w:r>
      <w:r w:rsidR="00340890">
        <w:rPr>
          <w:rFonts w:cs="Arial"/>
        </w:rPr>
        <w:t xml:space="preserve">contrato de fideicomiso con la finalidad  de </w:t>
      </w:r>
      <w:r>
        <w:rPr>
          <w:rFonts w:cs="Arial"/>
        </w:rPr>
        <w:t xml:space="preserve"> administra</w:t>
      </w:r>
      <w:r w:rsidR="00340890">
        <w:rPr>
          <w:rFonts w:cs="Arial"/>
        </w:rPr>
        <w:t xml:space="preserve">r </w:t>
      </w:r>
      <w:r>
        <w:rPr>
          <w:rFonts w:cs="Arial"/>
        </w:rPr>
        <w:t xml:space="preserve">los bienes </w:t>
      </w:r>
      <w:proofErr w:type="spellStart"/>
      <w:r>
        <w:rPr>
          <w:rFonts w:cs="Arial"/>
        </w:rPr>
        <w:t>fideicomitidos</w:t>
      </w:r>
      <w:proofErr w:type="spellEnd"/>
      <w:r>
        <w:rPr>
          <w:rFonts w:cs="Arial"/>
        </w:rPr>
        <w:t xml:space="preserve"> para la comercialización de materiales recuperados y clasificados a partir de residuos sólidos urbanos;</w:t>
      </w:r>
    </w:p>
    <w:p w:rsidR="00340890" w:rsidRDefault="00340890" w:rsidP="00D30309">
      <w:pPr>
        <w:spacing w:line="360" w:lineRule="auto"/>
        <w:ind w:firstLine="2552"/>
        <w:jc w:val="both"/>
        <w:rPr>
          <w:rFonts w:cs="Arial"/>
        </w:rPr>
      </w:pPr>
      <w:r w:rsidRPr="00AE626F">
        <w:rPr>
          <w:rFonts w:cs="Arial"/>
          <w:b/>
        </w:rPr>
        <w:t>2)</w:t>
      </w:r>
      <w:r>
        <w:rPr>
          <w:rFonts w:cs="Arial"/>
        </w:rPr>
        <w:t xml:space="preserve"> que en dicho contrato, se </w:t>
      </w:r>
      <w:r w:rsidR="00AE626F">
        <w:rPr>
          <w:rFonts w:cs="Arial"/>
        </w:rPr>
        <w:t>estableció</w:t>
      </w:r>
      <w:r>
        <w:rPr>
          <w:rFonts w:cs="Arial"/>
        </w:rPr>
        <w:t xml:space="preserve"> que el plazo de cumplimiento del </w:t>
      </w:r>
      <w:r w:rsidR="00AE626F">
        <w:rPr>
          <w:rFonts w:cs="Arial"/>
        </w:rPr>
        <w:t>mandato fiduciario</w:t>
      </w:r>
      <w:r>
        <w:rPr>
          <w:rFonts w:cs="Arial"/>
        </w:rPr>
        <w:t xml:space="preserve"> era de un año contado desde la intervención del gasto, extendiéndose </w:t>
      </w:r>
      <w:r w:rsidR="00AE626F">
        <w:rPr>
          <w:rFonts w:cs="Arial"/>
        </w:rPr>
        <w:t xml:space="preserve">eventualmente </w:t>
      </w:r>
      <w:r>
        <w:rPr>
          <w:rFonts w:cs="Arial"/>
        </w:rPr>
        <w:t xml:space="preserve">el plazo por tres meses a los efectos de cancelar la totalidad de las obligaciones </w:t>
      </w:r>
      <w:r w:rsidR="00EB0113">
        <w:rPr>
          <w:rFonts w:cs="Arial"/>
        </w:rPr>
        <w:t>pendientes;</w:t>
      </w:r>
    </w:p>
    <w:p w:rsidR="005D13B0" w:rsidRDefault="00D5139C" w:rsidP="00D30309">
      <w:pPr>
        <w:spacing w:line="360" w:lineRule="auto"/>
        <w:ind w:firstLine="2552"/>
        <w:jc w:val="both"/>
        <w:rPr>
          <w:rFonts w:cs="Arial"/>
        </w:rPr>
      </w:pPr>
      <w:r w:rsidRPr="00D5139C">
        <w:rPr>
          <w:rFonts w:cs="Arial"/>
          <w:b/>
        </w:rPr>
        <w:t>3</w:t>
      </w:r>
      <w:r w:rsidR="005D13B0" w:rsidRPr="00AF4FE0">
        <w:rPr>
          <w:rFonts w:cs="Arial"/>
          <w:b/>
        </w:rPr>
        <w:t>)</w:t>
      </w:r>
      <w:r w:rsidR="005D13B0">
        <w:rPr>
          <w:rFonts w:cs="Arial"/>
        </w:rPr>
        <w:t xml:space="preserve"> que este Tribunal, con fecha 17 de diciembre de 2014, resolvió cometer al Contador Auditor en el MIDES la intervención del gasto de $ 823.500, emergente del contrato de fideicomiso referido;</w:t>
      </w:r>
    </w:p>
    <w:p w:rsidR="00D30309" w:rsidRDefault="00EB0113" w:rsidP="005D13B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</w:t>
      </w:r>
      <w:r w:rsidR="00AE626F">
        <w:rPr>
          <w:rFonts w:cs="Arial"/>
        </w:rPr>
        <w:t xml:space="preserve">   </w:t>
      </w:r>
      <w:r w:rsidR="00D30309">
        <w:rPr>
          <w:rFonts w:cs="Arial"/>
        </w:rPr>
        <w:t xml:space="preserve">     </w:t>
      </w:r>
      <w:r w:rsidR="00D5139C" w:rsidRPr="00D30309">
        <w:rPr>
          <w:rFonts w:cs="Arial"/>
          <w:b/>
        </w:rPr>
        <w:t>4</w:t>
      </w:r>
      <w:r w:rsidRPr="00AE626F">
        <w:rPr>
          <w:rFonts w:cs="Arial"/>
          <w:b/>
        </w:rPr>
        <w:t>)</w:t>
      </w:r>
      <w:r>
        <w:rPr>
          <w:rFonts w:cs="Arial"/>
        </w:rPr>
        <w:t xml:space="preserve"> que según se señala</w:t>
      </w:r>
      <w:r w:rsidR="00AE626F">
        <w:rPr>
          <w:rFonts w:cs="Arial"/>
        </w:rPr>
        <w:t xml:space="preserve"> en esta oportunidad</w:t>
      </w:r>
      <w:r>
        <w:rPr>
          <w:rFonts w:cs="Arial"/>
        </w:rPr>
        <w:t xml:space="preserve">, </w:t>
      </w:r>
      <w:r w:rsidR="00AE626F">
        <w:rPr>
          <w:rFonts w:cs="Arial"/>
        </w:rPr>
        <w:t xml:space="preserve">teniendo en cuenta </w:t>
      </w:r>
      <w:r>
        <w:rPr>
          <w:rFonts w:cs="Arial"/>
        </w:rPr>
        <w:t xml:space="preserve"> la necesidad de comerc</w:t>
      </w:r>
      <w:r w:rsidR="00AE626F">
        <w:rPr>
          <w:rFonts w:cs="Arial"/>
        </w:rPr>
        <w:t>ializar</w:t>
      </w:r>
      <w:r>
        <w:rPr>
          <w:rFonts w:cs="Arial"/>
        </w:rPr>
        <w:t xml:space="preserve"> los materiales recuperados y </w:t>
      </w:r>
      <w:r w:rsidR="00FF043F">
        <w:rPr>
          <w:rFonts w:cs="Arial"/>
        </w:rPr>
        <w:t>clasificados</w:t>
      </w:r>
      <w:r>
        <w:rPr>
          <w:rFonts w:cs="Arial"/>
        </w:rPr>
        <w:t xml:space="preserve"> en</w:t>
      </w:r>
      <w:r w:rsidR="00D30309">
        <w:rPr>
          <w:rFonts w:cs="Arial"/>
        </w:rPr>
        <w:t xml:space="preserve">  </w:t>
      </w:r>
      <w:r>
        <w:rPr>
          <w:rFonts w:cs="Arial"/>
        </w:rPr>
        <w:t xml:space="preserve">las </w:t>
      </w:r>
      <w:r w:rsidR="00AE626F">
        <w:rPr>
          <w:rFonts w:cs="Arial"/>
        </w:rPr>
        <w:t>p</w:t>
      </w:r>
      <w:r>
        <w:rPr>
          <w:rFonts w:cs="Arial"/>
        </w:rPr>
        <w:t xml:space="preserve">lantas de </w:t>
      </w:r>
      <w:r w:rsidR="00AE626F">
        <w:rPr>
          <w:rFonts w:cs="Arial"/>
        </w:rPr>
        <w:t>r</w:t>
      </w:r>
      <w:r>
        <w:rPr>
          <w:rFonts w:cs="Arial"/>
        </w:rPr>
        <w:t>ec</w:t>
      </w:r>
      <w:r w:rsidR="00AE626F">
        <w:rPr>
          <w:rFonts w:cs="Arial"/>
        </w:rPr>
        <w:t>i</w:t>
      </w:r>
      <w:r>
        <w:rPr>
          <w:rFonts w:cs="Arial"/>
        </w:rPr>
        <w:t xml:space="preserve">claje y considerando que lo producido se </w:t>
      </w:r>
      <w:r w:rsidR="00AE626F">
        <w:rPr>
          <w:rFonts w:cs="Arial"/>
        </w:rPr>
        <w:t>había destinado</w:t>
      </w:r>
      <w:r>
        <w:rPr>
          <w:rFonts w:cs="Arial"/>
        </w:rPr>
        <w:t xml:space="preserve"> </w:t>
      </w:r>
    </w:p>
    <w:p w:rsidR="00D30309" w:rsidRDefault="00D30309" w:rsidP="005D13B0">
      <w:pPr>
        <w:spacing w:line="360" w:lineRule="auto"/>
        <w:jc w:val="both"/>
        <w:rPr>
          <w:rFonts w:cs="Arial"/>
        </w:rPr>
      </w:pPr>
    </w:p>
    <w:p w:rsidR="00D30309" w:rsidRDefault="00D30309" w:rsidP="005D13B0">
      <w:pPr>
        <w:spacing w:line="360" w:lineRule="auto"/>
        <w:jc w:val="both"/>
        <w:rPr>
          <w:rFonts w:cs="Arial"/>
        </w:rPr>
      </w:pPr>
    </w:p>
    <w:p w:rsidR="00F02C67" w:rsidRDefault="00EB0113" w:rsidP="005D13B0">
      <w:pPr>
        <w:spacing w:line="360" w:lineRule="auto"/>
        <w:jc w:val="both"/>
        <w:rPr>
          <w:rFonts w:cs="Arial"/>
        </w:rPr>
      </w:pPr>
      <w:proofErr w:type="gramStart"/>
      <w:r>
        <w:rPr>
          <w:rFonts w:cs="Arial"/>
        </w:rPr>
        <w:lastRenderedPageBreak/>
        <w:t>mayoritariamente</w:t>
      </w:r>
      <w:proofErr w:type="gramEnd"/>
      <w:r>
        <w:rPr>
          <w:rFonts w:cs="Arial"/>
        </w:rPr>
        <w:t xml:space="preserve"> al pago de salarios de los trabajadores abocados a las </w:t>
      </w:r>
      <w:r w:rsidR="00FF043F">
        <w:rPr>
          <w:rFonts w:cs="Arial"/>
        </w:rPr>
        <w:t>tareas</w:t>
      </w:r>
      <w:r>
        <w:rPr>
          <w:rFonts w:cs="Arial"/>
        </w:rPr>
        <w:t xml:space="preserve"> de </w:t>
      </w:r>
      <w:r w:rsidR="00FF043F">
        <w:rPr>
          <w:rFonts w:cs="Arial"/>
        </w:rPr>
        <w:t>reciclaje</w:t>
      </w:r>
      <w:r w:rsidR="00AE626F">
        <w:rPr>
          <w:rFonts w:cs="Arial"/>
        </w:rPr>
        <w:t>, en los hechos</w:t>
      </w:r>
      <w:r>
        <w:rPr>
          <w:rFonts w:cs="Arial"/>
        </w:rPr>
        <w:t xml:space="preserve"> </w:t>
      </w:r>
      <w:r w:rsidR="00AE626F">
        <w:rPr>
          <w:rFonts w:cs="Arial"/>
        </w:rPr>
        <w:t>se debió</w:t>
      </w:r>
      <w:r>
        <w:rPr>
          <w:rFonts w:cs="Arial"/>
        </w:rPr>
        <w:t xml:space="preserve"> extender el pl</w:t>
      </w:r>
      <w:r w:rsidR="00F02C67">
        <w:rPr>
          <w:rFonts w:cs="Arial"/>
        </w:rPr>
        <w:t>a</w:t>
      </w:r>
      <w:r>
        <w:rPr>
          <w:rFonts w:cs="Arial"/>
        </w:rPr>
        <w:t>zo de pr</w:t>
      </w:r>
      <w:r w:rsidR="00AE626F">
        <w:rPr>
          <w:rFonts w:cs="Arial"/>
        </w:rPr>
        <w:t>ó</w:t>
      </w:r>
      <w:r>
        <w:rPr>
          <w:rFonts w:cs="Arial"/>
        </w:rPr>
        <w:t xml:space="preserve">rroga </w:t>
      </w:r>
      <w:r w:rsidR="00F02C67">
        <w:rPr>
          <w:rFonts w:cs="Arial"/>
        </w:rPr>
        <w:t xml:space="preserve">previsto originalmente en </w:t>
      </w:r>
      <w:r>
        <w:rPr>
          <w:rFonts w:cs="Arial"/>
        </w:rPr>
        <w:t xml:space="preserve">el contrato de </w:t>
      </w:r>
      <w:r w:rsidR="00154E6C">
        <w:rPr>
          <w:rFonts w:cs="Arial"/>
        </w:rPr>
        <w:t>fideicomiso</w:t>
      </w:r>
      <w:r>
        <w:rPr>
          <w:rFonts w:cs="Arial"/>
        </w:rPr>
        <w:t xml:space="preserve"> referido</w:t>
      </w:r>
      <w:r w:rsidR="00F02C67">
        <w:rPr>
          <w:rFonts w:cs="Arial"/>
        </w:rPr>
        <w:t>, para cancelar de este modo las obligaciones pendientes en el m</w:t>
      </w:r>
      <w:r w:rsidR="00AE626F">
        <w:rPr>
          <w:rFonts w:cs="Arial"/>
        </w:rPr>
        <w:t>arco de</w:t>
      </w:r>
      <w:r w:rsidR="00F02C67">
        <w:rPr>
          <w:rFonts w:cs="Arial"/>
        </w:rPr>
        <w:t>l mismo;</w:t>
      </w:r>
    </w:p>
    <w:p w:rsidR="00EB0113" w:rsidRDefault="00F02C67" w:rsidP="005D13B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</w:t>
      </w:r>
      <w:r w:rsidR="00AE626F">
        <w:rPr>
          <w:rFonts w:cs="Arial"/>
        </w:rPr>
        <w:t xml:space="preserve">      </w:t>
      </w:r>
      <w:r w:rsidR="00D30309">
        <w:rPr>
          <w:rFonts w:cs="Arial"/>
        </w:rPr>
        <w:t xml:space="preserve">      </w:t>
      </w:r>
      <w:r w:rsidR="00D5139C" w:rsidRPr="00D5139C">
        <w:rPr>
          <w:rFonts w:cs="Arial"/>
          <w:b/>
        </w:rPr>
        <w:t>5</w:t>
      </w:r>
      <w:r w:rsidRPr="00AE626F">
        <w:rPr>
          <w:rFonts w:cs="Arial"/>
          <w:b/>
        </w:rPr>
        <w:t>)</w:t>
      </w:r>
      <w:r w:rsidR="00EB0113">
        <w:rPr>
          <w:rFonts w:cs="Arial"/>
        </w:rPr>
        <w:t xml:space="preserve"> </w:t>
      </w:r>
      <w:r>
        <w:rPr>
          <w:rFonts w:cs="Arial"/>
        </w:rPr>
        <w:t xml:space="preserve">que en </w:t>
      </w:r>
      <w:r w:rsidR="00AE626F">
        <w:rPr>
          <w:rFonts w:cs="Arial"/>
        </w:rPr>
        <w:t>ese</w:t>
      </w:r>
      <w:r>
        <w:rPr>
          <w:rFonts w:cs="Arial"/>
        </w:rPr>
        <w:t xml:space="preserve"> sentido, se remite </w:t>
      </w:r>
      <w:r w:rsidR="00FF043F">
        <w:rPr>
          <w:rFonts w:cs="Arial"/>
        </w:rPr>
        <w:t>Resolución</w:t>
      </w:r>
      <w:r>
        <w:rPr>
          <w:rFonts w:cs="Arial"/>
        </w:rPr>
        <w:t xml:space="preserve"> del MIDES Nº 1112/18 del 17</w:t>
      </w:r>
      <w:r w:rsidR="0047754E">
        <w:rPr>
          <w:rFonts w:cs="Arial"/>
        </w:rPr>
        <w:t xml:space="preserve"> de octubre de 2018</w:t>
      </w:r>
      <w:r w:rsidR="00AE626F">
        <w:rPr>
          <w:rFonts w:cs="Arial"/>
        </w:rPr>
        <w:t>,</w:t>
      </w:r>
      <w:r w:rsidR="0047754E">
        <w:rPr>
          <w:rFonts w:cs="Arial"/>
        </w:rPr>
        <w:t xml:space="preserve">  por la cual se </w:t>
      </w:r>
      <w:r w:rsidR="00FF043F">
        <w:rPr>
          <w:rFonts w:cs="Arial"/>
        </w:rPr>
        <w:t>autoriza</w:t>
      </w:r>
      <w:r w:rsidR="0047754E">
        <w:rPr>
          <w:rFonts w:cs="Arial"/>
        </w:rPr>
        <w:t xml:space="preserve"> la firma de un convenio con la </w:t>
      </w:r>
      <w:r w:rsidR="00FF043F">
        <w:rPr>
          <w:rFonts w:cs="Arial"/>
        </w:rPr>
        <w:t>I</w:t>
      </w:r>
      <w:r w:rsidR="00E11158">
        <w:rPr>
          <w:rFonts w:cs="Arial"/>
        </w:rPr>
        <w:t>M</w:t>
      </w:r>
      <w:r w:rsidR="00AE626F">
        <w:rPr>
          <w:rFonts w:cs="Arial"/>
        </w:rPr>
        <w:t>,</w:t>
      </w:r>
      <w:r w:rsidR="0047754E">
        <w:rPr>
          <w:rFonts w:cs="Arial"/>
        </w:rPr>
        <w:t xml:space="preserve">  a </w:t>
      </w:r>
      <w:r w:rsidR="00FF043F">
        <w:rPr>
          <w:rFonts w:cs="Arial"/>
        </w:rPr>
        <w:t>los</w:t>
      </w:r>
      <w:r w:rsidR="0047754E">
        <w:rPr>
          <w:rFonts w:cs="Arial"/>
        </w:rPr>
        <w:t xml:space="preserve"> </w:t>
      </w:r>
      <w:r w:rsidR="00FF043F">
        <w:rPr>
          <w:rFonts w:cs="Arial"/>
        </w:rPr>
        <w:t>efectos</w:t>
      </w:r>
      <w:r w:rsidR="0047754E">
        <w:rPr>
          <w:rFonts w:cs="Arial"/>
        </w:rPr>
        <w:t xml:space="preserve"> de </w:t>
      </w:r>
      <w:r w:rsidR="00FF043F">
        <w:rPr>
          <w:rFonts w:cs="Arial"/>
        </w:rPr>
        <w:t>ratificar</w:t>
      </w:r>
      <w:r w:rsidR="0047754E">
        <w:rPr>
          <w:rFonts w:cs="Arial"/>
        </w:rPr>
        <w:t xml:space="preserve"> lo actuado por la C</w:t>
      </w:r>
      <w:r w:rsidR="00AE626F">
        <w:rPr>
          <w:rFonts w:cs="Arial"/>
        </w:rPr>
        <w:t>ND</w:t>
      </w:r>
      <w:r w:rsidR="0047754E">
        <w:rPr>
          <w:rFonts w:cs="Arial"/>
        </w:rPr>
        <w:t xml:space="preserve"> en su ca</w:t>
      </w:r>
      <w:r w:rsidR="00FF043F">
        <w:rPr>
          <w:rFonts w:cs="Arial"/>
        </w:rPr>
        <w:t>l</w:t>
      </w:r>
      <w:r w:rsidR="0047754E">
        <w:rPr>
          <w:rFonts w:cs="Arial"/>
        </w:rPr>
        <w:t>ida</w:t>
      </w:r>
      <w:r w:rsidR="00FF043F">
        <w:rPr>
          <w:rFonts w:cs="Arial"/>
        </w:rPr>
        <w:t>d</w:t>
      </w:r>
      <w:r w:rsidR="0047754E">
        <w:rPr>
          <w:rFonts w:cs="Arial"/>
        </w:rPr>
        <w:t xml:space="preserve"> de fiduciaria en el plazo transcurrido entre el 19 de setiembre de 2015 hasta la fecha, instruyendo a la fiduciaria a realizar el cierre y clau</w:t>
      </w:r>
      <w:r w:rsidR="00154E6C">
        <w:rPr>
          <w:rFonts w:cs="Arial"/>
        </w:rPr>
        <w:t>su</w:t>
      </w:r>
      <w:r w:rsidR="0047754E">
        <w:rPr>
          <w:rFonts w:cs="Arial"/>
        </w:rPr>
        <w:t xml:space="preserve">ra del </w:t>
      </w:r>
      <w:r w:rsidR="00154E6C">
        <w:rPr>
          <w:rFonts w:cs="Arial"/>
        </w:rPr>
        <w:t>Fideicomiso</w:t>
      </w:r>
      <w:r w:rsidR="0047754E">
        <w:rPr>
          <w:rFonts w:cs="Arial"/>
        </w:rPr>
        <w:t>. Asimismo, se autoriza el pago al fiduciaria por $ 2.447.625 correspondientes a l</w:t>
      </w:r>
      <w:r w:rsidR="00FF043F">
        <w:rPr>
          <w:rFonts w:cs="Arial"/>
        </w:rPr>
        <w:t>a</w:t>
      </w:r>
      <w:r w:rsidR="0047754E">
        <w:rPr>
          <w:rFonts w:cs="Arial"/>
        </w:rPr>
        <w:t xml:space="preserve"> deuda que el MIDES mantiene con la fiduciaria,  en un plazo máximo de 30 </w:t>
      </w:r>
      <w:r w:rsidR="00FF043F">
        <w:rPr>
          <w:rFonts w:cs="Arial"/>
        </w:rPr>
        <w:t>días</w:t>
      </w:r>
      <w:r w:rsidR="0047754E">
        <w:rPr>
          <w:rFonts w:cs="Arial"/>
        </w:rPr>
        <w:t xml:space="preserve"> contados desde la firma del convenio referido;</w:t>
      </w:r>
    </w:p>
    <w:p w:rsidR="005D13B0" w:rsidRDefault="005D13B0" w:rsidP="005D13B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</w:t>
      </w:r>
      <w:r w:rsidR="00340890">
        <w:rPr>
          <w:rFonts w:cs="Arial"/>
        </w:rPr>
        <w:t xml:space="preserve">  </w:t>
      </w:r>
      <w:r w:rsidR="00D30309">
        <w:rPr>
          <w:rFonts w:cs="Arial"/>
        </w:rPr>
        <w:t xml:space="preserve">                  </w:t>
      </w:r>
      <w:r w:rsidR="00D5139C" w:rsidRPr="00D5139C">
        <w:rPr>
          <w:rFonts w:cs="Arial"/>
          <w:b/>
        </w:rPr>
        <w:t>6</w:t>
      </w:r>
      <w:r w:rsidRPr="00340890">
        <w:rPr>
          <w:rFonts w:cs="Arial"/>
          <w:b/>
        </w:rPr>
        <w:t>)</w:t>
      </w:r>
      <w:r w:rsidR="00340890">
        <w:rPr>
          <w:rFonts w:cs="Arial"/>
        </w:rPr>
        <w:t xml:space="preserve"> </w:t>
      </w:r>
      <w:r>
        <w:rPr>
          <w:rFonts w:cs="Arial"/>
        </w:rPr>
        <w:t xml:space="preserve">que </w:t>
      </w:r>
      <w:r w:rsidR="00154E6C">
        <w:rPr>
          <w:rFonts w:cs="Arial"/>
        </w:rPr>
        <w:t xml:space="preserve">asimismo se </w:t>
      </w:r>
      <w:r>
        <w:rPr>
          <w:rFonts w:cs="Arial"/>
        </w:rPr>
        <w:t xml:space="preserve">remite un proyecto de </w:t>
      </w:r>
      <w:r w:rsidR="00023639">
        <w:rPr>
          <w:rFonts w:cs="Arial"/>
        </w:rPr>
        <w:t>un</w:t>
      </w:r>
      <w:r w:rsidR="00AE626F">
        <w:rPr>
          <w:rFonts w:cs="Arial"/>
        </w:rPr>
        <w:t xml:space="preserve"> nuevo</w:t>
      </w:r>
      <w:r w:rsidR="00023639">
        <w:rPr>
          <w:rFonts w:cs="Arial"/>
        </w:rPr>
        <w:t xml:space="preserve"> </w:t>
      </w:r>
      <w:r>
        <w:rPr>
          <w:rFonts w:cs="Arial"/>
        </w:rPr>
        <w:t>contrato</w:t>
      </w:r>
      <w:r w:rsidR="00AE626F">
        <w:rPr>
          <w:rFonts w:cs="Arial"/>
        </w:rPr>
        <w:t xml:space="preserve"> de</w:t>
      </w:r>
      <w:r>
        <w:rPr>
          <w:rFonts w:cs="Arial"/>
        </w:rPr>
        <w:t xml:space="preserve"> fideicomiso  a celebrar entre el MIDES (Fideicomitente), la I</w:t>
      </w:r>
      <w:r w:rsidR="00AE626F">
        <w:rPr>
          <w:rFonts w:cs="Arial"/>
        </w:rPr>
        <w:t xml:space="preserve">M </w:t>
      </w:r>
      <w:r>
        <w:rPr>
          <w:rFonts w:cs="Arial"/>
        </w:rPr>
        <w:t xml:space="preserve">(Fideicomitente) y la </w:t>
      </w:r>
      <w:r w:rsidR="00FF043F">
        <w:rPr>
          <w:rFonts w:cs="Arial"/>
        </w:rPr>
        <w:t>C</w:t>
      </w:r>
      <w:r w:rsidR="00AE626F">
        <w:rPr>
          <w:rFonts w:cs="Arial"/>
        </w:rPr>
        <w:t>ND</w:t>
      </w:r>
      <w:r>
        <w:rPr>
          <w:rFonts w:cs="Arial"/>
        </w:rPr>
        <w:t xml:space="preserve"> (Fiduciaria)</w:t>
      </w:r>
      <w:r w:rsidR="00AE626F">
        <w:rPr>
          <w:rFonts w:cs="Arial"/>
        </w:rPr>
        <w:t>,</w:t>
      </w:r>
      <w:r>
        <w:rPr>
          <w:rFonts w:cs="Arial"/>
        </w:rPr>
        <w:t xml:space="preserve"> cuyo objeto consiste en const</w:t>
      </w:r>
      <w:r w:rsidR="00FF043F">
        <w:rPr>
          <w:rFonts w:cs="Arial"/>
        </w:rPr>
        <w:t>ituir</w:t>
      </w:r>
      <w:r>
        <w:rPr>
          <w:rFonts w:cs="Arial"/>
        </w:rPr>
        <w:t xml:space="preserve"> un fideicomiso de </w:t>
      </w:r>
      <w:r w:rsidR="00FF043F">
        <w:rPr>
          <w:rFonts w:cs="Arial"/>
        </w:rPr>
        <w:t>administración</w:t>
      </w:r>
      <w:r>
        <w:rPr>
          <w:rFonts w:cs="Arial"/>
        </w:rPr>
        <w:t xml:space="preserve"> de </w:t>
      </w:r>
      <w:r w:rsidR="00FF043F">
        <w:rPr>
          <w:rFonts w:cs="Arial"/>
        </w:rPr>
        <w:t>conformidad</w:t>
      </w:r>
      <w:r>
        <w:rPr>
          <w:rFonts w:cs="Arial"/>
        </w:rPr>
        <w:t xml:space="preserve"> a las </w:t>
      </w:r>
      <w:r w:rsidR="00FF043F">
        <w:rPr>
          <w:rFonts w:cs="Arial"/>
        </w:rPr>
        <w:t>disposiciones</w:t>
      </w:r>
      <w:r>
        <w:rPr>
          <w:rFonts w:cs="Arial"/>
        </w:rPr>
        <w:t xml:space="preserve"> de la Ley Nº 17.703 del 27</w:t>
      </w:r>
      <w:r w:rsidR="00AE626F">
        <w:rPr>
          <w:rFonts w:cs="Arial"/>
        </w:rPr>
        <w:t xml:space="preserve"> de octubre del 20</w:t>
      </w:r>
      <w:r>
        <w:rPr>
          <w:rFonts w:cs="Arial"/>
        </w:rPr>
        <w:t>03</w:t>
      </w:r>
      <w:r w:rsidR="00AE626F">
        <w:rPr>
          <w:rFonts w:cs="Arial"/>
        </w:rPr>
        <w:t>,</w:t>
      </w:r>
      <w:r>
        <w:rPr>
          <w:rFonts w:cs="Arial"/>
        </w:rPr>
        <w:t xml:space="preserve"> el cual se denominar</w:t>
      </w:r>
      <w:r w:rsidR="00707C8D">
        <w:rPr>
          <w:rFonts w:cs="Arial"/>
        </w:rPr>
        <w:t>á</w:t>
      </w:r>
      <w:r>
        <w:rPr>
          <w:rFonts w:cs="Arial"/>
        </w:rPr>
        <w:t xml:space="preserve"> FIDEIC</w:t>
      </w:r>
      <w:r w:rsidR="00AE626F">
        <w:rPr>
          <w:rFonts w:cs="Arial"/>
        </w:rPr>
        <w:t>O</w:t>
      </w:r>
      <w:r>
        <w:rPr>
          <w:rFonts w:cs="Arial"/>
        </w:rPr>
        <w:t>MISO DE ADMINISTR</w:t>
      </w:r>
      <w:r w:rsidR="00707C8D">
        <w:rPr>
          <w:rFonts w:cs="Arial"/>
        </w:rPr>
        <w:t>A</w:t>
      </w:r>
      <w:r>
        <w:rPr>
          <w:rFonts w:cs="Arial"/>
        </w:rPr>
        <w:t>CION DE RES</w:t>
      </w:r>
      <w:r w:rsidR="00707C8D">
        <w:rPr>
          <w:rFonts w:cs="Arial"/>
        </w:rPr>
        <w:t>I</w:t>
      </w:r>
      <w:r>
        <w:rPr>
          <w:rFonts w:cs="Arial"/>
        </w:rPr>
        <w:t xml:space="preserve">DUOS SOLIDOS URBANOS II (FIRSU II), para la </w:t>
      </w:r>
      <w:r w:rsidR="00FF043F">
        <w:rPr>
          <w:rFonts w:cs="Arial"/>
        </w:rPr>
        <w:t>administración</w:t>
      </w:r>
      <w:r>
        <w:rPr>
          <w:rFonts w:cs="Arial"/>
        </w:rPr>
        <w:t xml:space="preserve"> de los bienes </w:t>
      </w:r>
      <w:proofErr w:type="spellStart"/>
      <w:r>
        <w:rPr>
          <w:rFonts w:cs="Arial"/>
        </w:rPr>
        <w:t>fidei</w:t>
      </w:r>
      <w:r w:rsidR="009F3556">
        <w:rPr>
          <w:rFonts w:cs="Arial"/>
        </w:rPr>
        <w:t>co</w:t>
      </w:r>
      <w:r>
        <w:rPr>
          <w:rFonts w:cs="Arial"/>
        </w:rPr>
        <w:t>mitidos</w:t>
      </w:r>
      <w:proofErr w:type="spellEnd"/>
      <w:r w:rsidR="00707C8D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AE626F">
        <w:rPr>
          <w:rFonts w:cs="Arial"/>
        </w:rPr>
        <w:t>y</w:t>
      </w:r>
      <w:r>
        <w:rPr>
          <w:rFonts w:cs="Arial"/>
        </w:rPr>
        <w:t xml:space="preserve">  realizar las </w:t>
      </w:r>
      <w:r w:rsidR="00FF043F">
        <w:rPr>
          <w:rFonts w:cs="Arial"/>
        </w:rPr>
        <w:t>contrataciones</w:t>
      </w:r>
      <w:r>
        <w:rPr>
          <w:rFonts w:cs="Arial"/>
        </w:rPr>
        <w:t xml:space="preserve"> y/o pagos requeridos para apoyar la </w:t>
      </w:r>
      <w:r w:rsidR="00FF043F">
        <w:rPr>
          <w:rFonts w:cs="Arial"/>
        </w:rPr>
        <w:t>implementación</w:t>
      </w:r>
      <w:r>
        <w:rPr>
          <w:rFonts w:cs="Arial"/>
        </w:rPr>
        <w:t xml:space="preserve"> del Proyecto FIRSU II</w:t>
      </w:r>
      <w:r w:rsidR="00707C8D">
        <w:rPr>
          <w:rFonts w:cs="Arial"/>
        </w:rPr>
        <w:t>, efectuando</w:t>
      </w:r>
      <w:r>
        <w:rPr>
          <w:rFonts w:cs="Arial"/>
        </w:rPr>
        <w:t xml:space="preserve"> el pago del producido de la comercialización de materiales </w:t>
      </w:r>
      <w:r w:rsidR="00FF043F">
        <w:rPr>
          <w:rFonts w:cs="Arial"/>
        </w:rPr>
        <w:t>recuperados</w:t>
      </w:r>
      <w:r>
        <w:rPr>
          <w:rFonts w:cs="Arial"/>
        </w:rPr>
        <w:t xml:space="preserve"> y </w:t>
      </w:r>
      <w:r w:rsidR="00FF043F">
        <w:rPr>
          <w:rFonts w:cs="Arial"/>
        </w:rPr>
        <w:t>clasificados</w:t>
      </w:r>
      <w:r>
        <w:rPr>
          <w:rFonts w:cs="Arial"/>
        </w:rPr>
        <w:t xml:space="preserve"> a partir de residuos </w:t>
      </w:r>
      <w:r w:rsidR="00FF043F">
        <w:rPr>
          <w:rFonts w:cs="Arial"/>
        </w:rPr>
        <w:t>sólidos</w:t>
      </w:r>
      <w:r w:rsidR="00707C8D">
        <w:rPr>
          <w:rFonts w:cs="Arial"/>
        </w:rPr>
        <w:t xml:space="preserve"> urbanos y</w:t>
      </w:r>
      <w:r>
        <w:rPr>
          <w:rFonts w:cs="Arial"/>
        </w:rPr>
        <w:t xml:space="preserve"> realizando la Fiduciaria todos los actos de </w:t>
      </w:r>
      <w:r w:rsidR="00FF043F">
        <w:rPr>
          <w:rFonts w:cs="Arial"/>
        </w:rPr>
        <w:t>inversión</w:t>
      </w:r>
      <w:r>
        <w:rPr>
          <w:rFonts w:cs="Arial"/>
        </w:rPr>
        <w:t xml:space="preserve">, </w:t>
      </w:r>
      <w:r w:rsidR="00FF043F">
        <w:rPr>
          <w:rFonts w:cs="Arial"/>
        </w:rPr>
        <w:t>administración</w:t>
      </w:r>
      <w:r>
        <w:rPr>
          <w:rFonts w:cs="Arial"/>
        </w:rPr>
        <w:t xml:space="preserve">, </w:t>
      </w:r>
      <w:r w:rsidR="00FF043F">
        <w:rPr>
          <w:rFonts w:cs="Arial"/>
        </w:rPr>
        <w:t>contratación</w:t>
      </w:r>
      <w:r>
        <w:rPr>
          <w:rFonts w:cs="Arial"/>
        </w:rPr>
        <w:t xml:space="preserve"> y/o </w:t>
      </w:r>
      <w:r w:rsidR="00FF043F">
        <w:rPr>
          <w:rFonts w:cs="Arial"/>
        </w:rPr>
        <w:t>disposición</w:t>
      </w:r>
      <w:r>
        <w:rPr>
          <w:rFonts w:cs="Arial"/>
        </w:rPr>
        <w:t xml:space="preserve"> de acuerdo a </w:t>
      </w:r>
      <w:r w:rsidR="00FF043F">
        <w:rPr>
          <w:rFonts w:cs="Arial"/>
        </w:rPr>
        <w:t>instrucciones</w:t>
      </w:r>
      <w:r>
        <w:rPr>
          <w:rFonts w:cs="Arial"/>
        </w:rPr>
        <w:t xml:space="preserve"> dadas expresamente por los Fideicomitentes;</w:t>
      </w:r>
    </w:p>
    <w:p w:rsidR="008E24F9" w:rsidRDefault="008E24F9" w:rsidP="008E24F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</w:t>
      </w:r>
      <w:r w:rsidR="00D30309">
        <w:rPr>
          <w:rFonts w:cs="Arial"/>
        </w:rPr>
        <w:t xml:space="preserve">                 </w:t>
      </w:r>
      <w:r w:rsidR="00D5139C" w:rsidRPr="00D5139C">
        <w:rPr>
          <w:rFonts w:cs="Arial"/>
          <w:b/>
        </w:rPr>
        <w:t>7</w:t>
      </w:r>
      <w:r>
        <w:rPr>
          <w:rFonts w:cs="Arial"/>
          <w:b/>
        </w:rPr>
        <w:t xml:space="preserve">) </w:t>
      </w:r>
      <w:proofErr w:type="gramStart"/>
      <w:r>
        <w:rPr>
          <w:rFonts w:cs="Arial"/>
        </w:rPr>
        <w:t>que</w:t>
      </w:r>
      <w:proofErr w:type="gramEnd"/>
      <w:r>
        <w:rPr>
          <w:rFonts w:cs="Arial"/>
        </w:rPr>
        <w:t xml:space="preserve"> el patrimonio </w:t>
      </w:r>
      <w:proofErr w:type="spellStart"/>
      <w:r>
        <w:rPr>
          <w:rFonts w:cs="Arial"/>
        </w:rPr>
        <w:t>fideicomitido</w:t>
      </w:r>
      <w:proofErr w:type="spellEnd"/>
      <w:r>
        <w:rPr>
          <w:rFonts w:cs="Arial"/>
        </w:rPr>
        <w:t xml:space="preserve"> se compondrá de: i) los aportes de los fideicomitentes; ii) el rendimiento financiero que provenga de la inversión de los recursos del fideicomiso en las colocaciones que éste realice, iii) las donaciones, subvenciones u otros aportes que recibiere </w:t>
      </w:r>
      <w:r>
        <w:rPr>
          <w:rFonts w:cs="Arial"/>
        </w:rPr>
        <w:lastRenderedPageBreak/>
        <w:t xml:space="preserve">y aquellos bienes que sustituyan como </w:t>
      </w:r>
      <w:r w:rsidR="00443777">
        <w:rPr>
          <w:rFonts w:cs="Arial"/>
        </w:rPr>
        <w:t>consecuencia</w:t>
      </w:r>
      <w:r>
        <w:rPr>
          <w:rFonts w:cs="Arial"/>
        </w:rPr>
        <w:t xml:space="preserve"> de la </w:t>
      </w:r>
      <w:r w:rsidR="00926494">
        <w:rPr>
          <w:rFonts w:cs="Arial"/>
        </w:rPr>
        <w:t>realización</w:t>
      </w:r>
      <w:r>
        <w:rPr>
          <w:rFonts w:cs="Arial"/>
        </w:rPr>
        <w:t xml:space="preserve"> de actos de </w:t>
      </w:r>
      <w:r w:rsidR="00926494">
        <w:rPr>
          <w:rFonts w:cs="Arial"/>
        </w:rPr>
        <w:t>inversión</w:t>
      </w:r>
      <w:r>
        <w:rPr>
          <w:rFonts w:cs="Arial"/>
        </w:rPr>
        <w:t xml:space="preserve">, </w:t>
      </w:r>
      <w:r w:rsidR="00FF043F">
        <w:rPr>
          <w:rFonts w:cs="Arial"/>
        </w:rPr>
        <w:t>administración</w:t>
      </w:r>
      <w:r>
        <w:rPr>
          <w:rFonts w:cs="Arial"/>
        </w:rPr>
        <w:t xml:space="preserve"> o disposición sobre los bienes </w:t>
      </w:r>
      <w:proofErr w:type="spellStart"/>
      <w:r>
        <w:rPr>
          <w:rFonts w:cs="Arial"/>
        </w:rPr>
        <w:t>fideicomitidos</w:t>
      </w:r>
      <w:proofErr w:type="spellEnd"/>
      <w:r>
        <w:rPr>
          <w:rFonts w:cs="Arial"/>
        </w:rPr>
        <w:t xml:space="preserve">. Los Fideicomitentes podrán transferir al patrimonio </w:t>
      </w:r>
      <w:r w:rsidR="00FF043F">
        <w:rPr>
          <w:rFonts w:cs="Arial"/>
        </w:rPr>
        <w:t>autónomo</w:t>
      </w:r>
      <w:r>
        <w:rPr>
          <w:rFonts w:cs="Arial"/>
        </w:rPr>
        <w:t xml:space="preserve"> partida</w:t>
      </w:r>
      <w:r w:rsidR="00E11158">
        <w:rPr>
          <w:rFonts w:cs="Arial"/>
        </w:rPr>
        <w:t>s</w:t>
      </w:r>
      <w:r>
        <w:rPr>
          <w:rFonts w:cs="Arial"/>
        </w:rPr>
        <w:t xml:space="preserve"> </w:t>
      </w:r>
      <w:r w:rsidR="00443777">
        <w:rPr>
          <w:rFonts w:cs="Arial"/>
        </w:rPr>
        <w:t>dinerarias</w:t>
      </w:r>
      <w:r>
        <w:rPr>
          <w:rFonts w:cs="Arial"/>
        </w:rPr>
        <w:t xml:space="preserve"> </w:t>
      </w:r>
      <w:r w:rsidR="00443777">
        <w:rPr>
          <w:rFonts w:cs="Arial"/>
        </w:rPr>
        <w:t>adicionales</w:t>
      </w:r>
      <w:r>
        <w:rPr>
          <w:rFonts w:cs="Arial"/>
        </w:rPr>
        <w:t xml:space="preserve">, iv) serán </w:t>
      </w:r>
      <w:r w:rsidR="00443777">
        <w:rPr>
          <w:rFonts w:cs="Arial"/>
        </w:rPr>
        <w:t>además</w:t>
      </w:r>
      <w:r>
        <w:rPr>
          <w:rFonts w:cs="Arial"/>
        </w:rPr>
        <w:t xml:space="preserve"> bienes </w:t>
      </w:r>
      <w:proofErr w:type="spellStart"/>
      <w:r>
        <w:rPr>
          <w:rFonts w:cs="Arial"/>
        </w:rPr>
        <w:t>fideic</w:t>
      </w:r>
      <w:r w:rsidR="00E11158">
        <w:rPr>
          <w:rFonts w:cs="Arial"/>
        </w:rPr>
        <w:t>o</w:t>
      </w:r>
      <w:r>
        <w:rPr>
          <w:rFonts w:cs="Arial"/>
        </w:rPr>
        <w:t>mitidos</w:t>
      </w:r>
      <w:proofErr w:type="spellEnd"/>
      <w:r>
        <w:rPr>
          <w:rFonts w:cs="Arial"/>
        </w:rPr>
        <w:t xml:space="preserve"> en un futuro todos los </w:t>
      </w:r>
      <w:r w:rsidR="00443777">
        <w:rPr>
          <w:rFonts w:cs="Arial"/>
        </w:rPr>
        <w:t>bienes</w:t>
      </w:r>
      <w:r>
        <w:rPr>
          <w:rFonts w:cs="Arial"/>
        </w:rPr>
        <w:t xml:space="preserve"> que se in</w:t>
      </w:r>
      <w:r w:rsidR="00443777">
        <w:rPr>
          <w:rFonts w:cs="Arial"/>
        </w:rPr>
        <w:t>c</w:t>
      </w:r>
      <w:r>
        <w:rPr>
          <w:rFonts w:cs="Arial"/>
        </w:rPr>
        <w:t>orpore</w:t>
      </w:r>
      <w:r w:rsidR="00443777">
        <w:rPr>
          <w:rFonts w:cs="Arial"/>
        </w:rPr>
        <w:t>n</w:t>
      </w:r>
      <w:r>
        <w:rPr>
          <w:rFonts w:cs="Arial"/>
        </w:rPr>
        <w:t xml:space="preserve"> y </w:t>
      </w:r>
      <w:r w:rsidR="00443777">
        <w:rPr>
          <w:rFonts w:cs="Arial"/>
        </w:rPr>
        <w:t>aquellos</w:t>
      </w:r>
      <w:r>
        <w:rPr>
          <w:rFonts w:cs="Arial"/>
        </w:rPr>
        <w:t xml:space="preserve"> que los sustituyan como co</w:t>
      </w:r>
      <w:r w:rsidR="00443777">
        <w:rPr>
          <w:rFonts w:cs="Arial"/>
        </w:rPr>
        <w:t>n</w:t>
      </w:r>
      <w:r>
        <w:rPr>
          <w:rFonts w:cs="Arial"/>
        </w:rPr>
        <w:t>s</w:t>
      </w:r>
      <w:r w:rsidR="00443777">
        <w:rPr>
          <w:rFonts w:cs="Arial"/>
        </w:rPr>
        <w:t>e</w:t>
      </w:r>
      <w:r>
        <w:rPr>
          <w:rFonts w:cs="Arial"/>
        </w:rPr>
        <w:t>cu</w:t>
      </w:r>
      <w:r w:rsidR="00443777">
        <w:rPr>
          <w:rFonts w:cs="Arial"/>
        </w:rPr>
        <w:t>encia</w:t>
      </w:r>
      <w:r>
        <w:rPr>
          <w:rFonts w:cs="Arial"/>
        </w:rPr>
        <w:t xml:space="preserve"> de l</w:t>
      </w:r>
      <w:r w:rsidR="00443777">
        <w:rPr>
          <w:rFonts w:cs="Arial"/>
        </w:rPr>
        <w:t>a</w:t>
      </w:r>
      <w:r>
        <w:rPr>
          <w:rFonts w:cs="Arial"/>
        </w:rPr>
        <w:t xml:space="preserve"> </w:t>
      </w:r>
      <w:r w:rsidR="00443777">
        <w:rPr>
          <w:rFonts w:cs="Arial"/>
        </w:rPr>
        <w:t>realización</w:t>
      </w:r>
      <w:r>
        <w:rPr>
          <w:rFonts w:cs="Arial"/>
        </w:rPr>
        <w:t xml:space="preserve"> de actos de </w:t>
      </w:r>
      <w:r w:rsidR="00443777">
        <w:rPr>
          <w:rFonts w:cs="Arial"/>
        </w:rPr>
        <w:t>inversión</w:t>
      </w:r>
      <w:r>
        <w:rPr>
          <w:rFonts w:cs="Arial"/>
        </w:rPr>
        <w:t xml:space="preserve">, </w:t>
      </w:r>
      <w:r w:rsidR="00443777">
        <w:rPr>
          <w:rFonts w:cs="Arial"/>
        </w:rPr>
        <w:t>administración</w:t>
      </w:r>
      <w:r>
        <w:rPr>
          <w:rFonts w:cs="Arial"/>
        </w:rPr>
        <w:t xml:space="preserve"> y/o disposición sobre aquellos, </w:t>
      </w:r>
      <w:r w:rsidR="00443777">
        <w:rPr>
          <w:rFonts w:cs="Arial"/>
        </w:rPr>
        <w:t>así</w:t>
      </w:r>
      <w:r>
        <w:rPr>
          <w:rFonts w:cs="Arial"/>
        </w:rPr>
        <w:t xml:space="preserve"> como las utilidades, frutos y productos que </w:t>
      </w:r>
      <w:r w:rsidR="00443777">
        <w:rPr>
          <w:rFonts w:cs="Arial"/>
        </w:rPr>
        <w:t>generen</w:t>
      </w:r>
      <w:r>
        <w:rPr>
          <w:rFonts w:cs="Arial"/>
        </w:rPr>
        <w:t xml:space="preserve"> los nuevos </w:t>
      </w:r>
      <w:r w:rsidR="00443777">
        <w:rPr>
          <w:rFonts w:cs="Arial"/>
        </w:rPr>
        <w:t>bienes</w:t>
      </w:r>
      <w:r>
        <w:rPr>
          <w:rFonts w:cs="Arial"/>
        </w:rPr>
        <w:t xml:space="preserve"> que </w:t>
      </w:r>
      <w:r w:rsidR="00443777">
        <w:rPr>
          <w:rFonts w:cs="Arial"/>
        </w:rPr>
        <w:t>ingresen</w:t>
      </w:r>
      <w:r>
        <w:rPr>
          <w:rFonts w:cs="Arial"/>
        </w:rPr>
        <w:t>;</w:t>
      </w:r>
    </w:p>
    <w:p w:rsidR="005D13B0" w:rsidRDefault="00023639" w:rsidP="005D13B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</w:t>
      </w:r>
      <w:r w:rsidR="00D30309">
        <w:rPr>
          <w:rFonts w:cs="Arial"/>
        </w:rPr>
        <w:t xml:space="preserve">               </w:t>
      </w:r>
      <w:r w:rsidR="00D5139C" w:rsidRPr="00D5139C">
        <w:rPr>
          <w:rFonts w:cs="Arial"/>
          <w:b/>
        </w:rPr>
        <w:t>8</w:t>
      </w:r>
      <w:r w:rsidR="005D13B0" w:rsidRPr="00707C8D">
        <w:rPr>
          <w:rFonts w:cs="Arial"/>
          <w:b/>
        </w:rPr>
        <w:t>)</w:t>
      </w:r>
      <w:r w:rsidR="005D13B0">
        <w:rPr>
          <w:rFonts w:cs="Arial"/>
        </w:rPr>
        <w:t xml:space="preserve"> que</w:t>
      </w:r>
      <w:r w:rsidR="00707C8D">
        <w:rPr>
          <w:rFonts w:cs="Arial"/>
        </w:rPr>
        <w:t xml:space="preserve"> se establece que </w:t>
      </w:r>
      <w:r w:rsidR="005D13B0">
        <w:rPr>
          <w:rFonts w:cs="Arial"/>
        </w:rPr>
        <w:t xml:space="preserve"> la CND se encargar</w:t>
      </w:r>
      <w:r w:rsidR="00707C8D">
        <w:rPr>
          <w:rFonts w:cs="Arial"/>
        </w:rPr>
        <w:t>á</w:t>
      </w:r>
      <w:r w:rsidR="005D13B0">
        <w:rPr>
          <w:rFonts w:cs="Arial"/>
        </w:rPr>
        <w:t xml:space="preserve"> de </w:t>
      </w:r>
      <w:r w:rsidR="00443777">
        <w:rPr>
          <w:rFonts w:cs="Arial"/>
        </w:rPr>
        <w:t>administrar</w:t>
      </w:r>
      <w:r w:rsidR="005D13B0">
        <w:rPr>
          <w:rFonts w:cs="Arial"/>
        </w:rPr>
        <w:t xml:space="preserve"> los fondos del Fideicomiso de Administración FIRSU II de acuerdo a las instrucciones de los Fideicomitentes y a los criterios que se determinan en </w:t>
      </w:r>
      <w:r w:rsidR="00443777">
        <w:rPr>
          <w:rFonts w:cs="Arial"/>
        </w:rPr>
        <w:t>Anexo adjunto</w:t>
      </w:r>
      <w:r w:rsidR="005D13B0">
        <w:rPr>
          <w:rFonts w:cs="Arial"/>
        </w:rPr>
        <w:t xml:space="preserve"> </w:t>
      </w:r>
      <w:r w:rsidR="00707C8D">
        <w:rPr>
          <w:rFonts w:cs="Arial"/>
        </w:rPr>
        <w:t xml:space="preserve">que </w:t>
      </w:r>
      <w:r w:rsidR="005D13B0">
        <w:rPr>
          <w:rFonts w:cs="Arial"/>
        </w:rPr>
        <w:t xml:space="preserve">forma parte  del </w:t>
      </w:r>
      <w:r w:rsidR="00443777">
        <w:rPr>
          <w:rFonts w:cs="Arial"/>
        </w:rPr>
        <w:t>contrato</w:t>
      </w:r>
      <w:r w:rsidR="005D13B0">
        <w:rPr>
          <w:rFonts w:cs="Arial"/>
        </w:rPr>
        <w:t>;</w:t>
      </w:r>
    </w:p>
    <w:p w:rsidR="005D13B0" w:rsidRDefault="00023639" w:rsidP="005D13B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</w:t>
      </w:r>
      <w:r w:rsidR="00443777">
        <w:rPr>
          <w:rFonts w:cs="Arial"/>
        </w:rPr>
        <w:t xml:space="preserve">       </w:t>
      </w:r>
      <w:r w:rsidR="00D30309">
        <w:rPr>
          <w:rFonts w:cs="Arial"/>
        </w:rPr>
        <w:t xml:space="preserve">                </w:t>
      </w:r>
      <w:r w:rsidR="00D5139C" w:rsidRPr="00D5139C">
        <w:rPr>
          <w:rFonts w:cs="Arial"/>
          <w:b/>
        </w:rPr>
        <w:t>9</w:t>
      </w:r>
      <w:r w:rsidR="005D13B0" w:rsidRPr="00707C8D">
        <w:rPr>
          <w:rFonts w:cs="Arial"/>
          <w:b/>
        </w:rPr>
        <w:t>)</w:t>
      </w:r>
      <w:r w:rsidR="005D13B0">
        <w:rPr>
          <w:rFonts w:cs="Arial"/>
        </w:rPr>
        <w:t xml:space="preserve"> que por el </w:t>
      </w:r>
      <w:r w:rsidR="00443777">
        <w:rPr>
          <w:rFonts w:cs="Arial"/>
        </w:rPr>
        <w:t>cumplimiento</w:t>
      </w:r>
      <w:r w:rsidR="005D13B0">
        <w:rPr>
          <w:rFonts w:cs="Arial"/>
        </w:rPr>
        <w:t xml:space="preserve"> del </w:t>
      </w:r>
      <w:r w:rsidR="00443777">
        <w:rPr>
          <w:rFonts w:cs="Arial"/>
        </w:rPr>
        <w:t>mandato</w:t>
      </w:r>
      <w:r w:rsidR="005D13B0">
        <w:rPr>
          <w:rFonts w:cs="Arial"/>
        </w:rPr>
        <w:t xml:space="preserve"> fiduciario, la Fiduciaria </w:t>
      </w:r>
      <w:r w:rsidR="00443777">
        <w:rPr>
          <w:rFonts w:cs="Arial"/>
        </w:rPr>
        <w:t>percibirá</w:t>
      </w:r>
      <w:r w:rsidR="005D13B0">
        <w:rPr>
          <w:rFonts w:cs="Arial"/>
        </w:rPr>
        <w:t xml:space="preserve"> una remuneración </w:t>
      </w:r>
      <w:r w:rsidR="00443777">
        <w:rPr>
          <w:rFonts w:cs="Arial"/>
        </w:rPr>
        <w:t>equivalente</w:t>
      </w:r>
      <w:r w:rsidR="005D13B0">
        <w:rPr>
          <w:rFonts w:cs="Arial"/>
        </w:rPr>
        <w:t xml:space="preserve"> al 4% más IVA mensual sobre lo </w:t>
      </w:r>
      <w:r w:rsidR="00443777">
        <w:rPr>
          <w:rFonts w:cs="Arial"/>
        </w:rPr>
        <w:t>efectivamente</w:t>
      </w:r>
      <w:r w:rsidR="005D13B0">
        <w:rPr>
          <w:rFonts w:cs="Arial"/>
        </w:rPr>
        <w:t xml:space="preserve"> ejecutado, </w:t>
      </w:r>
      <w:r w:rsidR="00443777">
        <w:rPr>
          <w:rFonts w:cs="Arial"/>
        </w:rPr>
        <w:t>entendiéndose</w:t>
      </w:r>
      <w:r w:rsidR="005D13B0">
        <w:rPr>
          <w:rFonts w:cs="Arial"/>
        </w:rPr>
        <w:t xml:space="preserve"> por tal la suma de pagos </w:t>
      </w:r>
      <w:r w:rsidR="00443777">
        <w:rPr>
          <w:rFonts w:cs="Arial"/>
        </w:rPr>
        <w:t>realizados</w:t>
      </w:r>
      <w:r w:rsidR="005D13B0">
        <w:rPr>
          <w:rFonts w:cs="Arial"/>
        </w:rPr>
        <w:t xml:space="preserve"> dentro del mismo mes, del Patrimonio </w:t>
      </w:r>
      <w:proofErr w:type="spellStart"/>
      <w:r w:rsidR="005D13B0">
        <w:rPr>
          <w:rFonts w:cs="Arial"/>
        </w:rPr>
        <w:t>Fideic</w:t>
      </w:r>
      <w:r w:rsidR="00443777">
        <w:rPr>
          <w:rFonts w:cs="Arial"/>
        </w:rPr>
        <w:t>o</w:t>
      </w:r>
      <w:r w:rsidR="005D13B0">
        <w:rPr>
          <w:rFonts w:cs="Arial"/>
        </w:rPr>
        <w:t>miti</w:t>
      </w:r>
      <w:r w:rsidR="00443777">
        <w:rPr>
          <w:rFonts w:cs="Arial"/>
        </w:rPr>
        <w:t>d</w:t>
      </w:r>
      <w:r w:rsidR="005D13B0">
        <w:rPr>
          <w:rFonts w:cs="Arial"/>
        </w:rPr>
        <w:t>o</w:t>
      </w:r>
      <w:proofErr w:type="spellEnd"/>
      <w:r w:rsidR="005D13B0">
        <w:rPr>
          <w:rFonts w:cs="Arial"/>
        </w:rPr>
        <w:t xml:space="preserve">, con un </w:t>
      </w:r>
      <w:r w:rsidR="00443777">
        <w:rPr>
          <w:rFonts w:cs="Arial"/>
        </w:rPr>
        <w:t>mínimo</w:t>
      </w:r>
      <w:r w:rsidR="005D13B0">
        <w:rPr>
          <w:rFonts w:cs="Arial"/>
        </w:rPr>
        <w:t xml:space="preserve"> de $ 25.000 mensuales </w:t>
      </w:r>
      <w:r w:rsidR="00443777">
        <w:rPr>
          <w:rFonts w:cs="Arial"/>
        </w:rPr>
        <w:t>más</w:t>
      </w:r>
      <w:r w:rsidR="005D13B0">
        <w:rPr>
          <w:rFonts w:cs="Arial"/>
        </w:rPr>
        <w:t xml:space="preserve"> IVA </w:t>
      </w:r>
      <w:r w:rsidR="00443777">
        <w:rPr>
          <w:rFonts w:cs="Arial"/>
        </w:rPr>
        <w:t>actualizable</w:t>
      </w:r>
      <w:r w:rsidR="005D13B0">
        <w:rPr>
          <w:rFonts w:cs="Arial"/>
        </w:rPr>
        <w:t xml:space="preserve"> anualmente por IPC, el honorario se facturará </w:t>
      </w:r>
      <w:r w:rsidR="00443777">
        <w:rPr>
          <w:rFonts w:cs="Arial"/>
        </w:rPr>
        <w:t>mensualmente</w:t>
      </w:r>
      <w:r w:rsidR="005D13B0">
        <w:rPr>
          <w:rFonts w:cs="Arial"/>
        </w:rPr>
        <w:t xml:space="preserve"> en moneda nacional, sobre los fondos ejecutados en el periodo considerado;</w:t>
      </w:r>
    </w:p>
    <w:p w:rsidR="00023639" w:rsidRDefault="00443777" w:rsidP="005D13B0">
      <w:pPr>
        <w:spacing w:line="360" w:lineRule="auto"/>
        <w:jc w:val="both"/>
        <w:rPr>
          <w:rFonts w:cs="Arial"/>
        </w:rPr>
      </w:pPr>
      <w:r w:rsidRPr="00707C8D">
        <w:rPr>
          <w:rFonts w:cs="Arial"/>
          <w:b/>
        </w:rPr>
        <w:t xml:space="preserve">                            </w:t>
      </w:r>
      <w:r w:rsidR="00D30309">
        <w:rPr>
          <w:rFonts w:cs="Arial"/>
          <w:b/>
        </w:rPr>
        <w:t xml:space="preserve">                 </w:t>
      </w:r>
      <w:r w:rsidR="00D5139C">
        <w:rPr>
          <w:rFonts w:cs="Arial"/>
          <w:b/>
        </w:rPr>
        <w:t>10</w:t>
      </w:r>
      <w:r w:rsidR="00023639" w:rsidRPr="00707C8D">
        <w:rPr>
          <w:rFonts w:cs="Arial"/>
          <w:b/>
        </w:rPr>
        <w:t>)</w:t>
      </w:r>
      <w:r w:rsidR="00023639">
        <w:rPr>
          <w:rFonts w:cs="Arial"/>
        </w:rPr>
        <w:t xml:space="preserve"> que </w:t>
      </w:r>
      <w:r w:rsidR="007B1A9B">
        <w:rPr>
          <w:rFonts w:cs="Arial"/>
        </w:rPr>
        <w:t xml:space="preserve">se pacta que </w:t>
      </w:r>
      <w:r w:rsidR="00023639">
        <w:rPr>
          <w:rFonts w:cs="Arial"/>
        </w:rPr>
        <w:t>si los Fideicomitentes desearan colocar los fondos ociosos de acuerdo al programa de desembolsos en los instrumentos financieros disponibles en plaza, la CND cobrar</w:t>
      </w:r>
      <w:r w:rsidR="00707C8D">
        <w:rPr>
          <w:rFonts w:cs="Arial"/>
        </w:rPr>
        <w:t>á</w:t>
      </w:r>
      <w:r w:rsidR="00023639">
        <w:rPr>
          <w:rFonts w:cs="Arial"/>
        </w:rPr>
        <w:t xml:space="preserve"> un 20 % más IVA de la rentabilidad neta obtenida en las colocaciones </w:t>
      </w:r>
      <w:r w:rsidR="00FF043F">
        <w:rPr>
          <w:rFonts w:cs="Arial"/>
        </w:rPr>
        <w:t>financieras</w:t>
      </w:r>
      <w:r w:rsidR="00023639">
        <w:rPr>
          <w:rFonts w:cs="Arial"/>
        </w:rPr>
        <w:t xml:space="preserve"> realizadas. Adicionalmente, la Fiduciaria tendrá derecho a </w:t>
      </w:r>
      <w:r w:rsidR="00FF043F">
        <w:rPr>
          <w:rFonts w:cs="Arial"/>
        </w:rPr>
        <w:t>percibir</w:t>
      </w:r>
      <w:r w:rsidR="00023639">
        <w:rPr>
          <w:rFonts w:cs="Arial"/>
        </w:rPr>
        <w:t xml:space="preserve"> una comisión </w:t>
      </w:r>
      <w:r w:rsidR="00FF043F">
        <w:rPr>
          <w:rFonts w:cs="Arial"/>
        </w:rPr>
        <w:t>inicial</w:t>
      </w:r>
      <w:r w:rsidR="00023639">
        <w:rPr>
          <w:rFonts w:cs="Arial"/>
        </w:rPr>
        <w:t xml:space="preserve"> y por única vez de </w:t>
      </w:r>
      <w:r w:rsidR="00FF043F">
        <w:rPr>
          <w:rFonts w:cs="Arial"/>
        </w:rPr>
        <w:t>estructuración</w:t>
      </w:r>
      <w:r w:rsidR="00023639">
        <w:rPr>
          <w:rFonts w:cs="Arial"/>
        </w:rPr>
        <w:t xml:space="preserve"> de $ 75.000 más IVA, en comp</w:t>
      </w:r>
      <w:r w:rsidR="00FF043F">
        <w:rPr>
          <w:rFonts w:cs="Arial"/>
        </w:rPr>
        <w:t>en</w:t>
      </w:r>
      <w:r w:rsidR="00023639">
        <w:rPr>
          <w:rFonts w:cs="Arial"/>
        </w:rPr>
        <w:t>sa</w:t>
      </w:r>
      <w:r w:rsidR="00FF043F">
        <w:rPr>
          <w:rFonts w:cs="Arial"/>
        </w:rPr>
        <w:t>ció</w:t>
      </w:r>
      <w:r w:rsidR="00023639">
        <w:rPr>
          <w:rFonts w:cs="Arial"/>
        </w:rPr>
        <w:t xml:space="preserve">n de todos los gastos incurridos previamente. A toda remuneración, sea mensual, fija y/o variable, </w:t>
      </w:r>
      <w:r w:rsidR="00FF043F">
        <w:rPr>
          <w:rFonts w:cs="Arial"/>
        </w:rPr>
        <w:t>deberá</w:t>
      </w:r>
      <w:r w:rsidR="00023639">
        <w:rPr>
          <w:rFonts w:cs="Arial"/>
        </w:rPr>
        <w:t xml:space="preserve"> agregársele el </w:t>
      </w:r>
      <w:r w:rsidR="00FF043F">
        <w:rPr>
          <w:rFonts w:cs="Arial"/>
        </w:rPr>
        <w:t>correspondiente</w:t>
      </w:r>
      <w:r w:rsidR="00023639">
        <w:rPr>
          <w:rFonts w:cs="Arial"/>
        </w:rPr>
        <w:t xml:space="preserve"> </w:t>
      </w:r>
      <w:r w:rsidR="00FF043F">
        <w:rPr>
          <w:rFonts w:cs="Arial"/>
        </w:rPr>
        <w:t>impuesto</w:t>
      </w:r>
      <w:r w:rsidR="00023639">
        <w:rPr>
          <w:rFonts w:cs="Arial"/>
        </w:rPr>
        <w:t xml:space="preserve"> al valor agregado y cualquier otro tributo que se </w:t>
      </w:r>
      <w:r w:rsidR="00023639">
        <w:rPr>
          <w:rFonts w:cs="Arial"/>
        </w:rPr>
        <w:lastRenderedPageBreak/>
        <w:t xml:space="preserve">imponga sobre los bienes </w:t>
      </w:r>
      <w:proofErr w:type="spellStart"/>
      <w:r w:rsidR="00023639">
        <w:rPr>
          <w:rFonts w:cs="Arial"/>
        </w:rPr>
        <w:t>fideic</w:t>
      </w:r>
      <w:r w:rsidR="00FF043F">
        <w:rPr>
          <w:rFonts w:cs="Arial"/>
        </w:rPr>
        <w:t>o</w:t>
      </w:r>
      <w:r w:rsidR="00023639">
        <w:rPr>
          <w:rFonts w:cs="Arial"/>
        </w:rPr>
        <w:t>mitidos</w:t>
      </w:r>
      <w:proofErr w:type="spellEnd"/>
      <w:r w:rsidR="00023639">
        <w:rPr>
          <w:rFonts w:cs="Arial"/>
        </w:rPr>
        <w:t xml:space="preserve"> y el producido de ellos, sobre los que la </w:t>
      </w:r>
      <w:r w:rsidR="00FF043F">
        <w:rPr>
          <w:rFonts w:cs="Arial"/>
        </w:rPr>
        <w:t>Fiduciaria</w:t>
      </w:r>
      <w:r w:rsidR="00023639">
        <w:rPr>
          <w:rFonts w:cs="Arial"/>
        </w:rPr>
        <w:t xml:space="preserve"> tendrá </w:t>
      </w:r>
      <w:r w:rsidR="00FF043F">
        <w:rPr>
          <w:rFonts w:cs="Arial"/>
        </w:rPr>
        <w:t>prioridad</w:t>
      </w:r>
      <w:r w:rsidR="00023639">
        <w:rPr>
          <w:rFonts w:cs="Arial"/>
        </w:rPr>
        <w:t xml:space="preserve"> en la distribución del flujo de fo</w:t>
      </w:r>
      <w:r w:rsidR="00FF043F">
        <w:rPr>
          <w:rFonts w:cs="Arial"/>
        </w:rPr>
        <w:t>n</w:t>
      </w:r>
      <w:r w:rsidR="00023639">
        <w:rPr>
          <w:rFonts w:cs="Arial"/>
        </w:rPr>
        <w:t>dos;</w:t>
      </w:r>
    </w:p>
    <w:p w:rsidR="00023639" w:rsidRDefault="00443777" w:rsidP="005D13B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</w:t>
      </w:r>
      <w:r w:rsidR="00707C8D">
        <w:rPr>
          <w:rFonts w:cs="Arial"/>
        </w:rPr>
        <w:t xml:space="preserve">                  </w:t>
      </w:r>
      <w:r>
        <w:rPr>
          <w:rFonts w:cs="Arial"/>
        </w:rPr>
        <w:t xml:space="preserve"> </w:t>
      </w:r>
      <w:r w:rsidR="00D30309">
        <w:rPr>
          <w:rFonts w:cs="Arial"/>
        </w:rPr>
        <w:t xml:space="preserve">                  </w:t>
      </w:r>
      <w:r w:rsidR="00D5139C">
        <w:rPr>
          <w:rFonts w:cs="Arial"/>
          <w:b/>
        </w:rPr>
        <w:t>11</w:t>
      </w:r>
      <w:r w:rsidR="00023639" w:rsidRPr="00707C8D">
        <w:rPr>
          <w:rFonts w:cs="Arial"/>
          <w:b/>
        </w:rPr>
        <w:t>)</w:t>
      </w:r>
      <w:r w:rsidR="00023639">
        <w:rPr>
          <w:rFonts w:cs="Arial"/>
        </w:rPr>
        <w:t xml:space="preserve"> que </w:t>
      </w:r>
      <w:r w:rsidR="007B1A9B">
        <w:rPr>
          <w:rFonts w:cs="Arial"/>
        </w:rPr>
        <w:t xml:space="preserve">asimismo </w:t>
      </w:r>
      <w:r w:rsidR="00023639">
        <w:rPr>
          <w:rFonts w:cs="Arial"/>
        </w:rPr>
        <w:t xml:space="preserve">se establece que el plazo de vigencia del  contrato de </w:t>
      </w:r>
      <w:r w:rsidR="00FF043F">
        <w:rPr>
          <w:rFonts w:cs="Arial"/>
        </w:rPr>
        <w:t>fideicomiso</w:t>
      </w:r>
      <w:r w:rsidR="00023639">
        <w:rPr>
          <w:rFonts w:cs="Arial"/>
        </w:rPr>
        <w:t xml:space="preserve"> es de 4 años contados desde su celebración, </w:t>
      </w:r>
      <w:r w:rsidR="00FF043F">
        <w:rPr>
          <w:rFonts w:cs="Arial"/>
        </w:rPr>
        <w:t>renovable</w:t>
      </w:r>
      <w:r w:rsidR="00023639">
        <w:rPr>
          <w:rFonts w:cs="Arial"/>
        </w:rPr>
        <w:t xml:space="preserve"> automáticamente por </w:t>
      </w:r>
      <w:r w:rsidR="00FF043F">
        <w:rPr>
          <w:rFonts w:cs="Arial"/>
        </w:rPr>
        <w:t>períodos</w:t>
      </w:r>
      <w:r w:rsidR="00023639">
        <w:rPr>
          <w:rFonts w:cs="Arial"/>
        </w:rPr>
        <w:t xml:space="preserve"> iguales con un máximo de 30 años. Sin perjuicio de ello, el </w:t>
      </w:r>
      <w:r w:rsidR="00FF043F">
        <w:rPr>
          <w:rFonts w:cs="Arial"/>
        </w:rPr>
        <w:t>Fideicomiso</w:t>
      </w:r>
      <w:r w:rsidR="00023639">
        <w:rPr>
          <w:rFonts w:cs="Arial"/>
        </w:rPr>
        <w:t xml:space="preserve"> podrá extinguirse en forma </w:t>
      </w:r>
      <w:r w:rsidR="00FF043F">
        <w:rPr>
          <w:rFonts w:cs="Arial"/>
        </w:rPr>
        <w:t>anticipada</w:t>
      </w:r>
      <w:r w:rsidR="00023639">
        <w:rPr>
          <w:rFonts w:cs="Arial"/>
        </w:rPr>
        <w:t xml:space="preserve"> por l</w:t>
      </w:r>
      <w:r w:rsidR="00FF043F">
        <w:rPr>
          <w:rFonts w:cs="Arial"/>
        </w:rPr>
        <w:t>a</w:t>
      </w:r>
      <w:r w:rsidR="00023639">
        <w:rPr>
          <w:rFonts w:cs="Arial"/>
        </w:rPr>
        <w:t xml:space="preserve"> imposibilidad absoluta del </w:t>
      </w:r>
      <w:r w:rsidR="00FF043F">
        <w:rPr>
          <w:rFonts w:cs="Arial"/>
        </w:rPr>
        <w:t>cumplimiento</w:t>
      </w:r>
      <w:r w:rsidR="00023639">
        <w:rPr>
          <w:rFonts w:cs="Arial"/>
        </w:rPr>
        <w:t xml:space="preserve"> de los fines para el cual fue constituido;</w:t>
      </w:r>
    </w:p>
    <w:p w:rsidR="00023639" w:rsidRDefault="00707C8D" w:rsidP="005D13B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</w:t>
      </w:r>
      <w:r w:rsidR="00D30309">
        <w:rPr>
          <w:rFonts w:cs="Arial"/>
        </w:rPr>
        <w:t xml:space="preserve">                   </w:t>
      </w:r>
      <w:r w:rsidR="00D5139C">
        <w:rPr>
          <w:rFonts w:cs="Arial"/>
          <w:b/>
        </w:rPr>
        <w:t>12</w:t>
      </w:r>
      <w:r w:rsidR="00023639" w:rsidRPr="00707C8D">
        <w:rPr>
          <w:rFonts w:cs="Arial"/>
          <w:b/>
        </w:rPr>
        <w:t>)</w:t>
      </w:r>
      <w:r w:rsidR="00023639">
        <w:rPr>
          <w:rFonts w:cs="Arial"/>
        </w:rPr>
        <w:t xml:space="preserve"> que se adjunta Resolución Nº 1050/18 del 2/10/18 dictada por el MIDES por la cual se autoriza la </w:t>
      </w:r>
      <w:r w:rsidR="00FF043F">
        <w:rPr>
          <w:rFonts w:cs="Arial"/>
        </w:rPr>
        <w:t>suscripción</w:t>
      </w:r>
      <w:r w:rsidR="00023639">
        <w:rPr>
          <w:rFonts w:cs="Arial"/>
        </w:rPr>
        <w:t xml:space="preserve"> del contrato de fideicomiso referido</w:t>
      </w:r>
      <w:r w:rsidR="001E76E4">
        <w:rPr>
          <w:rFonts w:cs="Arial"/>
        </w:rPr>
        <w:t>;</w:t>
      </w:r>
    </w:p>
    <w:p w:rsidR="001E76E4" w:rsidRDefault="00707C8D" w:rsidP="001E76E4">
      <w:pPr>
        <w:tabs>
          <w:tab w:val="left" w:pos="1843"/>
        </w:tabs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                          </w:t>
      </w:r>
      <w:r w:rsidR="007B1A9B">
        <w:rPr>
          <w:rFonts w:cs="Arial"/>
          <w:b/>
        </w:rPr>
        <w:t xml:space="preserve"> </w:t>
      </w:r>
      <w:r w:rsidR="00D30309">
        <w:rPr>
          <w:rFonts w:cs="Arial"/>
          <w:b/>
        </w:rPr>
        <w:t xml:space="preserve">                   </w:t>
      </w:r>
      <w:r w:rsidR="001E76E4" w:rsidRPr="007744E7">
        <w:rPr>
          <w:rFonts w:cs="Arial"/>
          <w:b/>
        </w:rPr>
        <w:t>1</w:t>
      </w:r>
      <w:r w:rsidR="00D5139C">
        <w:rPr>
          <w:rFonts w:cs="Arial"/>
          <w:b/>
        </w:rPr>
        <w:t>3</w:t>
      </w:r>
      <w:r w:rsidR="001E76E4" w:rsidRPr="007744E7">
        <w:rPr>
          <w:rFonts w:cs="Arial"/>
          <w:b/>
        </w:rPr>
        <w:t>)</w:t>
      </w:r>
      <w:r w:rsidR="001E76E4">
        <w:rPr>
          <w:rFonts w:cs="Arial"/>
        </w:rPr>
        <w:t xml:space="preserve"> que </w:t>
      </w:r>
      <w:r w:rsidR="007B1A9B">
        <w:rPr>
          <w:rFonts w:cs="Arial"/>
        </w:rPr>
        <w:t xml:space="preserve">por su </w:t>
      </w:r>
      <w:r w:rsidR="001D6DCE">
        <w:rPr>
          <w:rFonts w:cs="Arial"/>
        </w:rPr>
        <w:t xml:space="preserve">parte, se </w:t>
      </w:r>
      <w:r w:rsidR="007B1A9B">
        <w:rPr>
          <w:rFonts w:cs="Arial"/>
        </w:rPr>
        <w:t>agrega</w:t>
      </w:r>
      <w:r w:rsidR="001D6DCE">
        <w:rPr>
          <w:rFonts w:cs="Arial"/>
        </w:rPr>
        <w:t>n</w:t>
      </w:r>
      <w:r w:rsidR="001E76E4">
        <w:rPr>
          <w:rFonts w:cs="Arial"/>
        </w:rPr>
        <w:t xml:space="preserve"> documentos de afectación y compromiso Nº 001024 de fecha</w:t>
      </w:r>
      <w:r w:rsidR="001D6DCE">
        <w:rPr>
          <w:rFonts w:cs="Arial"/>
        </w:rPr>
        <w:t>s</w:t>
      </w:r>
      <w:r w:rsidR="001E76E4">
        <w:rPr>
          <w:rFonts w:cs="Arial"/>
        </w:rPr>
        <w:t xml:space="preserve"> 18/9/18 y 26/10718 respectivamente</w:t>
      </w:r>
      <w:r w:rsidR="001D6DCE">
        <w:rPr>
          <w:rFonts w:cs="Arial"/>
        </w:rPr>
        <w:t>,</w:t>
      </w:r>
      <w:r w:rsidR="001E76E4">
        <w:rPr>
          <w:rFonts w:cs="Arial"/>
        </w:rPr>
        <w:t xml:space="preserve"> por la suma de $ 106.750, con cargo al Programa 401, Proyecto 104, Objeto del Gasto 554,</w:t>
      </w:r>
      <w:r w:rsidR="001E76E4" w:rsidRPr="001E76E4">
        <w:rPr>
          <w:rFonts w:cs="Arial"/>
        </w:rPr>
        <w:t xml:space="preserve"> </w:t>
      </w:r>
      <w:r w:rsidR="001E76E4">
        <w:rPr>
          <w:rFonts w:cs="Arial"/>
        </w:rPr>
        <w:t xml:space="preserve"> Unidad Ejecutoria 002  del Inciso 15</w:t>
      </w:r>
      <w:r w:rsidR="007B1A9B">
        <w:rPr>
          <w:rFonts w:cs="Arial"/>
        </w:rPr>
        <w:t>, Financiamiento 1.1</w:t>
      </w:r>
      <w:r w:rsidR="001E76E4">
        <w:rPr>
          <w:rFonts w:cs="Arial"/>
        </w:rPr>
        <w:t xml:space="preserve">; </w:t>
      </w:r>
    </w:p>
    <w:p w:rsidR="00340890" w:rsidRDefault="007B1A9B" w:rsidP="00340890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                          </w:t>
      </w:r>
      <w:r w:rsidR="00D30309">
        <w:rPr>
          <w:rFonts w:cs="Arial"/>
          <w:b/>
        </w:rPr>
        <w:t xml:space="preserve">                    </w:t>
      </w:r>
      <w:r w:rsidR="00340890" w:rsidRPr="001F4A5C">
        <w:rPr>
          <w:rFonts w:cs="Arial"/>
          <w:b/>
        </w:rPr>
        <w:t>1</w:t>
      </w:r>
      <w:r w:rsidR="00D5139C">
        <w:rPr>
          <w:rFonts w:cs="Arial"/>
          <w:b/>
        </w:rPr>
        <w:t>4</w:t>
      </w:r>
      <w:r w:rsidR="00340890" w:rsidRPr="001F4A5C">
        <w:rPr>
          <w:rFonts w:cs="Arial"/>
          <w:b/>
        </w:rPr>
        <w:t>)</w:t>
      </w:r>
      <w:r w:rsidR="00340890">
        <w:rPr>
          <w:rFonts w:cs="Arial"/>
        </w:rPr>
        <w:t xml:space="preserve"> que por nota de Contadora Auditora destacada del Tribunal ante el Ministerio de Desarrollo Social, de fecha </w:t>
      </w:r>
      <w:r>
        <w:rPr>
          <w:rFonts w:cs="Arial"/>
        </w:rPr>
        <w:t>6</w:t>
      </w:r>
      <w:r w:rsidR="00340890">
        <w:rPr>
          <w:rFonts w:cs="Arial"/>
        </w:rPr>
        <w:t xml:space="preserve"> de noviembre de 201</w:t>
      </w:r>
      <w:r>
        <w:rPr>
          <w:rFonts w:cs="Arial"/>
        </w:rPr>
        <w:t>8</w:t>
      </w:r>
      <w:r w:rsidR="00340890">
        <w:rPr>
          <w:rFonts w:cs="Arial"/>
        </w:rPr>
        <w:t>, solicitó la remisión de los antecedentes a este Tribunal, dado que se trata de un contrato de fideicomiso</w:t>
      </w:r>
    </w:p>
    <w:p w:rsidR="00154E6C" w:rsidRPr="00D30309" w:rsidRDefault="005D13B0" w:rsidP="00D30309">
      <w:pPr>
        <w:spacing w:line="360" w:lineRule="auto"/>
        <w:ind w:firstLine="709"/>
        <w:jc w:val="both"/>
        <w:rPr>
          <w:rFonts w:cs="Arial"/>
          <w:bCs/>
        </w:rPr>
      </w:pPr>
      <w:r>
        <w:rPr>
          <w:rFonts w:cs="Arial"/>
          <w:b/>
        </w:rPr>
        <w:t xml:space="preserve">CONSIDERANDO: </w:t>
      </w:r>
      <w:r>
        <w:rPr>
          <w:rFonts w:cs="Arial"/>
          <w:b/>
        </w:rPr>
        <w:tab/>
      </w:r>
      <w:r w:rsidR="00154E6C">
        <w:rPr>
          <w:rFonts w:cs="Arial"/>
          <w:b/>
          <w:bCs/>
        </w:rPr>
        <w:t>1</w:t>
      </w:r>
      <w:r w:rsidR="00154E6C" w:rsidRPr="00F356FE">
        <w:rPr>
          <w:rFonts w:cs="Arial"/>
          <w:b/>
          <w:bCs/>
        </w:rPr>
        <w:t>)</w:t>
      </w:r>
      <w:r w:rsidR="00154E6C" w:rsidRPr="00F356FE">
        <w:rPr>
          <w:rFonts w:cs="Arial"/>
          <w:bCs/>
        </w:rPr>
        <w:t xml:space="preserve"> que el art</w:t>
      </w:r>
      <w:r w:rsidR="00154E6C">
        <w:rPr>
          <w:rFonts w:cs="Arial"/>
          <w:bCs/>
        </w:rPr>
        <w:t>ículo</w:t>
      </w:r>
      <w:r w:rsidR="00154E6C" w:rsidRPr="00F356FE">
        <w:rPr>
          <w:rFonts w:cs="Arial"/>
          <w:bCs/>
        </w:rPr>
        <w:t xml:space="preserve"> 1 de la </w:t>
      </w:r>
      <w:r w:rsidR="007B1A9B">
        <w:rPr>
          <w:rFonts w:cs="Arial"/>
          <w:bCs/>
        </w:rPr>
        <w:t>L</w:t>
      </w:r>
      <w:r w:rsidR="00154E6C" w:rsidRPr="00F356FE">
        <w:rPr>
          <w:rFonts w:cs="Arial"/>
          <w:bCs/>
        </w:rPr>
        <w:t>ey Nº  17.703  de 27</w:t>
      </w:r>
      <w:r w:rsidR="007B1A9B">
        <w:rPr>
          <w:rFonts w:cs="Arial"/>
          <w:bCs/>
        </w:rPr>
        <w:t xml:space="preserve"> de Octubre del 2003</w:t>
      </w:r>
      <w:r w:rsidR="00154E6C" w:rsidRPr="00F356FE">
        <w:rPr>
          <w:rFonts w:cs="Arial"/>
          <w:bCs/>
        </w:rPr>
        <w:t xml:space="preserve">, define al fideicomiso </w:t>
      </w:r>
      <w:r w:rsidR="00154E6C" w:rsidRPr="00D30309">
        <w:rPr>
          <w:rFonts w:cs="Arial"/>
          <w:bCs/>
        </w:rPr>
        <w:t>“como el negocio jurídico por medio del cual se constituye la propiedad fiduciaria de un conjunto de derechos de propiedad u otros derechos reales o personales que son transmitidos por el fideicomitente al fiduciario para que los administre o ejerza de conformidad con las instrucciones contenidas en el fideicomiso, en beneficio de una persona (beneficiario) que es designada en el mismo, y la restituya al cumplimiento del plazo o condición al fideicomitente o la transmita al beneficiario”;</w:t>
      </w:r>
    </w:p>
    <w:p w:rsidR="00154E6C" w:rsidRDefault="00154E6C" w:rsidP="00154E6C">
      <w:pPr>
        <w:spacing w:line="360" w:lineRule="auto"/>
        <w:ind w:firstLine="708"/>
        <w:jc w:val="both"/>
        <w:rPr>
          <w:rFonts w:cs="Arial"/>
          <w:bCs/>
          <w:highlight w:val="yellow"/>
        </w:rPr>
      </w:pPr>
      <w:r>
        <w:rPr>
          <w:rFonts w:cs="Arial"/>
          <w:b/>
          <w:bCs/>
        </w:rPr>
        <w:lastRenderedPageBreak/>
        <w:t xml:space="preserve">                          </w:t>
      </w:r>
      <w:r w:rsidR="00D30309">
        <w:rPr>
          <w:rFonts w:cs="Arial"/>
          <w:b/>
          <w:bCs/>
        </w:rPr>
        <w:t xml:space="preserve">      </w:t>
      </w:r>
      <w:r>
        <w:rPr>
          <w:rFonts w:cs="Arial"/>
          <w:b/>
          <w:bCs/>
        </w:rPr>
        <w:t>2</w:t>
      </w:r>
      <w:r w:rsidRPr="00F356FE">
        <w:rPr>
          <w:rFonts w:cs="Arial"/>
          <w:b/>
          <w:bCs/>
        </w:rPr>
        <w:t>)</w:t>
      </w:r>
      <w:r w:rsidRPr="00F356FE">
        <w:rPr>
          <w:rFonts w:cs="Arial"/>
          <w:bCs/>
        </w:rPr>
        <w:t xml:space="preserve"> que la ley citada en el numeral anterior establece que los bienes y derechos </w:t>
      </w:r>
      <w:proofErr w:type="spellStart"/>
      <w:r w:rsidRPr="00F356FE">
        <w:rPr>
          <w:rFonts w:cs="Arial"/>
          <w:bCs/>
        </w:rPr>
        <w:t>fideicomitidos</w:t>
      </w:r>
      <w:proofErr w:type="spellEnd"/>
      <w:r w:rsidRPr="00F356FE">
        <w:rPr>
          <w:rFonts w:cs="Arial"/>
          <w:bCs/>
        </w:rPr>
        <w:t xml:space="preserve"> constituyen un patrimonio de afectación, separado e independiente de los patrimonios del </w:t>
      </w:r>
      <w:r>
        <w:rPr>
          <w:rFonts w:cs="Arial"/>
          <w:bCs/>
        </w:rPr>
        <w:t>F</w:t>
      </w:r>
      <w:r w:rsidRPr="00F356FE">
        <w:rPr>
          <w:rFonts w:cs="Arial"/>
          <w:bCs/>
        </w:rPr>
        <w:t xml:space="preserve">ideicomitente, del </w:t>
      </w:r>
      <w:r>
        <w:rPr>
          <w:rFonts w:cs="Arial"/>
          <w:bCs/>
        </w:rPr>
        <w:t>F</w:t>
      </w:r>
      <w:r w:rsidRPr="00F356FE">
        <w:rPr>
          <w:rFonts w:cs="Arial"/>
          <w:bCs/>
        </w:rPr>
        <w:t>iduciario y del beneficiario (art. 6º). En ese sentido el fideicomiso es título hábil para producir la transferencia de la propiedad o la titularidad de los derechos reales o personales que constituyen su objeto (art. 2)</w:t>
      </w:r>
      <w:r>
        <w:rPr>
          <w:rFonts w:cs="Arial"/>
          <w:bCs/>
        </w:rPr>
        <w:t>;</w:t>
      </w:r>
    </w:p>
    <w:p w:rsidR="005D13B0" w:rsidRPr="00D30309" w:rsidRDefault="00154E6C" w:rsidP="005D13B0">
      <w:pPr>
        <w:pStyle w:val="Textoindependiente2"/>
        <w:rPr>
          <w:rFonts w:cs="Arial"/>
          <w:bCs/>
        </w:rPr>
      </w:pPr>
      <w:r>
        <w:rPr>
          <w:rFonts w:cs="Arial"/>
          <w:b/>
        </w:rPr>
        <w:t xml:space="preserve">                                      </w:t>
      </w:r>
      <w:r w:rsidR="00D30309">
        <w:rPr>
          <w:rFonts w:cs="Arial"/>
          <w:b/>
        </w:rPr>
        <w:t xml:space="preserve">     </w:t>
      </w:r>
      <w:r>
        <w:rPr>
          <w:rFonts w:cs="Arial"/>
          <w:b/>
        </w:rPr>
        <w:t>3</w:t>
      </w:r>
      <w:r w:rsidR="005D13B0">
        <w:rPr>
          <w:rFonts w:cs="Arial"/>
          <w:b/>
        </w:rPr>
        <w:t xml:space="preserve">) </w:t>
      </w:r>
      <w:r w:rsidR="005D13B0" w:rsidRPr="002C0107">
        <w:rPr>
          <w:rFonts w:cs="Arial"/>
          <w:bCs/>
        </w:rPr>
        <w:t xml:space="preserve">que en virtud de lo dispuesto por el literal B) </w:t>
      </w:r>
      <w:r w:rsidR="005D13B0">
        <w:rPr>
          <w:rFonts w:cs="Arial"/>
          <w:bCs/>
        </w:rPr>
        <w:t>del a</w:t>
      </w:r>
      <w:r w:rsidR="005D13B0" w:rsidRPr="002C0107">
        <w:rPr>
          <w:rFonts w:cs="Arial"/>
          <w:bCs/>
        </w:rPr>
        <w:t xml:space="preserve">rt. 9 de la </w:t>
      </w:r>
      <w:r w:rsidR="005D13B0">
        <w:rPr>
          <w:rFonts w:cs="Arial"/>
          <w:bCs/>
        </w:rPr>
        <w:t>L</w:t>
      </w:r>
      <w:r w:rsidR="005D13B0" w:rsidRPr="002C0107">
        <w:rPr>
          <w:rFonts w:cs="Arial"/>
          <w:bCs/>
        </w:rPr>
        <w:t xml:space="preserve">ey </w:t>
      </w:r>
      <w:r w:rsidR="005D13B0">
        <w:rPr>
          <w:rFonts w:cs="Arial"/>
          <w:bCs/>
        </w:rPr>
        <w:t xml:space="preserve">Nº </w:t>
      </w:r>
      <w:r w:rsidR="005D13B0" w:rsidRPr="002C0107">
        <w:rPr>
          <w:rFonts w:cs="Arial"/>
          <w:bCs/>
        </w:rPr>
        <w:t>17.866</w:t>
      </w:r>
      <w:r w:rsidR="007B1A9B">
        <w:rPr>
          <w:rFonts w:cs="Arial"/>
          <w:bCs/>
        </w:rPr>
        <w:t xml:space="preserve"> del 21 de marzo del 2005</w:t>
      </w:r>
      <w:r w:rsidR="005D13B0" w:rsidRPr="002C0107">
        <w:rPr>
          <w:rFonts w:cs="Arial"/>
          <w:bCs/>
        </w:rPr>
        <w:t xml:space="preserve">, al Ministerio de Desarrollo Social le compete </w:t>
      </w:r>
      <w:r w:rsidR="005D13B0" w:rsidRPr="00D30309">
        <w:rPr>
          <w:rFonts w:cs="Arial"/>
          <w:bCs/>
        </w:rPr>
        <w:t>“formular, ejecutar, supervisar, coordinar, programar, dar seguimiento y evaluar las políticas, estrategias y planes en las áreas de juventud, mujer y familia, adultos mayores, discapacitados y desarrollo social en general”;</w:t>
      </w:r>
    </w:p>
    <w:p w:rsidR="005D13B0" w:rsidRPr="00D30309" w:rsidRDefault="005D13B0" w:rsidP="005D13B0">
      <w:pPr>
        <w:pStyle w:val="Textoindependiente2"/>
        <w:tabs>
          <w:tab w:val="left" w:pos="2127"/>
        </w:tabs>
        <w:rPr>
          <w:rFonts w:cs="Arial"/>
        </w:rPr>
      </w:pPr>
      <w:r>
        <w:rPr>
          <w:rFonts w:cs="Arial"/>
          <w:bCs/>
        </w:rPr>
        <w:tab/>
      </w:r>
      <w:r w:rsidR="00154E6C">
        <w:rPr>
          <w:rFonts w:cs="Arial"/>
          <w:bCs/>
        </w:rPr>
        <w:t xml:space="preserve">   </w:t>
      </w:r>
      <w:r w:rsidR="00D30309">
        <w:rPr>
          <w:rFonts w:cs="Arial"/>
          <w:bCs/>
        </w:rPr>
        <w:t xml:space="preserve">            </w:t>
      </w:r>
      <w:r w:rsidR="00154E6C">
        <w:rPr>
          <w:rFonts w:cs="Arial"/>
          <w:b/>
          <w:bCs/>
        </w:rPr>
        <w:t>4</w:t>
      </w:r>
      <w:r w:rsidRPr="00674CA3">
        <w:rPr>
          <w:rFonts w:cs="Arial"/>
          <w:b/>
          <w:bCs/>
        </w:rPr>
        <w:t>)</w:t>
      </w:r>
      <w:r>
        <w:rPr>
          <w:rFonts w:cs="Arial"/>
          <w:bCs/>
        </w:rPr>
        <w:t xml:space="preserve"> que de acuerdo a lo dispuesto por el </w:t>
      </w:r>
      <w:proofErr w:type="spellStart"/>
      <w:r>
        <w:rPr>
          <w:rFonts w:cs="Arial"/>
          <w:bCs/>
        </w:rPr>
        <w:t>num</w:t>
      </w:r>
      <w:proofErr w:type="spellEnd"/>
      <w:r>
        <w:rPr>
          <w:rFonts w:cs="Arial"/>
          <w:bCs/>
        </w:rPr>
        <w:t xml:space="preserve">. 24 </w:t>
      </w:r>
      <w:proofErr w:type="gramStart"/>
      <w:r>
        <w:rPr>
          <w:rFonts w:cs="Arial"/>
          <w:bCs/>
        </w:rPr>
        <w:t>del</w:t>
      </w:r>
      <w:proofErr w:type="gramEnd"/>
      <w:r>
        <w:rPr>
          <w:rFonts w:cs="Arial"/>
          <w:bCs/>
        </w:rPr>
        <w:t xml:space="preserve"> art. 35 de la Ley 9.515, compete a las Intendencias </w:t>
      </w:r>
      <w:r w:rsidRPr="00D30309">
        <w:rPr>
          <w:rFonts w:cs="Arial"/>
          <w:bCs/>
        </w:rPr>
        <w:t>“ejercer la policía higiénica y sanitaria de las poblaciones, sin perjuicio de la competencia que corresponda a las autoridades nacionales y de acuerdo con las leyes que rigen la materia”, participando para ello en “la extracción de basuras domiciliarias y su traslación a puntos convenientes para su destrucción, transformación o incineración” (</w:t>
      </w:r>
      <w:proofErr w:type="spellStart"/>
      <w:r w:rsidRPr="00D30309">
        <w:rPr>
          <w:rFonts w:cs="Arial"/>
          <w:bCs/>
        </w:rPr>
        <w:t>lit.</w:t>
      </w:r>
      <w:proofErr w:type="spellEnd"/>
      <w:r w:rsidRPr="00D30309">
        <w:rPr>
          <w:rFonts w:cs="Arial"/>
          <w:bCs/>
        </w:rPr>
        <w:t xml:space="preserve"> E) del numeral indicado);  </w:t>
      </w:r>
    </w:p>
    <w:p w:rsidR="005D13B0" w:rsidRPr="00D30309" w:rsidRDefault="005D13B0" w:rsidP="005D13B0">
      <w:pPr>
        <w:pStyle w:val="Textoindependiente2"/>
        <w:tabs>
          <w:tab w:val="left" w:pos="2127"/>
        </w:tabs>
        <w:ind w:firstLine="708"/>
      </w:pPr>
      <w:r>
        <w:rPr>
          <w:rFonts w:cs="Arial"/>
          <w:b/>
        </w:rPr>
        <w:tab/>
      </w:r>
      <w:r w:rsidR="00D30309">
        <w:rPr>
          <w:rFonts w:cs="Arial"/>
          <w:b/>
        </w:rPr>
        <w:t xml:space="preserve">               </w:t>
      </w:r>
      <w:r w:rsidR="00154E6C">
        <w:rPr>
          <w:rFonts w:cs="Arial"/>
          <w:b/>
        </w:rPr>
        <w:t>5</w:t>
      </w:r>
      <w:r>
        <w:rPr>
          <w:rFonts w:cs="Arial"/>
          <w:b/>
        </w:rPr>
        <w:t>)</w:t>
      </w:r>
      <w:r>
        <w:rPr>
          <w:rFonts w:cs="Arial"/>
        </w:rPr>
        <w:t xml:space="preserve"> </w:t>
      </w:r>
      <w:r>
        <w:t>que de conformidad con lo establecido en el art. 11 de la Ley 15.785</w:t>
      </w:r>
      <w:r w:rsidR="007B1A9B">
        <w:t xml:space="preserve"> del 4 de diciembre de 1985</w:t>
      </w:r>
      <w:r>
        <w:t>, en la redacción dada por el art. 345 de la Ley Nº 18.996</w:t>
      </w:r>
      <w:r w:rsidR="007B1A9B">
        <w:t xml:space="preserve"> del 7 de noviembre del 2012</w:t>
      </w:r>
      <w:r>
        <w:t xml:space="preserve">, la CND tiene, entre otros, el cometido de </w:t>
      </w:r>
      <w:r w:rsidRPr="00D30309">
        <w:t>“prestar servicios de administración de fondos, de recursos humanos o de administración contable y financiera, siempre y cuando los mismos no puedan ser prestados por otras personas públicas en razón de sus cometidos. La verificación de la condición precedente constará en el acuerdo o en la decisión que determine la prestación de dichos servicios”;</w:t>
      </w:r>
    </w:p>
    <w:p w:rsidR="0088406F" w:rsidRDefault="00154E6C" w:rsidP="00154E6C">
      <w:pPr>
        <w:tabs>
          <w:tab w:val="left" w:pos="2268"/>
        </w:tabs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lang w:val="es-MX"/>
        </w:rPr>
        <w:t xml:space="preserve">                     </w:t>
      </w:r>
      <w:r w:rsidR="00D30309">
        <w:rPr>
          <w:rFonts w:cs="Arial"/>
          <w:b/>
          <w:lang w:val="es-MX"/>
        </w:rPr>
        <w:t xml:space="preserve">              </w:t>
      </w:r>
      <w:r>
        <w:rPr>
          <w:rFonts w:cs="Arial"/>
          <w:b/>
          <w:lang w:val="es-MX"/>
        </w:rPr>
        <w:t>6)</w:t>
      </w:r>
      <w:r>
        <w:rPr>
          <w:rFonts w:cs="Arial"/>
        </w:rPr>
        <w:t xml:space="preserve"> que en virtud de lo expuesto, el </w:t>
      </w:r>
      <w:r w:rsidR="0088406F">
        <w:rPr>
          <w:rFonts w:cs="Arial"/>
        </w:rPr>
        <w:t xml:space="preserve">nuevo </w:t>
      </w:r>
      <w:r>
        <w:rPr>
          <w:rFonts w:cs="Arial"/>
        </w:rPr>
        <w:t xml:space="preserve">contrato </w:t>
      </w:r>
      <w:r w:rsidR="0088406F">
        <w:rPr>
          <w:rFonts w:cs="Arial"/>
        </w:rPr>
        <w:t xml:space="preserve"> de fideicomiso </w:t>
      </w:r>
      <w:r>
        <w:rPr>
          <w:rFonts w:cs="Arial"/>
        </w:rPr>
        <w:t xml:space="preserve">remitido se ajusta desde el punto de vista sustancial  a la </w:t>
      </w:r>
      <w:r>
        <w:rPr>
          <w:rFonts w:cs="Arial"/>
        </w:rPr>
        <w:lastRenderedPageBreak/>
        <w:t>normativa señalada, amparándose  por su parte la selección directa de los contra</w:t>
      </w:r>
      <w:r w:rsidR="0088406F">
        <w:rPr>
          <w:rFonts w:cs="Arial"/>
        </w:rPr>
        <w:t>ta</w:t>
      </w:r>
      <w:r>
        <w:rPr>
          <w:rFonts w:cs="Arial"/>
        </w:rPr>
        <w:t>ntes en la excepción prevista en el literal c) numeral 1 del artículo 33 del TOCAF</w:t>
      </w:r>
      <w:r w:rsidR="0088406F">
        <w:rPr>
          <w:rFonts w:cs="Arial"/>
        </w:rPr>
        <w:t>;</w:t>
      </w:r>
    </w:p>
    <w:p w:rsidR="0088406F" w:rsidRDefault="0088406F" w:rsidP="00154E6C">
      <w:pPr>
        <w:tabs>
          <w:tab w:val="left" w:pos="2268"/>
        </w:tabs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</w:t>
      </w:r>
      <w:r w:rsidR="00926494">
        <w:rPr>
          <w:rFonts w:cs="Arial"/>
        </w:rPr>
        <w:t xml:space="preserve">    </w:t>
      </w:r>
      <w:r w:rsidR="00D30309">
        <w:rPr>
          <w:rFonts w:cs="Arial"/>
        </w:rPr>
        <w:t xml:space="preserve">              </w:t>
      </w:r>
      <w:r w:rsidRPr="00926494">
        <w:rPr>
          <w:rFonts w:cs="Arial"/>
          <w:b/>
        </w:rPr>
        <w:t>7)</w:t>
      </w:r>
      <w:r>
        <w:rPr>
          <w:rFonts w:cs="Arial"/>
        </w:rPr>
        <w:t xml:space="preserve"> que sin perjuicio de ello, en lo que refiere puntualmente  </w:t>
      </w:r>
      <w:r w:rsidR="00926494">
        <w:rPr>
          <w:rFonts w:cs="Arial"/>
        </w:rPr>
        <w:t xml:space="preserve">al gasto </w:t>
      </w:r>
      <w:r w:rsidR="00FF043F">
        <w:rPr>
          <w:rFonts w:cs="Arial"/>
        </w:rPr>
        <w:t>autorizado</w:t>
      </w:r>
      <w:r w:rsidR="00926494">
        <w:rPr>
          <w:rFonts w:cs="Arial"/>
        </w:rPr>
        <w:t xml:space="preserve"> por </w:t>
      </w:r>
      <w:r w:rsidR="00FF043F">
        <w:rPr>
          <w:rFonts w:cs="Arial"/>
        </w:rPr>
        <w:t>Resolución del MIDES Nº 1112/18 del 17 de octubre de 2018</w:t>
      </w:r>
      <w:r w:rsidR="00926494">
        <w:rPr>
          <w:rFonts w:cs="Arial"/>
        </w:rPr>
        <w:t>, co</w:t>
      </w:r>
      <w:r w:rsidR="00DE26A8">
        <w:rPr>
          <w:rFonts w:cs="Arial"/>
        </w:rPr>
        <w:t xml:space="preserve">rrespondiente a la deuda que el MIDES </w:t>
      </w:r>
      <w:r w:rsidR="00926494">
        <w:rPr>
          <w:rFonts w:cs="Arial"/>
        </w:rPr>
        <w:t xml:space="preserve">mantiene con la CND </w:t>
      </w:r>
      <w:r w:rsidR="00DE26A8">
        <w:rPr>
          <w:rFonts w:cs="Arial"/>
        </w:rPr>
        <w:t xml:space="preserve"> </w:t>
      </w:r>
      <w:r w:rsidR="00926494">
        <w:rPr>
          <w:rFonts w:cs="Arial"/>
        </w:rPr>
        <w:t>generada  desde la finalización del plazo del contrato de fideicomiso</w:t>
      </w:r>
      <w:r w:rsidR="0029432F">
        <w:rPr>
          <w:rFonts w:cs="Arial"/>
        </w:rPr>
        <w:t xml:space="preserve"> </w:t>
      </w:r>
      <w:r w:rsidR="00DE26A8">
        <w:rPr>
          <w:rFonts w:cs="Arial"/>
        </w:rPr>
        <w:t xml:space="preserve">celebrado el </w:t>
      </w:r>
      <w:r w:rsidR="0029432F">
        <w:rPr>
          <w:rFonts w:cs="Arial"/>
        </w:rPr>
        <w:t>19 de setiembre de 201</w:t>
      </w:r>
      <w:r w:rsidR="00DE26A8">
        <w:rPr>
          <w:rFonts w:cs="Arial"/>
        </w:rPr>
        <w:t xml:space="preserve">4, corresponde señalar </w:t>
      </w:r>
      <w:r w:rsidR="00926494">
        <w:rPr>
          <w:rFonts w:cs="Arial"/>
        </w:rPr>
        <w:t xml:space="preserve"> </w:t>
      </w:r>
      <w:r w:rsidR="00DE26A8">
        <w:rPr>
          <w:rFonts w:cs="Arial"/>
        </w:rPr>
        <w:t>que el mismo cuenta con principio de ejecución</w:t>
      </w:r>
      <w:r w:rsidR="00465604">
        <w:rPr>
          <w:rFonts w:cs="Arial"/>
        </w:rPr>
        <w:t xml:space="preserve"> en contravención con lo establecido en el </w:t>
      </w:r>
      <w:r w:rsidR="00FF043F">
        <w:rPr>
          <w:rFonts w:cs="Arial"/>
        </w:rPr>
        <w:t>literal</w:t>
      </w:r>
      <w:r w:rsidR="00465604">
        <w:rPr>
          <w:rFonts w:cs="Arial"/>
        </w:rPr>
        <w:t xml:space="preserve"> c) del </w:t>
      </w:r>
      <w:r w:rsidR="00FF043F">
        <w:rPr>
          <w:rFonts w:cs="Arial"/>
        </w:rPr>
        <w:t>artículo</w:t>
      </w:r>
      <w:r w:rsidR="00465604">
        <w:rPr>
          <w:rFonts w:cs="Arial"/>
        </w:rPr>
        <w:t xml:space="preserve"> 211 de la </w:t>
      </w:r>
      <w:r w:rsidR="00FF043F">
        <w:rPr>
          <w:rFonts w:cs="Arial"/>
        </w:rPr>
        <w:t>Constitución</w:t>
      </w:r>
      <w:r w:rsidR="00465604">
        <w:rPr>
          <w:rFonts w:cs="Arial"/>
        </w:rPr>
        <w:t xml:space="preserve"> de la Rep</w:t>
      </w:r>
      <w:r w:rsidR="00D21484">
        <w:rPr>
          <w:rFonts w:cs="Arial"/>
        </w:rPr>
        <w:t>ú</w:t>
      </w:r>
      <w:r w:rsidR="00465604">
        <w:rPr>
          <w:rFonts w:cs="Arial"/>
        </w:rPr>
        <w:t>blica</w:t>
      </w:r>
      <w:r w:rsidR="00D21484">
        <w:rPr>
          <w:rFonts w:cs="Arial"/>
        </w:rPr>
        <w:t>,</w:t>
      </w:r>
      <w:r w:rsidR="00DE26A8">
        <w:rPr>
          <w:rFonts w:cs="Arial"/>
        </w:rPr>
        <w:t xml:space="preserve"> siendo que el mismo </w:t>
      </w:r>
      <w:r w:rsidR="00D21484">
        <w:rPr>
          <w:rFonts w:cs="Arial"/>
        </w:rPr>
        <w:t>corresponde</w:t>
      </w:r>
      <w:r w:rsidR="00DE26A8">
        <w:rPr>
          <w:rFonts w:cs="Arial"/>
        </w:rPr>
        <w:t xml:space="preserve"> al pago de un </w:t>
      </w:r>
      <w:r w:rsidR="00FF043F">
        <w:rPr>
          <w:rFonts w:cs="Arial"/>
        </w:rPr>
        <w:t>servicio</w:t>
      </w:r>
      <w:r w:rsidR="00DE26A8">
        <w:rPr>
          <w:rFonts w:cs="Arial"/>
        </w:rPr>
        <w:t xml:space="preserve"> ya prestado</w:t>
      </w:r>
      <w:r w:rsidR="00465604">
        <w:rPr>
          <w:rFonts w:cs="Arial"/>
        </w:rPr>
        <w:t xml:space="preserve"> por la CND</w:t>
      </w:r>
      <w:r w:rsidR="001D6DCE">
        <w:rPr>
          <w:rFonts w:cs="Arial"/>
        </w:rPr>
        <w:t xml:space="preserve"> que excede lo originalmente acordado en el contrato celebrado el 19 de setiembre de 2014</w:t>
      </w:r>
      <w:r w:rsidR="00465604">
        <w:rPr>
          <w:rFonts w:cs="Arial"/>
        </w:rPr>
        <w:t xml:space="preserve">; </w:t>
      </w:r>
      <w:r w:rsidR="00926494">
        <w:rPr>
          <w:rFonts w:cs="Arial"/>
        </w:rPr>
        <w:t xml:space="preserve">  </w:t>
      </w:r>
    </w:p>
    <w:p w:rsidR="00465604" w:rsidRDefault="00154E6C" w:rsidP="00D30309">
      <w:pPr>
        <w:spacing w:line="360" w:lineRule="auto"/>
        <w:ind w:firstLine="709"/>
        <w:jc w:val="both"/>
        <w:rPr>
          <w:bCs/>
          <w:lang w:val="es-MX"/>
        </w:rPr>
      </w:pPr>
      <w:r>
        <w:rPr>
          <w:rFonts w:cs="Arial"/>
        </w:rPr>
        <w:t xml:space="preserve"> </w:t>
      </w:r>
      <w:r w:rsidR="00465604">
        <w:rPr>
          <w:b/>
        </w:rPr>
        <w:t>A</w:t>
      </w:r>
      <w:r w:rsidR="00465604">
        <w:rPr>
          <w:rFonts w:cs="Arial"/>
          <w:b/>
          <w:bCs/>
        </w:rPr>
        <w:t>TENTO:</w:t>
      </w:r>
      <w:r w:rsidR="00465604">
        <w:rPr>
          <w:rFonts w:cs="Arial"/>
        </w:rPr>
        <w:t xml:space="preserve"> a lo dispuesto por el art. 211 literal B) de la Constitución de la República;</w:t>
      </w:r>
    </w:p>
    <w:p w:rsidR="00465604" w:rsidRDefault="00465604" w:rsidP="00465604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465604" w:rsidRDefault="00465604" w:rsidP="00D30309">
      <w:pPr>
        <w:spacing w:line="360" w:lineRule="auto"/>
        <w:ind w:left="284" w:hanging="284"/>
        <w:jc w:val="both"/>
        <w:rPr>
          <w:rFonts w:cs="Arial"/>
        </w:rPr>
      </w:pPr>
      <w:r w:rsidRPr="008F06AD">
        <w:rPr>
          <w:rFonts w:cs="Arial"/>
          <w:b/>
        </w:rPr>
        <w:t>1)</w:t>
      </w:r>
      <w:r>
        <w:rPr>
          <w:rFonts w:cs="Arial"/>
        </w:rPr>
        <w:t xml:space="preserve"> No formular observaciones al  contrato de fideicomiso  a suscribir  entre el M</w:t>
      </w:r>
      <w:r w:rsidR="00D21484">
        <w:rPr>
          <w:rFonts w:cs="Arial"/>
        </w:rPr>
        <w:t>IDES</w:t>
      </w:r>
      <w:r>
        <w:rPr>
          <w:rFonts w:cs="Arial"/>
        </w:rPr>
        <w:t xml:space="preserve">, la </w:t>
      </w:r>
      <w:r w:rsidR="00443777">
        <w:rPr>
          <w:rFonts w:cs="Arial"/>
        </w:rPr>
        <w:t>I</w:t>
      </w:r>
      <w:r w:rsidR="00D21484">
        <w:rPr>
          <w:rFonts w:cs="Arial"/>
        </w:rPr>
        <w:t>M</w:t>
      </w:r>
      <w:r>
        <w:rPr>
          <w:rFonts w:cs="Arial"/>
        </w:rPr>
        <w:t xml:space="preserve"> y la C</w:t>
      </w:r>
      <w:r w:rsidR="00D21484">
        <w:rPr>
          <w:rFonts w:cs="Arial"/>
        </w:rPr>
        <w:t>ND</w:t>
      </w:r>
      <w:r>
        <w:rPr>
          <w:rFonts w:cs="Arial"/>
        </w:rPr>
        <w:t xml:space="preserve">; </w:t>
      </w:r>
    </w:p>
    <w:p w:rsidR="00465604" w:rsidRDefault="00465604" w:rsidP="00D30309">
      <w:pPr>
        <w:spacing w:line="360" w:lineRule="auto"/>
        <w:ind w:left="284" w:hanging="284"/>
        <w:jc w:val="both"/>
        <w:rPr>
          <w:rFonts w:cs="Arial"/>
        </w:rPr>
      </w:pPr>
      <w:r w:rsidRPr="008F06AD">
        <w:rPr>
          <w:rFonts w:cs="Arial"/>
          <w:b/>
        </w:rPr>
        <w:t>2)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Cométese</w:t>
      </w:r>
      <w:proofErr w:type="spellEnd"/>
      <w:r>
        <w:rPr>
          <w:rFonts w:cs="Arial"/>
        </w:rPr>
        <w:t xml:space="preserve"> al Contador Auditor  destacado ante el M</w:t>
      </w:r>
      <w:r w:rsidR="00D21484">
        <w:rPr>
          <w:rFonts w:cs="Arial"/>
        </w:rPr>
        <w:t>IDES</w:t>
      </w:r>
      <w:r>
        <w:rPr>
          <w:rFonts w:cs="Arial"/>
        </w:rPr>
        <w:t xml:space="preserve"> la intervención del gasto que derive del Fideicomiso mencionado, </w:t>
      </w:r>
      <w:r w:rsidRPr="00D409E9">
        <w:rPr>
          <w:rFonts w:cs="Arial"/>
        </w:rPr>
        <w:t xml:space="preserve">previo control de su imputación con cargo al grupo adecuado con disponibilidad suficiente y la verificación que </w:t>
      </w:r>
      <w:r>
        <w:rPr>
          <w:rFonts w:cs="Arial"/>
        </w:rPr>
        <w:t xml:space="preserve">el contrato y </w:t>
      </w:r>
      <w:r w:rsidRPr="00D409E9">
        <w:rPr>
          <w:rFonts w:cs="Arial"/>
        </w:rPr>
        <w:t xml:space="preserve">la </w:t>
      </w:r>
      <w:r>
        <w:rPr>
          <w:rFonts w:cs="Arial"/>
        </w:rPr>
        <w:t>r</w:t>
      </w:r>
      <w:r w:rsidRPr="00D409E9">
        <w:rPr>
          <w:rFonts w:cs="Arial"/>
        </w:rPr>
        <w:t>esolución definitiva concuerde</w:t>
      </w:r>
      <w:r>
        <w:rPr>
          <w:rFonts w:cs="Arial"/>
        </w:rPr>
        <w:t>n</w:t>
      </w:r>
      <w:r w:rsidRPr="00D409E9">
        <w:rPr>
          <w:rFonts w:cs="Arial"/>
        </w:rPr>
        <w:t xml:space="preserve"> con las condiciones de la contratación sometidas a este Tribunal (Art. 8 de la Ordenanza Nº 27 de 22/5/58 en la redacción sustitutiva dispuesta por la Resolución del 16/6/10);</w:t>
      </w:r>
    </w:p>
    <w:p w:rsidR="00D30309" w:rsidRDefault="00FF043F" w:rsidP="00D30309">
      <w:pPr>
        <w:spacing w:line="360" w:lineRule="auto"/>
        <w:ind w:left="284" w:hanging="284"/>
        <w:jc w:val="both"/>
        <w:rPr>
          <w:rFonts w:cs="Arial"/>
        </w:rPr>
      </w:pPr>
      <w:r w:rsidRPr="00FF043F">
        <w:rPr>
          <w:rFonts w:cs="Arial"/>
          <w:b/>
        </w:rPr>
        <w:t>3)</w:t>
      </w:r>
      <w:r>
        <w:rPr>
          <w:rFonts w:cs="Arial"/>
        </w:rPr>
        <w:t xml:space="preserve"> Observar el gasto </w:t>
      </w:r>
      <w:r w:rsidR="00D21484">
        <w:rPr>
          <w:rFonts w:cs="Arial"/>
        </w:rPr>
        <w:t xml:space="preserve">correspondiente al pago de la  deuda que el MIDES mantiene con la CND  generada  con posterioridad a  la finalización del plazo del contrato de fideicomiso celebrado el 19 de setiembre de 2014, </w:t>
      </w:r>
      <w:r>
        <w:rPr>
          <w:rFonts w:cs="Arial"/>
        </w:rPr>
        <w:t xml:space="preserve">autorizado por </w:t>
      </w:r>
      <w:r w:rsidR="00D21484">
        <w:rPr>
          <w:rFonts w:cs="Arial"/>
        </w:rPr>
        <w:t>Resolución</w:t>
      </w:r>
      <w:r>
        <w:rPr>
          <w:rFonts w:cs="Arial"/>
        </w:rPr>
        <w:t xml:space="preserve"> del MIDES Nº 1112/18 del 17 de octubre de 2018</w:t>
      </w:r>
      <w:r w:rsidR="00D21484">
        <w:rPr>
          <w:rFonts w:cs="Arial"/>
        </w:rPr>
        <w:t xml:space="preserve">, </w:t>
      </w:r>
      <w:r>
        <w:rPr>
          <w:rFonts w:cs="Arial"/>
        </w:rPr>
        <w:t xml:space="preserve"> </w:t>
      </w:r>
      <w:r w:rsidR="00D21484">
        <w:rPr>
          <w:rFonts w:cs="Arial"/>
        </w:rPr>
        <w:t>por lo expresado en el Considerando 7) de la presente</w:t>
      </w:r>
      <w:r>
        <w:rPr>
          <w:rFonts w:cs="Arial"/>
        </w:rPr>
        <w:t>;</w:t>
      </w:r>
    </w:p>
    <w:p w:rsidR="00D30309" w:rsidRDefault="00D30309" w:rsidP="00D30309">
      <w:p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4) </w:t>
      </w:r>
      <w:r w:rsidR="00465604" w:rsidRPr="00D30309">
        <w:rPr>
          <w:rFonts w:cs="Arial"/>
        </w:rPr>
        <w:t xml:space="preserve">Comunicar a la Contador Auditor destacado ante el </w:t>
      </w:r>
      <w:r w:rsidR="00D21484" w:rsidRPr="00D30309">
        <w:rPr>
          <w:rFonts w:cs="Arial"/>
        </w:rPr>
        <w:t>MIDES</w:t>
      </w:r>
      <w:r w:rsidR="00465604" w:rsidRPr="00D30309">
        <w:rPr>
          <w:rFonts w:cs="Arial"/>
        </w:rPr>
        <w:t>;</w:t>
      </w:r>
      <w:r>
        <w:rPr>
          <w:rFonts w:cs="Arial"/>
        </w:rPr>
        <w:t xml:space="preserve"> y</w:t>
      </w:r>
    </w:p>
    <w:p w:rsidR="00465604" w:rsidRPr="00D30309" w:rsidRDefault="00D30309" w:rsidP="00D30309">
      <w:p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</w:rPr>
        <w:t xml:space="preserve">5) </w:t>
      </w:r>
      <w:r w:rsidR="00465604" w:rsidRPr="00D30309">
        <w:rPr>
          <w:rFonts w:cs="Arial"/>
        </w:rPr>
        <w:t xml:space="preserve">Devolver las actuaciones.- </w:t>
      </w:r>
    </w:p>
    <w:p w:rsidR="00D30309" w:rsidRDefault="00D30309" w:rsidP="00465604"/>
    <w:p w:rsidR="00D30309" w:rsidRDefault="00D30309" w:rsidP="00465604"/>
    <w:p w:rsidR="00D30309" w:rsidRDefault="00D30309" w:rsidP="00465604"/>
    <w:p w:rsidR="00D30309" w:rsidRDefault="00D30309" w:rsidP="00465604"/>
    <w:p w:rsidR="00D30309" w:rsidRDefault="00D30309" w:rsidP="00465604"/>
    <w:p w:rsidR="00D30309" w:rsidRDefault="00D30309" w:rsidP="00465604"/>
    <w:p w:rsidR="00D30309" w:rsidRDefault="00D30309" w:rsidP="00465604"/>
    <w:p w:rsidR="00D30309" w:rsidRDefault="00D30309" w:rsidP="00465604"/>
    <w:p w:rsidR="00D30309" w:rsidRDefault="00D30309" w:rsidP="00465604"/>
    <w:p w:rsidR="00D30309" w:rsidRDefault="00D30309" w:rsidP="00465604"/>
    <w:p w:rsidR="00465604" w:rsidRDefault="00D30309" w:rsidP="00465604">
      <w:bookmarkStart w:id="0" w:name="_GoBack"/>
      <w:bookmarkEnd w:id="0"/>
      <w:proofErr w:type="spellStart"/>
      <w:proofErr w:type="gramStart"/>
      <w:r>
        <w:t>cr</w:t>
      </w:r>
      <w:proofErr w:type="spellEnd"/>
      <w:proofErr w:type="gramEnd"/>
    </w:p>
    <w:p w:rsidR="00154E6C" w:rsidRDefault="00154E6C" w:rsidP="00154E6C">
      <w:pPr>
        <w:tabs>
          <w:tab w:val="left" w:pos="2268"/>
        </w:tabs>
        <w:spacing w:line="360" w:lineRule="auto"/>
        <w:ind w:firstLine="708"/>
        <w:jc w:val="both"/>
        <w:rPr>
          <w:rFonts w:cs="Arial"/>
        </w:rPr>
      </w:pPr>
    </w:p>
    <w:sectPr w:rsidR="00154E6C" w:rsidSect="00D30309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A4953"/>
    <w:multiLevelType w:val="hybridMultilevel"/>
    <w:tmpl w:val="F2CAC26C"/>
    <w:lvl w:ilvl="0" w:tplc="52DE9722">
      <w:start w:val="4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24" w:hanging="360"/>
      </w:pPr>
    </w:lvl>
    <w:lvl w:ilvl="2" w:tplc="380A001B" w:tentative="1">
      <w:start w:val="1"/>
      <w:numFmt w:val="lowerRoman"/>
      <w:lvlText w:val="%3."/>
      <w:lvlJc w:val="right"/>
      <w:pPr>
        <w:ind w:left="2444" w:hanging="180"/>
      </w:pPr>
    </w:lvl>
    <w:lvl w:ilvl="3" w:tplc="380A000F" w:tentative="1">
      <w:start w:val="1"/>
      <w:numFmt w:val="decimal"/>
      <w:lvlText w:val="%4."/>
      <w:lvlJc w:val="left"/>
      <w:pPr>
        <w:ind w:left="3164" w:hanging="360"/>
      </w:pPr>
    </w:lvl>
    <w:lvl w:ilvl="4" w:tplc="380A0019" w:tentative="1">
      <w:start w:val="1"/>
      <w:numFmt w:val="lowerLetter"/>
      <w:lvlText w:val="%5."/>
      <w:lvlJc w:val="left"/>
      <w:pPr>
        <w:ind w:left="3884" w:hanging="360"/>
      </w:pPr>
    </w:lvl>
    <w:lvl w:ilvl="5" w:tplc="380A001B" w:tentative="1">
      <w:start w:val="1"/>
      <w:numFmt w:val="lowerRoman"/>
      <w:lvlText w:val="%6."/>
      <w:lvlJc w:val="right"/>
      <w:pPr>
        <w:ind w:left="4604" w:hanging="180"/>
      </w:pPr>
    </w:lvl>
    <w:lvl w:ilvl="6" w:tplc="380A000F" w:tentative="1">
      <w:start w:val="1"/>
      <w:numFmt w:val="decimal"/>
      <w:lvlText w:val="%7."/>
      <w:lvlJc w:val="left"/>
      <w:pPr>
        <w:ind w:left="5324" w:hanging="360"/>
      </w:pPr>
    </w:lvl>
    <w:lvl w:ilvl="7" w:tplc="380A0019" w:tentative="1">
      <w:start w:val="1"/>
      <w:numFmt w:val="lowerLetter"/>
      <w:lvlText w:val="%8."/>
      <w:lvlJc w:val="left"/>
      <w:pPr>
        <w:ind w:left="6044" w:hanging="360"/>
      </w:pPr>
    </w:lvl>
    <w:lvl w:ilvl="8" w:tplc="3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D674262"/>
    <w:multiLevelType w:val="hybridMultilevel"/>
    <w:tmpl w:val="AAFAD302"/>
    <w:lvl w:ilvl="0" w:tplc="ACBC39D8">
      <w:start w:val="3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24" w:hanging="360"/>
      </w:pPr>
    </w:lvl>
    <w:lvl w:ilvl="2" w:tplc="380A001B" w:tentative="1">
      <w:start w:val="1"/>
      <w:numFmt w:val="lowerRoman"/>
      <w:lvlText w:val="%3."/>
      <w:lvlJc w:val="right"/>
      <w:pPr>
        <w:ind w:left="2444" w:hanging="180"/>
      </w:pPr>
    </w:lvl>
    <w:lvl w:ilvl="3" w:tplc="380A000F" w:tentative="1">
      <w:start w:val="1"/>
      <w:numFmt w:val="decimal"/>
      <w:lvlText w:val="%4."/>
      <w:lvlJc w:val="left"/>
      <w:pPr>
        <w:ind w:left="3164" w:hanging="360"/>
      </w:pPr>
    </w:lvl>
    <w:lvl w:ilvl="4" w:tplc="380A0019" w:tentative="1">
      <w:start w:val="1"/>
      <w:numFmt w:val="lowerLetter"/>
      <w:lvlText w:val="%5."/>
      <w:lvlJc w:val="left"/>
      <w:pPr>
        <w:ind w:left="3884" w:hanging="360"/>
      </w:pPr>
    </w:lvl>
    <w:lvl w:ilvl="5" w:tplc="380A001B" w:tentative="1">
      <w:start w:val="1"/>
      <w:numFmt w:val="lowerRoman"/>
      <w:lvlText w:val="%6."/>
      <w:lvlJc w:val="right"/>
      <w:pPr>
        <w:ind w:left="4604" w:hanging="180"/>
      </w:pPr>
    </w:lvl>
    <w:lvl w:ilvl="6" w:tplc="380A000F" w:tentative="1">
      <w:start w:val="1"/>
      <w:numFmt w:val="decimal"/>
      <w:lvlText w:val="%7."/>
      <w:lvlJc w:val="left"/>
      <w:pPr>
        <w:ind w:left="5324" w:hanging="360"/>
      </w:pPr>
    </w:lvl>
    <w:lvl w:ilvl="7" w:tplc="380A0019" w:tentative="1">
      <w:start w:val="1"/>
      <w:numFmt w:val="lowerLetter"/>
      <w:lvlText w:val="%8."/>
      <w:lvlJc w:val="left"/>
      <w:pPr>
        <w:ind w:left="6044" w:hanging="360"/>
      </w:pPr>
    </w:lvl>
    <w:lvl w:ilvl="8" w:tplc="3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3AB404C"/>
    <w:multiLevelType w:val="hybridMultilevel"/>
    <w:tmpl w:val="E444CA3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B0"/>
    <w:rsid w:val="00023639"/>
    <w:rsid w:val="00154E6C"/>
    <w:rsid w:val="0019210C"/>
    <w:rsid w:val="001D6DCE"/>
    <w:rsid w:val="001E76E4"/>
    <w:rsid w:val="0029432F"/>
    <w:rsid w:val="00340890"/>
    <w:rsid w:val="00443777"/>
    <w:rsid w:val="00465604"/>
    <w:rsid w:val="0047754E"/>
    <w:rsid w:val="00511121"/>
    <w:rsid w:val="005D13B0"/>
    <w:rsid w:val="00707C8D"/>
    <w:rsid w:val="00713BBC"/>
    <w:rsid w:val="007755B8"/>
    <w:rsid w:val="007B1A9B"/>
    <w:rsid w:val="0088406F"/>
    <w:rsid w:val="008E24F9"/>
    <w:rsid w:val="00926494"/>
    <w:rsid w:val="009F3556"/>
    <w:rsid w:val="00AE626F"/>
    <w:rsid w:val="00C2504B"/>
    <w:rsid w:val="00D21484"/>
    <w:rsid w:val="00D30309"/>
    <w:rsid w:val="00D5139C"/>
    <w:rsid w:val="00DE26A8"/>
    <w:rsid w:val="00E11158"/>
    <w:rsid w:val="00EB0113"/>
    <w:rsid w:val="00F02C67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B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5D13B0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D13B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D13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D13B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F0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B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5D13B0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D13B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D13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D13B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F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2018-11-22T15:22:00Z</cp:lastPrinted>
  <dcterms:created xsi:type="dcterms:W3CDTF">2018-11-22T15:23:00Z</dcterms:created>
  <dcterms:modified xsi:type="dcterms:W3CDTF">2018-11-22T15:23:00Z</dcterms:modified>
</cp:coreProperties>
</file>