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8C5" w:rsidRPr="00786EEB" w:rsidRDefault="009538C5" w:rsidP="00786EEB">
      <w:pPr>
        <w:tabs>
          <w:tab w:val="center" w:pos="4253"/>
        </w:tabs>
        <w:suppressAutoHyphens/>
        <w:jc w:val="right"/>
        <w:rPr>
          <w:rFonts w:cs="Arial"/>
          <w:b/>
          <w:sz w:val="28"/>
          <w:szCs w:val="28"/>
          <w:lang w:val="es-ES_tradnl"/>
        </w:rPr>
      </w:pPr>
      <w:r>
        <w:rPr>
          <w:rFonts w:cs="Arial"/>
          <w:b/>
          <w:sz w:val="28"/>
          <w:szCs w:val="28"/>
          <w:lang w:val="es-ES_tradnl"/>
        </w:rPr>
        <w:t>RES. 3587/18</w:t>
      </w:r>
    </w:p>
    <w:p w:rsidR="009538C5" w:rsidRDefault="009538C5" w:rsidP="00786EEB">
      <w:pPr>
        <w:tabs>
          <w:tab w:val="center" w:pos="4253"/>
        </w:tabs>
        <w:suppressAutoHyphens/>
        <w:jc w:val="right"/>
        <w:rPr>
          <w:rFonts w:cs="Arial"/>
          <w:b/>
          <w:lang w:val="es-ES_tradnl"/>
        </w:rPr>
      </w:pPr>
    </w:p>
    <w:p w:rsidR="009538C5" w:rsidRPr="00762B34" w:rsidRDefault="009538C5">
      <w:pPr>
        <w:tabs>
          <w:tab w:val="center" w:pos="4253"/>
        </w:tabs>
        <w:suppressAutoHyphens/>
        <w:jc w:val="center"/>
        <w:rPr>
          <w:rFonts w:cs="Arial"/>
          <w:b/>
          <w:lang w:val="es-ES_tradnl"/>
        </w:rPr>
      </w:pPr>
      <w:r w:rsidRPr="00762B34">
        <w:rPr>
          <w:rFonts w:cs="Arial"/>
          <w:b/>
          <w:lang w:val="es-ES_tradnl"/>
        </w:rPr>
        <w:t>RESOLUCION ADOPTADA POR EL</w:t>
      </w:r>
    </w:p>
    <w:p w:rsidR="009538C5" w:rsidRPr="00762B34" w:rsidRDefault="009538C5">
      <w:pPr>
        <w:tabs>
          <w:tab w:val="left" w:pos="-720"/>
        </w:tabs>
        <w:suppressAutoHyphens/>
        <w:jc w:val="center"/>
        <w:rPr>
          <w:rFonts w:cs="Arial"/>
          <w:b/>
          <w:lang w:val="es-ES_tradnl"/>
        </w:rPr>
      </w:pPr>
    </w:p>
    <w:p w:rsidR="009538C5" w:rsidRPr="00762B34" w:rsidRDefault="009538C5">
      <w:pPr>
        <w:tabs>
          <w:tab w:val="center" w:pos="4253"/>
        </w:tabs>
        <w:suppressAutoHyphens/>
        <w:jc w:val="center"/>
        <w:rPr>
          <w:rFonts w:cs="Arial"/>
          <w:b/>
          <w:lang w:val="es-ES_tradnl"/>
        </w:rPr>
      </w:pPr>
      <w:r w:rsidRPr="00762B34">
        <w:rPr>
          <w:rFonts w:cs="Arial"/>
          <w:b/>
          <w:lang w:val="es-ES_tradnl"/>
        </w:rPr>
        <w:t>TRIBUNAL DE CUENTAS</w:t>
      </w:r>
    </w:p>
    <w:p w:rsidR="009538C5" w:rsidRPr="00762B34" w:rsidRDefault="009538C5">
      <w:pPr>
        <w:tabs>
          <w:tab w:val="left" w:pos="-720"/>
        </w:tabs>
        <w:suppressAutoHyphens/>
        <w:jc w:val="center"/>
        <w:rPr>
          <w:rFonts w:cs="Arial"/>
          <w:b/>
          <w:lang w:val="es-ES_tradnl"/>
        </w:rPr>
      </w:pPr>
    </w:p>
    <w:p w:rsidR="009538C5" w:rsidRPr="00762B34" w:rsidRDefault="009538C5">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21 DE NOVIEMBRE </w:t>
      </w:r>
      <w:r>
        <w:rPr>
          <w:rFonts w:ascii="Helvetica" w:hAnsi="Helvetica"/>
          <w:b/>
          <w:lang w:val="es-ES_tradnl"/>
        </w:rPr>
        <w:t>DE 2018</w:t>
      </w:r>
    </w:p>
    <w:p w:rsidR="009538C5" w:rsidRPr="00762B34" w:rsidRDefault="009538C5">
      <w:pPr>
        <w:tabs>
          <w:tab w:val="center" w:pos="4253"/>
        </w:tabs>
        <w:suppressAutoHyphens/>
        <w:jc w:val="center"/>
        <w:rPr>
          <w:rFonts w:cs="Arial"/>
          <w:b/>
          <w:lang w:val="es-ES_tradnl"/>
        </w:rPr>
      </w:pPr>
    </w:p>
    <w:p w:rsidR="009538C5" w:rsidRPr="00762B34" w:rsidRDefault="009538C5">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2018-17-1-0006584</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xml:space="preserve">. N° </w:t>
      </w:r>
      <w:r>
        <w:rPr>
          <w:rFonts w:cs="Arial"/>
          <w:b/>
          <w:lang w:val="en-US"/>
        </w:rPr>
        <w:t>5063/18</w:t>
      </w:r>
      <w:r w:rsidRPr="00762B34">
        <w:rPr>
          <w:rFonts w:cs="Arial"/>
          <w:b/>
          <w:lang w:val="en-US"/>
        </w:rPr>
        <w:t>)</w:t>
      </w:r>
    </w:p>
    <w:p w:rsidR="004329D9" w:rsidRDefault="004329D9">
      <w:pPr>
        <w:spacing w:line="360" w:lineRule="auto"/>
        <w:jc w:val="center"/>
        <w:rPr>
          <w:rFonts w:cs="Arial"/>
        </w:rPr>
      </w:pPr>
    </w:p>
    <w:p w:rsidR="009538C5" w:rsidRDefault="004329D9" w:rsidP="009538C5">
      <w:pPr>
        <w:spacing w:line="360" w:lineRule="auto"/>
        <w:ind w:firstLine="851"/>
        <w:jc w:val="both"/>
        <w:rPr>
          <w:rFonts w:cs="Arial"/>
        </w:rPr>
      </w:pPr>
      <w:r>
        <w:rPr>
          <w:rFonts w:cs="Arial"/>
          <w:b/>
          <w:bCs/>
        </w:rPr>
        <w:t>VISTO:</w:t>
      </w:r>
      <w:r>
        <w:rPr>
          <w:rFonts w:cs="Arial"/>
        </w:rPr>
        <w:t xml:space="preserve"> </w:t>
      </w:r>
      <w:r w:rsidR="008F1650">
        <w:rPr>
          <w:rFonts w:cs="Arial"/>
        </w:rPr>
        <w:t xml:space="preserve">las </w:t>
      </w:r>
      <w:r w:rsidR="0000131B">
        <w:rPr>
          <w:rFonts w:cs="Arial"/>
        </w:rPr>
        <w:t xml:space="preserve">actuaciones remitidas por la Intendencia de San José, relacionadas con la contratación directa </w:t>
      </w:r>
      <w:r w:rsidR="004A1867">
        <w:rPr>
          <w:rFonts w:cs="Arial"/>
        </w:rPr>
        <w:t>con</w:t>
      </w:r>
      <w:r w:rsidR="0000131B">
        <w:rPr>
          <w:rFonts w:cs="Arial"/>
        </w:rPr>
        <w:t xml:space="preserve"> la empresa </w:t>
      </w:r>
      <w:r w:rsidR="0084633E">
        <w:rPr>
          <w:rFonts w:cs="Arial"/>
        </w:rPr>
        <w:t xml:space="preserve">ENCENGENSEN </w:t>
      </w:r>
      <w:r w:rsidR="0000131B">
        <w:rPr>
          <w:rFonts w:cs="Arial"/>
        </w:rPr>
        <w:t>S.A.</w:t>
      </w:r>
      <w:r w:rsidR="0025150A">
        <w:rPr>
          <w:rFonts w:cs="Arial"/>
        </w:rPr>
        <w:t xml:space="preserve"> (INNOVATEX SA),</w:t>
      </w:r>
      <w:r w:rsidR="0000131B">
        <w:rPr>
          <w:rFonts w:cs="Arial"/>
        </w:rPr>
        <w:t xml:space="preserve">, con el fin de lograr la </w:t>
      </w:r>
      <w:r w:rsidR="0084633E">
        <w:rPr>
          <w:rFonts w:cs="Arial"/>
        </w:rPr>
        <w:t xml:space="preserve">reducción </w:t>
      </w:r>
      <w:r w:rsidR="0000131B">
        <w:rPr>
          <w:rFonts w:cs="Arial"/>
        </w:rPr>
        <w:t xml:space="preserve">de costos energéticos </w:t>
      </w:r>
      <w:r w:rsidR="0084633E">
        <w:rPr>
          <w:rFonts w:cs="Arial"/>
        </w:rPr>
        <w:t>mediante cambio tecnológico en las luminarias d</w:t>
      </w:r>
      <w:r w:rsidR="0000131B">
        <w:rPr>
          <w:rFonts w:cs="Arial"/>
        </w:rPr>
        <w:t>e</w:t>
      </w:r>
      <w:r w:rsidR="0084633E">
        <w:rPr>
          <w:rFonts w:cs="Arial"/>
        </w:rPr>
        <w:t xml:space="preserve"> </w:t>
      </w:r>
      <w:r w:rsidR="00E53C3F">
        <w:rPr>
          <w:rFonts w:cs="Arial"/>
        </w:rPr>
        <w:t>tecnología L</w:t>
      </w:r>
      <w:r w:rsidR="00E0154F">
        <w:rPr>
          <w:rFonts w:cs="Arial"/>
        </w:rPr>
        <w:t>ed, para</w:t>
      </w:r>
      <w:r w:rsidR="0084633E">
        <w:rPr>
          <w:rFonts w:cs="Arial"/>
        </w:rPr>
        <w:t xml:space="preserve"> </w:t>
      </w:r>
      <w:r w:rsidR="008F1650">
        <w:rPr>
          <w:rFonts w:cs="Arial"/>
        </w:rPr>
        <w:t>p</w:t>
      </w:r>
      <w:r w:rsidR="005A7F5F">
        <w:rPr>
          <w:rFonts w:cs="Arial"/>
        </w:rPr>
        <w:t>la</w:t>
      </w:r>
      <w:r w:rsidR="0084633E">
        <w:rPr>
          <w:rFonts w:cs="Arial"/>
        </w:rPr>
        <w:t xml:space="preserve">zas y </w:t>
      </w:r>
      <w:r w:rsidR="008F1650">
        <w:rPr>
          <w:rFonts w:cs="Arial"/>
        </w:rPr>
        <w:t>a</w:t>
      </w:r>
      <w:r w:rsidR="0084633E">
        <w:rPr>
          <w:rFonts w:cs="Arial"/>
        </w:rPr>
        <w:t>venidas de la ciudad de San José</w:t>
      </w:r>
      <w:r w:rsidR="005A7F5F">
        <w:rPr>
          <w:rFonts w:cs="Arial"/>
        </w:rPr>
        <w:t xml:space="preserve"> de Mayo</w:t>
      </w:r>
      <w:r w:rsidR="00E0154F">
        <w:rPr>
          <w:rFonts w:cs="Arial"/>
        </w:rPr>
        <w:t>;</w:t>
      </w:r>
    </w:p>
    <w:p w:rsidR="009538C5" w:rsidRDefault="004329D9" w:rsidP="009538C5">
      <w:pPr>
        <w:spacing w:line="360" w:lineRule="auto"/>
        <w:ind w:firstLine="851"/>
        <w:jc w:val="both"/>
        <w:rPr>
          <w:rFonts w:cs="Arial"/>
        </w:rPr>
      </w:pPr>
      <w:r>
        <w:rPr>
          <w:rFonts w:cs="Arial"/>
          <w:b/>
          <w:bCs/>
          <w:lang w:val="es-MX"/>
        </w:rPr>
        <w:t>RESULTANDO: 1)</w:t>
      </w:r>
      <w:r>
        <w:rPr>
          <w:rFonts w:cs="Arial"/>
          <w:lang w:val="es-MX"/>
        </w:rPr>
        <w:t xml:space="preserve"> </w:t>
      </w:r>
      <w:r w:rsidR="00E53C3F">
        <w:rPr>
          <w:rFonts w:cs="Arial"/>
          <w:lang w:val="es-MX"/>
        </w:rPr>
        <w:t>que</w:t>
      </w:r>
      <w:r w:rsidR="0025150A">
        <w:rPr>
          <w:rFonts w:cs="Arial"/>
          <w:lang w:val="es-MX"/>
        </w:rPr>
        <w:t xml:space="preserve"> </w:t>
      </w:r>
      <w:r w:rsidR="008F1650">
        <w:rPr>
          <w:rFonts w:cs="Arial"/>
          <w:lang w:val="es-MX"/>
        </w:rPr>
        <w:t>se da cuenta que la I</w:t>
      </w:r>
      <w:r w:rsidR="0025150A">
        <w:rPr>
          <w:rFonts w:cs="Arial"/>
          <w:lang w:val="es-MX"/>
        </w:rPr>
        <w:t>ntendencia remitió a</w:t>
      </w:r>
      <w:r w:rsidR="0025150A" w:rsidRPr="0025150A">
        <w:rPr>
          <w:rFonts w:cs="Arial"/>
        </w:rPr>
        <w:t xml:space="preserve"> </w:t>
      </w:r>
      <w:r w:rsidR="0025150A">
        <w:rPr>
          <w:rFonts w:cs="Arial"/>
        </w:rPr>
        <w:t>ENCENGENSEN S.A. (INNOVATEX S</w:t>
      </w:r>
      <w:r w:rsidR="009538C5">
        <w:rPr>
          <w:rFonts w:cs="Arial"/>
        </w:rPr>
        <w:t>.</w:t>
      </w:r>
      <w:r w:rsidR="0025150A">
        <w:rPr>
          <w:rFonts w:cs="Arial"/>
        </w:rPr>
        <w:t>A</w:t>
      </w:r>
      <w:r w:rsidR="009538C5">
        <w:rPr>
          <w:rFonts w:cs="Arial"/>
        </w:rPr>
        <w:t>.</w:t>
      </w:r>
      <w:r w:rsidR="0025150A">
        <w:rPr>
          <w:rFonts w:cs="Arial"/>
        </w:rPr>
        <w:t>),</w:t>
      </w:r>
      <w:r w:rsidR="009538C5">
        <w:rPr>
          <w:rFonts w:cs="Arial"/>
        </w:rPr>
        <w:t xml:space="preserve"> </w:t>
      </w:r>
      <w:r w:rsidR="0025150A">
        <w:rPr>
          <w:rFonts w:cs="Arial"/>
        </w:rPr>
        <w:t xml:space="preserve">el censo del parque de luminarias de alumbrado público, “limitado a ciertas localizaciones de </w:t>
      </w:r>
      <w:r w:rsidR="00A95217">
        <w:rPr>
          <w:rFonts w:cs="Arial"/>
        </w:rPr>
        <w:t>plazas y avenidas”, abierto segú</w:t>
      </w:r>
      <w:r w:rsidR="0025150A">
        <w:rPr>
          <w:rFonts w:cs="Arial"/>
        </w:rPr>
        <w:t>n cantidad, potencias y tecnologías de las luminarias existentes, autorizando a la empresa a realizar el estudio de las redes de alumbrado público comp</w:t>
      </w:r>
      <w:r w:rsidR="009538C5">
        <w:rPr>
          <w:rFonts w:cs="Arial"/>
        </w:rPr>
        <w:t>rendidas en el precitado censo;</w:t>
      </w:r>
    </w:p>
    <w:p w:rsidR="009538C5" w:rsidRDefault="0025150A" w:rsidP="009538C5">
      <w:pPr>
        <w:spacing w:line="360" w:lineRule="auto"/>
        <w:ind w:firstLine="2835"/>
        <w:jc w:val="both"/>
        <w:rPr>
          <w:rFonts w:cs="Arial"/>
          <w:lang w:val="es-MX"/>
        </w:rPr>
      </w:pPr>
      <w:r>
        <w:rPr>
          <w:rFonts w:cs="Arial"/>
          <w:b/>
          <w:lang w:val="es-MX"/>
        </w:rPr>
        <w:t xml:space="preserve">2) </w:t>
      </w:r>
      <w:r>
        <w:rPr>
          <w:rFonts w:cs="Arial"/>
          <w:lang w:val="es-MX"/>
        </w:rPr>
        <w:t xml:space="preserve">que </w:t>
      </w:r>
      <w:r w:rsidR="00E53C3F">
        <w:rPr>
          <w:rFonts w:cs="Arial"/>
          <w:lang w:val="es-MX"/>
        </w:rPr>
        <w:t>en el mes de</w:t>
      </w:r>
      <w:r>
        <w:rPr>
          <w:rFonts w:cs="Arial"/>
          <w:lang w:val="es-MX"/>
        </w:rPr>
        <w:t xml:space="preserve"> setiembre de 2018</w:t>
      </w:r>
      <w:r w:rsidR="000E001C">
        <w:rPr>
          <w:rFonts w:cs="Arial"/>
          <w:lang w:val="es-MX"/>
        </w:rPr>
        <w:t>,</w:t>
      </w:r>
      <w:r>
        <w:rPr>
          <w:rFonts w:cs="Arial"/>
          <w:lang w:val="es-MX"/>
        </w:rPr>
        <w:t xml:space="preserve"> la citada fir</w:t>
      </w:r>
      <w:r w:rsidR="00E53C3F">
        <w:rPr>
          <w:rFonts w:cs="Arial"/>
          <w:lang w:val="es-MX"/>
        </w:rPr>
        <w:t xml:space="preserve">ma presentó a la Intendencia una propuesta de optimización de costos energéticos </w:t>
      </w:r>
      <w:r w:rsidR="008F1650">
        <w:rPr>
          <w:rFonts w:cs="Arial"/>
          <w:lang w:val="es-MX"/>
        </w:rPr>
        <w:t>previéndose</w:t>
      </w:r>
      <w:r>
        <w:rPr>
          <w:rFonts w:cs="Arial"/>
          <w:lang w:val="es-MX"/>
        </w:rPr>
        <w:t xml:space="preserve"> un ahorro energ</w:t>
      </w:r>
      <w:r w:rsidR="009C55A5">
        <w:rPr>
          <w:rFonts w:cs="Arial"/>
          <w:lang w:val="es-MX"/>
        </w:rPr>
        <w:t xml:space="preserve">ético de 0,83 </w:t>
      </w:r>
      <w:proofErr w:type="spellStart"/>
      <w:r w:rsidR="009C55A5">
        <w:rPr>
          <w:rFonts w:cs="Arial"/>
          <w:lang w:val="es-MX"/>
        </w:rPr>
        <w:t>MWh</w:t>
      </w:r>
      <w:proofErr w:type="spellEnd"/>
      <w:r w:rsidR="009C55A5">
        <w:rPr>
          <w:rFonts w:cs="Arial"/>
          <w:lang w:val="es-MX"/>
        </w:rPr>
        <w:t xml:space="preserve"> </w:t>
      </w:r>
      <w:r w:rsidR="008F1650">
        <w:rPr>
          <w:rFonts w:cs="Arial"/>
          <w:lang w:val="es-MX"/>
        </w:rPr>
        <w:t>anuales,</w:t>
      </w:r>
      <w:r w:rsidR="009C55A5">
        <w:rPr>
          <w:rFonts w:cs="Arial"/>
          <w:lang w:val="es-MX"/>
        </w:rPr>
        <w:t xml:space="preserve"> reduciendo la potencia demandada de 59 a 25 </w:t>
      </w:r>
      <w:proofErr w:type="spellStart"/>
      <w:r w:rsidR="009C55A5">
        <w:rPr>
          <w:rFonts w:cs="Arial"/>
          <w:lang w:val="es-MX"/>
        </w:rPr>
        <w:t>Kw</w:t>
      </w:r>
      <w:proofErr w:type="spellEnd"/>
      <w:r w:rsidR="009C55A5">
        <w:rPr>
          <w:rFonts w:cs="Arial"/>
          <w:lang w:val="es-MX"/>
        </w:rPr>
        <w:t>/h.</w:t>
      </w:r>
      <w:r w:rsidR="008F1650">
        <w:rPr>
          <w:rFonts w:cs="Arial"/>
          <w:lang w:val="es-MX"/>
        </w:rPr>
        <w:t xml:space="preserve">, para </w:t>
      </w:r>
      <w:r w:rsidR="009C55A5">
        <w:rPr>
          <w:rFonts w:cs="Arial"/>
          <w:lang w:val="es-MX"/>
        </w:rPr>
        <w:t xml:space="preserve">las Plazas 33, </w:t>
      </w:r>
      <w:proofErr w:type="spellStart"/>
      <w:r w:rsidR="009C55A5">
        <w:rPr>
          <w:rFonts w:cs="Arial"/>
          <w:lang w:val="es-MX"/>
        </w:rPr>
        <w:t>Arizaga</w:t>
      </w:r>
      <w:proofErr w:type="spellEnd"/>
      <w:r w:rsidR="009C55A5">
        <w:rPr>
          <w:rFonts w:cs="Arial"/>
          <w:lang w:val="es-MX"/>
        </w:rPr>
        <w:t xml:space="preserve">, Artigas, Zorrilla, calles 25 de </w:t>
      </w:r>
      <w:r w:rsidR="008F1650">
        <w:rPr>
          <w:rFonts w:cs="Arial"/>
          <w:lang w:val="es-MX"/>
        </w:rPr>
        <w:t>M</w:t>
      </w:r>
      <w:r w:rsidR="009538C5">
        <w:rPr>
          <w:rFonts w:cs="Arial"/>
          <w:lang w:val="es-MX"/>
        </w:rPr>
        <w:t>ayo y Artigas;</w:t>
      </w:r>
    </w:p>
    <w:p w:rsidR="009538C5" w:rsidRDefault="00AE1D7A" w:rsidP="009538C5">
      <w:pPr>
        <w:spacing w:line="360" w:lineRule="auto"/>
        <w:ind w:firstLine="2835"/>
        <w:jc w:val="both"/>
        <w:rPr>
          <w:rFonts w:cs="Arial"/>
          <w:lang w:val="es-MX"/>
        </w:rPr>
      </w:pPr>
      <w:r w:rsidRPr="009538C5">
        <w:rPr>
          <w:rFonts w:cs="Arial"/>
          <w:b/>
          <w:lang w:val="es-MX"/>
        </w:rPr>
        <w:t>3</w:t>
      </w:r>
      <w:r w:rsidR="001F1636">
        <w:rPr>
          <w:rFonts w:cs="Arial"/>
          <w:b/>
          <w:lang w:val="es-MX"/>
        </w:rPr>
        <w:t xml:space="preserve">) </w:t>
      </w:r>
      <w:r w:rsidR="00B4797E">
        <w:rPr>
          <w:rFonts w:cs="Arial"/>
          <w:lang w:val="es-MX"/>
        </w:rPr>
        <w:t xml:space="preserve">que el </w:t>
      </w:r>
      <w:r w:rsidR="00647242">
        <w:rPr>
          <w:rFonts w:cs="Arial"/>
          <w:lang w:val="es-MX"/>
        </w:rPr>
        <w:t>Ejecutivo Departamental</w:t>
      </w:r>
      <w:r w:rsidR="00B4797E">
        <w:rPr>
          <w:rFonts w:cs="Arial"/>
          <w:lang w:val="es-MX"/>
        </w:rPr>
        <w:t xml:space="preserve">, por Resolución Nº </w:t>
      </w:r>
      <w:r w:rsidR="00583EB1">
        <w:rPr>
          <w:rFonts w:cs="Arial"/>
          <w:lang w:val="es-MX"/>
        </w:rPr>
        <w:t xml:space="preserve">1770/2018 </w:t>
      </w:r>
      <w:r w:rsidR="00647242">
        <w:rPr>
          <w:rFonts w:cs="Arial"/>
          <w:lang w:val="es-MX"/>
        </w:rPr>
        <w:t xml:space="preserve"> de fecha </w:t>
      </w:r>
      <w:r w:rsidR="00583EB1">
        <w:rPr>
          <w:rFonts w:cs="Arial"/>
          <w:lang w:val="es-MX"/>
        </w:rPr>
        <w:t>01/10/2018</w:t>
      </w:r>
      <w:r w:rsidR="00880F59">
        <w:rPr>
          <w:rFonts w:cs="Arial"/>
          <w:lang w:val="es-MX"/>
        </w:rPr>
        <w:t>,</w:t>
      </w:r>
      <w:r w:rsidR="00583EB1">
        <w:rPr>
          <w:rFonts w:cs="Arial"/>
          <w:lang w:val="es-MX"/>
        </w:rPr>
        <w:t xml:space="preserve"> </w:t>
      </w:r>
      <w:r>
        <w:rPr>
          <w:rFonts w:cs="Arial"/>
          <w:lang w:val="es-MX"/>
        </w:rPr>
        <w:t>dispuso:</w:t>
      </w:r>
    </w:p>
    <w:p w:rsidR="009538C5" w:rsidRDefault="00880F59" w:rsidP="009538C5">
      <w:pPr>
        <w:spacing w:line="360" w:lineRule="auto"/>
        <w:ind w:firstLine="2835"/>
        <w:jc w:val="both"/>
        <w:rPr>
          <w:rFonts w:cs="Arial"/>
          <w:lang w:val="es-MX"/>
        </w:rPr>
      </w:pPr>
      <w:r>
        <w:rPr>
          <w:rFonts w:cs="Arial"/>
          <w:b/>
          <w:lang w:val="es-MX"/>
        </w:rPr>
        <w:t>3</w:t>
      </w:r>
      <w:r w:rsidR="00647242" w:rsidRPr="00647242">
        <w:rPr>
          <w:rFonts w:cs="Arial"/>
          <w:b/>
          <w:lang w:val="es-MX"/>
        </w:rPr>
        <w:t>.1)</w:t>
      </w:r>
      <w:r w:rsidR="00B4797E">
        <w:rPr>
          <w:rFonts w:cs="Arial"/>
          <w:lang w:val="es-MX"/>
        </w:rPr>
        <w:t xml:space="preserve"> la </w:t>
      </w:r>
      <w:r w:rsidR="00A95217">
        <w:rPr>
          <w:rFonts w:cs="Arial"/>
          <w:lang w:val="es-MX"/>
        </w:rPr>
        <w:t xml:space="preserve"> implementación de un Plan d</w:t>
      </w:r>
      <w:r w:rsidR="00647242">
        <w:rPr>
          <w:rFonts w:cs="Arial"/>
          <w:lang w:val="es-MX"/>
        </w:rPr>
        <w:t xml:space="preserve">e Eficiencia Energética para el recambio de tecnología en el alumbrado público en </w:t>
      </w:r>
      <w:r w:rsidR="00583EB1">
        <w:rPr>
          <w:rFonts w:cs="Arial"/>
          <w:lang w:val="es-MX"/>
        </w:rPr>
        <w:t>la ciudad  de San José de Mayo en las Plazas: Treinta y Tres, Arriaga, Artigas, Zorrilla y calles 25 de Mayo y Artigas</w:t>
      </w:r>
      <w:r w:rsidR="009538C5">
        <w:rPr>
          <w:rFonts w:cs="Arial"/>
          <w:lang w:val="es-MX"/>
        </w:rPr>
        <w:t>, pasando a tecnología Led;</w:t>
      </w:r>
    </w:p>
    <w:p w:rsidR="009538C5" w:rsidRDefault="00880F59" w:rsidP="009538C5">
      <w:pPr>
        <w:spacing w:line="360" w:lineRule="auto"/>
        <w:ind w:firstLine="2835"/>
        <w:jc w:val="both"/>
        <w:rPr>
          <w:rFonts w:cs="Arial"/>
          <w:lang w:val="es-MX"/>
        </w:rPr>
      </w:pPr>
      <w:r>
        <w:rPr>
          <w:rFonts w:cs="Arial"/>
          <w:b/>
          <w:lang w:val="es-MX"/>
        </w:rPr>
        <w:lastRenderedPageBreak/>
        <w:t>3</w:t>
      </w:r>
      <w:r w:rsidR="00647242" w:rsidRPr="00647242">
        <w:rPr>
          <w:rFonts w:cs="Arial"/>
          <w:b/>
          <w:lang w:val="es-MX"/>
        </w:rPr>
        <w:t>.2)</w:t>
      </w:r>
      <w:r w:rsidR="00647242">
        <w:rPr>
          <w:rFonts w:cs="Arial"/>
          <w:lang w:val="es-MX"/>
        </w:rPr>
        <w:t xml:space="preserve"> la </w:t>
      </w:r>
      <w:r w:rsidR="00B4797E">
        <w:rPr>
          <w:rFonts w:cs="Arial"/>
          <w:lang w:val="es-MX"/>
        </w:rPr>
        <w:t>contratación con la firma</w:t>
      </w:r>
      <w:r w:rsidR="009466B0" w:rsidRPr="009466B0">
        <w:rPr>
          <w:rFonts w:cs="Arial"/>
          <w:lang w:val="es-MX"/>
        </w:rPr>
        <w:t xml:space="preserve"> </w:t>
      </w:r>
      <w:r w:rsidR="009466B0">
        <w:rPr>
          <w:rFonts w:cs="Arial"/>
          <w:lang w:val="es-MX"/>
        </w:rPr>
        <w:t>ENCENGEN SA (INNOVAT</w:t>
      </w:r>
      <w:r w:rsidR="009538C5">
        <w:rPr>
          <w:rFonts w:cs="Arial"/>
          <w:lang w:val="es-MX"/>
        </w:rPr>
        <w:t xml:space="preserve">EX) </w:t>
      </w:r>
      <w:r w:rsidR="00B4797E">
        <w:rPr>
          <w:rFonts w:cs="Arial"/>
          <w:lang w:val="es-MX"/>
        </w:rPr>
        <w:t xml:space="preserve">para la realización </w:t>
      </w:r>
      <w:r w:rsidR="00647242">
        <w:rPr>
          <w:rFonts w:cs="Arial"/>
          <w:lang w:val="es-MX"/>
        </w:rPr>
        <w:t>y ejecución del plan relacionado precedente</w:t>
      </w:r>
      <w:r w:rsidR="009538C5">
        <w:rPr>
          <w:rFonts w:cs="Arial"/>
          <w:lang w:val="es-MX"/>
        </w:rPr>
        <w:softHyphen/>
      </w:r>
      <w:r w:rsidR="00647242">
        <w:rPr>
          <w:rFonts w:cs="Arial"/>
          <w:lang w:val="es-MX"/>
        </w:rPr>
        <w:t xml:space="preserve">mente </w:t>
      </w:r>
      <w:r w:rsidR="009466B0">
        <w:rPr>
          <w:rFonts w:cs="Arial"/>
          <w:lang w:val="es-MX"/>
        </w:rPr>
        <w:t xml:space="preserve">de </w:t>
      </w:r>
      <w:r w:rsidR="00A95217">
        <w:rPr>
          <w:rFonts w:cs="Arial"/>
          <w:lang w:val="es-MX"/>
        </w:rPr>
        <w:t>a</w:t>
      </w:r>
      <w:r w:rsidR="009538C5">
        <w:rPr>
          <w:rFonts w:cs="Arial"/>
          <w:lang w:val="es-MX"/>
        </w:rPr>
        <w:t>cuerdo con el</w:t>
      </w:r>
      <w:r w:rsidR="00647242">
        <w:rPr>
          <w:rFonts w:cs="Arial"/>
          <w:lang w:val="es-MX"/>
        </w:rPr>
        <w:t xml:space="preserve"> Contrato Remunerado por Desempeño –Con</w:t>
      </w:r>
      <w:r w:rsidR="00A95217">
        <w:rPr>
          <w:rFonts w:cs="Arial"/>
          <w:lang w:val="es-MX"/>
        </w:rPr>
        <w:t>trato de Ahorros Compartidos- conforme a las</w:t>
      </w:r>
      <w:r w:rsidR="00647242">
        <w:rPr>
          <w:rFonts w:cs="Arial"/>
          <w:lang w:val="es-MX"/>
        </w:rPr>
        <w:t xml:space="preserve"> previsiones del </w:t>
      </w:r>
      <w:r w:rsidR="000E001C">
        <w:rPr>
          <w:rFonts w:cs="Arial"/>
          <w:lang w:val="es-MX"/>
        </w:rPr>
        <w:t>a</w:t>
      </w:r>
      <w:r w:rsidR="00647242">
        <w:rPr>
          <w:rFonts w:cs="Arial"/>
          <w:lang w:val="es-MX"/>
        </w:rPr>
        <w:t xml:space="preserve">rt. 2 del Decreto 289/2015, en búsqueda de un uso eficiente de energía conforme a los términos definidos por el </w:t>
      </w:r>
      <w:r w:rsidR="009538C5">
        <w:rPr>
          <w:rFonts w:cs="Arial"/>
          <w:lang w:val="es-MX"/>
        </w:rPr>
        <w:t>A</w:t>
      </w:r>
      <w:r w:rsidR="00647242">
        <w:rPr>
          <w:rFonts w:cs="Arial"/>
          <w:lang w:val="es-MX"/>
        </w:rPr>
        <w:t>rt</w:t>
      </w:r>
      <w:r w:rsidR="009538C5">
        <w:rPr>
          <w:rFonts w:cs="Arial"/>
          <w:lang w:val="es-MX"/>
        </w:rPr>
        <w:t>ículo</w:t>
      </w:r>
      <w:r w:rsidR="00647242">
        <w:rPr>
          <w:rFonts w:cs="Arial"/>
          <w:lang w:val="es-MX"/>
        </w:rPr>
        <w:t xml:space="preserve"> 2 </w:t>
      </w:r>
      <w:r w:rsidR="009538C5">
        <w:rPr>
          <w:rFonts w:cs="Arial"/>
          <w:lang w:val="es-MX"/>
        </w:rPr>
        <w:t>L</w:t>
      </w:r>
      <w:r w:rsidR="00647242">
        <w:rPr>
          <w:rFonts w:cs="Arial"/>
          <w:lang w:val="es-MX"/>
        </w:rPr>
        <w:t>it</w:t>
      </w:r>
      <w:r w:rsidR="009538C5">
        <w:rPr>
          <w:rFonts w:cs="Arial"/>
          <w:lang w:val="es-MX"/>
        </w:rPr>
        <w:t>eral</w:t>
      </w:r>
      <w:r w:rsidR="00647242">
        <w:rPr>
          <w:rFonts w:cs="Arial"/>
          <w:lang w:val="es-MX"/>
        </w:rPr>
        <w:t xml:space="preserve"> A de la Ley 18.597 y </w:t>
      </w:r>
      <w:r w:rsidR="009538C5">
        <w:rPr>
          <w:rFonts w:cs="Arial"/>
          <w:lang w:val="es-MX"/>
        </w:rPr>
        <w:t>A</w:t>
      </w:r>
      <w:r w:rsidR="00647242">
        <w:rPr>
          <w:rFonts w:cs="Arial"/>
          <w:lang w:val="es-MX"/>
        </w:rPr>
        <w:t>rt</w:t>
      </w:r>
      <w:r w:rsidR="009538C5">
        <w:rPr>
          <w:rFonts w:cs="Arial"/>
          <w:lang w:val="es-MX"/>
        </w:rPr>
        <w:t>ículo</w:t>
      </w:r>
      <w:r w:rsidR="00A95217">
        <w:rPr>
          <w:rFonts w:cs="Arial"/>
          <w:lang w:val="es-MX"/>
        </w:rPr>
        <w:t xml:space="preserve"> 2 </w:t>
      </w:r>
      <w:r w:rsidR="009538C5">
        <w:rPr>
          <w:rFonts w:cs="Arial"/>
          <w:lang w:val="es-MX"/>
        </w:rPr>
        <w:t>L</w:t>
      </w:r>
      <w:r w:rsidR="00A95217">
        <w:rPr>
          <w:rFonts w:cs="Arial"/>
          <w:lang w:val="es-MX"/>
        </w:rPr>
        <w:t>it</w:t>
      </w:r>
      <w:r w:rsidR="009538C5">
        <w:rPr>
          <w:rFonts w:cs="Arial"/>
          <w:lang w:val="es-MX"/>
        </w:rPr>
        <w:t>eral</w:t>
      </w:r>
      <w:r w:rsidR="00A95217">
        <w:rPr>
          <w:rFonts w:cs="Arial"/>
          <w:lang w:val="es-MX"/>
        </w:rPr>
        <w:t xml:space="preserve"> B del Decreto 354/2009;</w:t>
      </w:r>
    </w:p>
    <w:p w:rsidR="009538C5" w:rsidRDefault="00880F59" w:rsidP="009538C5">
      <w:pPr>
        <w:spacing w:line="360" w:lineRule="auto"/>
        <w:ind w:firstLine="2835"/>
        <w:jc w:val="both"/>
        <w:rPr>
          <w:rFonts w:cs="Arial"/>
          <w:lang w:val="es-MX"/>
        </w:rPr>
      </w:pPr>
      <w:r>
        <w:rPr>
          <w:rFonts w:cs="Arial"/>
          <w:b/>
          <w:lang w:val="es-MX"/>
        </w:rPr>
        <w:t>3</w:t>
      </w:r>
      <w:r w:rsidR="009466B0">
        <w:rPr>
          <w:rFonts w:cs="Arial"/>
          <w:b/>
          <w:lang w:val="es-MX"/>
        </w:rPr>
        <w:t xml:space="preserve">.3) </w:t>
      </w:r>
      <w:r w:rsidRPr="00880F59">
        <w:rPr>
          <w:rFonts w:cs="Arial"/>
          <w:lang w:val="es-MX"/>
        </w:rPr>
        <w:t>que</w:t>
      </w:r>
      <w:r>
        <w:rPr>
          <w:rFonts w:cs="Arial"/>
          <w:b/>
          <w:lang w:val="es-MX"/>
        </w:rPr>
        <w:t xml:space="preserve"> </w:t>
      </w:r>
      <w:r w:rsidR="009466B0">
        <w:rPr>
          <w:rFonts w:cs="Arial"/>
          <w:lang w:val="es-MX"/>
        </w:rPr>
        <w:t>previa firma del contrato respectivo</w:t>
      </w:r>
      <w:r>
        <w:rPr>
          <w:rFonts w:cs="Arial"/>
          <w:lang w:val="es-MX"/>
        </w:rPr>
        <w:t>,</w:t>
      </w:r>
      <w:r w:rsidR="009466B0">
        <w:rPr>
          <w:rFonts w:cs="Arial"/>
          <w:lang w:val="es-MX"/>
        </w:rPr>
        <w:t xml:space="preserve"> la </w:t>
      </w:r>
      <w:r>
        <w:rPr>
          <w:rFonts w:cs="Arial"/>
          <w:lang w:val="es-MX"/>
        </w:rPr>
        <w:t xml:space="preserve">empresa </w:t>
      </w:r>
      <w:r w:rsidR="009466B0">
        <w:rPr>
          <w:rFonts w:cs="Arial"/>
          <w:lang w:val="es-MX"/>
        </w:rPr>
        <w:t xml:space="preserve">deberá asumir a su cargo los gastos que correspondan a la contratación de un Agente Certificador de Ahorros de </w:t>
      </w:r>
      <w:r w:rsidR="009538C5">
        <w:rPr>
          <w:rFonts w:cs="Arial"/>
          <w:lang w:val="es-MX"/>
        </w:rPr>
        <w:t>Energía, registrado de acuerdo con</w:t>
      </w:r>
      <w:r w:rsidR="009466B0">
        <w:rPr>
          <w:rFonts w:cs="Arial"/>
          <w:lang w:val="es-MX"/>
        </w:rPr>
        <w:t xml:space="preserve"> lo prev</w:t>
      </w:r>
      <w:r w:rsidR="00A95217">
        <w:rPr>
          <w:rFonts w:cs="Arial"/>
          <w:lang w:val="es-MX"/>
        </w:rPr>
        <w:t>isto en el Decreto N° 317/2015;</w:t>
      </w:r>
    </w:p>
    <w:p w:rsidR="00880F59" w:rsidRDefault="00880F59" w:rsidP="009538C5">
      <w:pPr>
        <w:spacing w:line="360" w:lineRule="auto"/>
        <w:ind w:firstLine="2835"/>
        <w:jc w:val="both"/>
        <w:rPr>
          <w:rFonts w:cs="Arial"/>
          <w:lang w:val="es-MX"/>
        </w:rPr>
      </w:pPr>
      <w:r w:rsidRPr="009538C5">
        <w:rPr>
          <w:rFonts w:cs="Arial"/>
          <w:b/>
          <w:lang w:val="es-MX"/>
        </w:rPr>
        <w:t>4</w:t>
      </w:r>
      <w:r w:rsidR="00B4797E" w:rsidRPr="00B4797E">
        <w:rPr>
          <w:rFonts w:cs="Arial"/>
          <w:b/>
          <w:lang w:val="es-MX"/>
        </w:rPr>
        <w:t>)</w:t>
      </w:r>
      <w:r w:rsidR="00B4797E">
        <w:rPr>
          <w:rFonts w:cs="Arial"/>
          <w:b/>
          <w:lang w:val="es-MX"/>
        </w:rPr>
        <w:t xml:space="preserve"> </w:t>
      </w:r>
      <w:r>
        <w:rPr>
          <w:rFonts w:cs="Arial"/>
          <w:lang w:val="es-MX"/>
        </w:rPr>
        <w:t xml:space="preserve">que del texto del contrato remunerado por desempeño suscrito el 9/10/18, condicionado a la intervención previa de este Tribunal, surge, entre otros, que: </w:t>
      </w:r>
    </w:p>
    <w:p w:rsidR="009538C5" w:rsidRDefault="00880F59" w:rsidP="009538C5">
      <w:pPr>
        <w:spacing w:line="360" w:lineRule="auto"/>
        <w:jc w:val="both"/>
        <w:rPr>
          <w:rFonts w:cs="Arial"/>
          <w:lang w:val="es-MX"/>
        </w:rPr>
      </w:pPr>
      <w:r w:rsidRPr="009538C5">
        <w:rPr>
          <w:rFonts w:cs="Arial"/>
          <w:b/>
          <w:lang w:val="es-MX"/>
        </w:rPr>
        <w:t>a)</w:t>
      </w:r>
      <w:r>
        <w:rPr>
          <w:rFonts w:cs="Arial"/>
          <w:lang w:val="es-MX"/>
        </w:rPr>
        <w:t xml:space="preserve"> la empresa ENCENGEN SA (INNOVATEX)  </w:t>
      </w:r>
      <w:r w:rsidRPr="00563195">
        <w:rPr>
          <w:rFonts w:cs="Arial"/>
          <w:lang w:val="es-MX"/>
        </w:rPr>
        <w:t xml:space="preserve">realizará </w:t>
      </w:r>
      <w:r>
        <w:rPr>
          <w:rFonts w:cs="Arial"/>
          <w:lang w:val="es-MX"/>
        </w:rPr>
        <w:t>el 100% de la inversión atinente a la ejecución del Plan, (cláusula quinta), suministrará 133 luminarias LED -1PT02-60, 40 reflectores LED-FI-375-80W, 204 luminarias LED-GD-10-60W, y 102 soportes brazo do</w:t>
      </w:r>
      <w:r w:rsidR="009538C5">
        <w:rPr>
          <w:rFonts w:cs="Arial"/>
          <w:lang w:val="es-MX"/>
        </w:rPr>
        <w:t>ble y 235 columnas de 3 metros;</w:t>
      </w:r>
    </w:p>
    <w:p w:rsidR="009538C5" w:rsidRDefault="00880F59" w:rsidP="009538C5">
      <w:pPr>
        <w:spacing w:line="360" w:lineRule="auto"/>
        <w:jc w:val="both"/>
        <w:rPr>
          <w:rFonts w:cs="Arial"/>
          <w:lang w:val="es-MX"/>
        </w:rPr>
      </w:pPr>
      <w:r w:rsidRPr="009538C5">
        <w:rPr>
          <w:rFonts w:cs="Arial"/>
          <w:b/>
          <w:lang w:val="es-MX"/>
        </w:rPr>
        <w:t>b)</w:t>
      </w:r>
      <w:r>
        <w:rPr>
          <w:rFonts w:cs="Arial"/>
          <w:lang w:val="es-MX"/>
        </w:rPr>
        <w:t xml:space="preserve">  la Intendencia tendrá a su cargo la sustitución de las luminarias existentes por las de tecnología LED y deberá realizar todos los trámites ante el Poder Ejecutivo, MEF, para obtener la resolución que reconozca </w:t>
      </w:r>
      <w:r w:rsidRPr="00563195">
        <w:rPr>
          <w:rFonts w:cs="Arial"/>
          <w:lang w:val="es-MX"/>
        </w:rPr>
        <w:t>la</w:t>
      </w:r>
      <w:r>
        <w:rPr>
          <w:rFonts w:cs="Arial"/>
          <w:lang w:val="es-MX"/>
        </w:rPr>
        <w:t xml:space="preserve"> exoneración, acreditando que las luminarias son para el alumbrado público departamental, efectuando por si el </w:t>
      </w:r>
      <w:r w:rsidR="009538C5">
        <w:rPr>
          <w:rFonts w:cs="Arial"/>
          <w:lang w:val="es-MX"/>
        </w:rPr>
        <w:t>despacho aduanero respectivo;</w:t>
      </w:r>
    </w:p>
    <w:p w:rsidR="009538C5" w:rsidRDefault="00880F59" w:rsidP="009538C5">
      <w:pPr>
        <w:spacing w:line="360" w:lineRule="auto"/>
        <w:jc w:val="both"/>
        <w:rPr>
          <w:rFonts w:cs="Arial"/>
          <w:lang w:val="es-MX"/>
        </w:rPr>
      </w:pPr>
      <w:r w:rsidRPr="009538C5">
        <w:rPr>
          <w:rFonts w:cs="Arial"/>
          <w:b/>
          <w:lang w:val="es-MX"/>
        </w:rPr>
        <w:t>c)</w:t>
      </w:r>
      <w:r w:rsidRPr="00AE1D7A">
        <w:rPr>
          <w:rFonts w:cs="Arial"/>
          <w:lang w:val="es-MX"/>
        </w:rPr>
        <w:t xml:space="preserve"> </w:t>
      </w:r>
      <w:r>
        <w:rPr>
          <w:rFonts w:cs="Arial"/>
          <w:lang w:val="es-MX"/>
        </w:rPr>
        <w:t xml:space="preserve">el plazo previsto en la contratación para la instalación no podrá superar los 2 meses hábiles de la industria de la construcción, contados a partir de la entrega de las luminarias en el Departamento de San </w:t>
      </w:r>
      <w:r w:rsidR="009538C5">
        <w:rPr>
          <w:rFonts w:cs="Arial"/>
          <w:lang w:val="es-MX"/>
        </w:rPr>
        <w:t>José, para su sustitución;</w:t>
      </w:r>
    </w:p>
    <w:p w:rsidR="009538C5" w:rsidRPr="009538C5" w:rsidRDefault="00880F59" w:rsidP="009538C5">
      <w:pPr>
        <w:spacing w:line="360" w:lineRule="auto"/>
        <w:jc w:val="both"/>
        <w:rPr>
          <w:rFonts w:cs="Arial"/>
          <w:b/>
          <w:lang w:val="es-MX"/>
        </w:rPr>
      </w:pPr>
      <w:r w:rsidRPr="009538C5">
        <w:rPr>
          <w:rFonts w:cs="Arial"/>
          <w:b/>
          <w:lang w:val="es-MX"/>
        </w:rPr>
        <w:t>d)</w:t>
      </w:r>
      <w:r>
        <w:rPr>
          <w:rFonts w:cs="Arial"/>
          <w:lang w:val="es-MX"/>
        </w:rPr>
        <w:t xml:space="preserve"> la amortización del total de la inversión,</w:t>
      </w:r>
      <w:r w:rsidR="009538C5">
        <w:rPr>
          <w:rFonts w:cs="Arial"/>
          <w:lang w:val="es-MX"/>
        </w:rPr>
        <w:t xml:space="preserve"> que asciende a la suma de U$S</w:t>
      </w:r>
      <w:r>
        <w:rPr>
          <w:rFonts w:cs="Arial"/>
          <w:lang w:val="es-MX"/>
        </w:rPr>
        <w:t xml:space="preserve">150.210,25, se efectuará con los recursos derivados del ahorro generado por el efecto del plan que se instrumenta, obligándose la Intendencia al pago </w:t>
      </w:r>
      <w:r>
        <w:rPr>
          <w:rFonts w:cs="Arial"/>
          <w:lang w:val="es-MX"/>
        </w:rPr>
        <w:lastRenderedPageBreak/>
        <w:t>de 20 meses consecutivos con un repago mensual máximo de U$S 7.510,21.</w:t>
      </w:r>
      <w:r w:rsidRPr="00AE1D7A">
        <w:rPr>
          <w:rFonts w:cs="Arial"/>
          <w:lang w:val="es-MX"/>
        </w:rPr>
        <w:t xml:space="preserve"> </w:t>
      </w:r>
      <w:r>
        <w:rPr>
          <w:rFonts w:cs="Arial"/>
          <w:lang w:val="es-MX"/>
        </w:rPr>
        <w:t xml:space="preserve">La inversión a cargo de la empresa se amortizara por la Intendencia mediante el pago de cantidad equivalente al 100% de los recursos de ahorro generados por efectos del Plan hasta la cancelación de la inversión, quedando los recursos restantes por el periodo de garantía para la Intendencia de acuerdo con determinadas </w:t>
      </w:r>
      <w:r w:rsidRPr="009538C5">
        <w:rPr>
          <w:rFonts w:cs="Arial"/>
          <w:lang w:val="es-MX"/>
        </w:rPr>
        <w:t>pautas</w:t>
      </w:r>
      <w:r w:rsidR="009538C5" w:rsidRPr="009538C5">
        <w:rPr>
          <w:rFonts w:cs="Arial"/>
          <w:lang w:val="es-MX"/>
        </w:rPr>
        <w:t>;</w:t>
      </w:r>
    </w:p>
    <w:p w:rsidR="003B533F" w:rsidRPr="003B533F" w:rsidRDefault="00880F59" w:rsidP="009538C5">
      <w:pPr>
        <w:spacing w:line="360" w:lineRule="auto"/>
        <w:ind w:firstLine="2694"/>
        <w:jc w:val="both"/>
        <w:rPr>
          <w:rFonts w:cs="Arial"/>
          <w:lang w:val="es-MX"/>
        </w:rPr>
      </w:pPr>
      <w:r w:rsidRPr="009538C5">
        <w:rPr>
          <w:rFonts w:cs="Arial"/>
          <w:b/>
          <w:lang w:val="es-MX"/>
        </w:rPr>
        <w:t>5</w:t>
      </w:r>
      <w:r w:rsidR="003B533F" w:rsidRPr="003B533F">
        <w:rPr>
          <w:rFonts w:cs="Arial"/>
          <w:b/>
          <w:lang w:val="es-MX"/>
        </w:rPr>
        <w:t>)</w:t>
      </w:r>
      <w:r w:rsidR="003B533F">
        <w:rPr>
          <w:rFonts w:cs="Arial"/>
          <w:b/>
          <w:lang w:val="es-MX"/>
        </w:rPr>
        <w:t xml:space="preserve"> </w:t>
      </w:r>
      <w:r w:rsidR="005F1080">
        <w:rPr>
          <w:rFonts w:cs="Arial"/>
          <w:lang w:val="es-MX"/>
        </w:rPr>
        <w:t xml:space="preserve">que </w:t>
      </w:r>
      <w:r w:rsidR="00361445">
        <w:rPr>
          <w:rFonts w:cs="Arial"/>
          <w:lang w:val="es-MX"/>
        </w:rPr>
        <w:t xml:space="preserve">no </w:t>
      </w:r>
      <w:r w:rsidR="005F1080">
        <w:rPr>
          <w:rFonts w:cs="Arial"/>
          <w:lang w:val="es-MX"/>
        </w:rPr>
        <w:t xml:space="preserve">consta informe </w:t>
      </w:r>
      <w:r w:rsidR="00F345A3">
        <w:rPr>
          <w:rFonts w:cs="Arial"/>
          <w:lang w:val="es-MX"/>
        </w:rPr>
        <w:t>contable</w:t>
      </w:r>
      <w:r w:rsidR="003B533F">
        <w:rPr>
          <w:rFonts w:cs="Arial"/>
          <w:lang w:val="es-MX"/>
        </w:rPr>
        <w:t>;</w:t>
      </w:r>
    </w:p>
    <w:p w:rsidR="009538C5" w:rsidRDefault="004329D9" w:rsidP="009538C5">
      <w:pPr>
        <w:spacing w:line="360" w:lineRule="auto"/>
        <w:ind w:firstLine="851"/>
        <w:jc w:val="both"/>
        <w:rPr>
          <w:rFonts w:cs="Arial"/>
          <w:lang w:val="es-MX"/>
        </w:rPr>
      </w:pPr>
      <w:r>
        <w:rPr>
          <w:rFonts w:cs="Arial"/>
          <w:b/>
          <w:bCs/>
          <w:lang w:val="es-MX"/>
        </w:rPr>
        <w:t>CONSIDERANDO:</w:t>
      </w:r>
      <w:r>
        <w:rPr>
          <w:rFonts w:cs="Arial"/>
          <w:lang w:val="es-MX"/>
        </w:rPr>
        <w:t xml:space="preserve"> </w:t>
      </w:r>
      <w:r w:rsidRPr="0000131B">
        <w:rPr>
          <w:rFonts w:cs="Arial"/>
          <w:b/>
          <w:lang w:val="es-MX"/>
        </w:rPr>
        <w:t>1)</w:t>
      </w:r>
      <w:r>
        <w:rPr>
          <w:rFonts w:cs="Arial"/>
          <w:lang w:val="es-MX"/>
        </w:rPr>
        <w:t xml:space="preserve"> que </w:t>
      </w:r>
      <w:r w:rsidR="009538C5">
        <w:rPr>
          <w:rFonts w:cs="Arial"/>
          <w:lang w:val="es-MX"/>
        </w:rPr>
        <w:t>la L</w:t>
      </w:r>
      <w:r w:rsidR="004A1867">
        <w:rPr>
          <w:rFonts w:cs="Arial"/>
          <w:lang w:val="es-MX"/>
        </w:rPr>
        <w:t xml:space="preserve">ey Nº 18.597 </w:t>
      </w:r>
      <w:r w:rsidR="00595751">
        <w:rPr>
          <w:rFonts w:cs="Arial"/>
          <w:lang w:val="es-MX"/>
        </w:rPr>
        <w:t xml:space="preserve">promueve el uso eficiente de la energía </w:t>
      </w:r>
      <w:r w:rsidR="003D3CB2">
        <w:rPr>
          <w:rFonts w:cs="Arial"/>
          <w:lang w:val="es-MX"/>
        </w:rPr>
        <w:t>e instrumenta diversos mecanismos</w:t>
      </w:r>
      <w:r w:rsidR="00A95217">
        <w:rPr>
          <w:rFonts w:cs="Arial"/>
          <w:lang w:val="es-MX"/>
        </w:rPr>
        <w:t>,</w:t>
      </w:r>
      <w:r w:rsidR="001428B9">
        <w:rPr>
          <w:rFonts w:cs="Arial"/>
          <w:lang w:val="es-MX"/>
        </w:rPr>
        <w:t xml:space="preserve"> </w:t>
      </w:r>
      <w:r w:rsidR="00595751">
        <w:rPr>
          <w:rFonts w:cs="Arial"/>
          <w:lang w:val="es-MX"/>
        </w:rPr>
        <w:t xml:space="preserve">y </w:t>
      </w:r>
      <w:r w:rsidR="001428B9">
        <w:rPr>
          <w:rFonts w:cs="Arial"/>
          <w:lang w:val="es-MX"/>
        </w:rPr>
        <w:t xml:space="preserve">el </w:t>
      </w:r>
      <w:r w:rsidR="009538C5">
        <w:rPr>
          <w:rFonts w:cs="Arial"/>
          <w:lang w:val="es-MX"/>
        </w:rPr>
        <w:t>Decreto</w:t>
      </w:r>
      <w:r w:rsidR="00595751">
        <w:rPr>
          <w:rFonts w:cs="Arial"/>
          <w:lang w:val="es-MX"/>
        </w:rPr>
        <w:t xml:space="preserve"> 289/015</w:t>
      </w:r>
      <w:r w:rsidR="00871421">
        <w:rPr>
          <w:rFonts w:cs="Arial"/>
          <w:lang w:val="es-MX"/>
        </w:rPr>
        <w:t xml:space="preserve">  reglamenta los contratos remunerados por desempeño de eficiencia energética</w:t>
      </w:r>
      <w:r w:rsidR="007A1B28">
        <w:rPr>
          <w:rFonts w:cs="Arial"/>
          <w:lang w:val="es-MX"/>
        </w:rPr>
        <w:t xml:space="preserve"> con empresas ESCO (Empresa de Servicios Energéticos según nomenclatura anglosajona) </w:t>
      </w:r>
      <w:r w:rsidR="00F966DD">
        <w:rPr>
          <w:rFonts w:cs="Arial"/>
          <w:lang w:val="es-MX"/>
        </w:rPr>
        <w:t>inscriptas en el MIEM</w:t>
      </w:r>
      <w:r w:rsidR="00595751">
        <w:rPr>
          <w:rFonts w:cs="Arial"/>
          <w:lang w:val="es-MX"/>
        </w:rPr>
        <w:t>;</w:t>
      </w:r>
    </w:p>
    <w:p w:rsidR="009538C5" w:rsidRDefault="00871421" w:rsidP="009538C5">
      <w:pPr>
        <w:spacing w:line="360" w:lineRule="auto"/>
        <w:ind w:firstLine="3119"/>
        <w:jc w:val="both"/>
        <w:rPr>
          <w:rFonts w:cs="Arial"/>
          <w:lang w:val="es-MX"/>
        </w:rPr>
      </w:pPr>
      <w:r w:rsidRPr="009538C5">
        <w:rPr>
          <w:rFonts w:cs="Arial"/>
          <w:b/>
          <w:lang w:val="es-MX"/>
        </w:rPr>
        <w:t>2)</w:t>
      </w:r>
      <w:r>
        <w:rPr>
          <w:rFonts w:cs="Arial"/>
          <w:lang w:val="es-MX"/>
        </w:rPr>
        <w:t xml:space="preserve"> que el </w:t>
      </w:r>
      <w:r w:rsidR="009538C5">
        <w:rPr>
          <w:rFonts w:cs="Arial"/>
          <w:lang w:val="es-MX"/>
        </w:rPr>
        <w:t>Numeral 26, L</w:t>
      </w:r>
      <w:r>
        <w:rPr>
          <w:rFonts w:cs="Arial"/>
          <w:lang w:val="es-MX"/>
        </w:rPr>
        <w:t xml:space="preserve">iteral C, del </w:t>
      </w:r>
      <w:r w:rsidR="009538C5">
        <w:rPr>
          <w:rFonts w:cs="Arial"/>
          <w:lang w:val="es-MX"/>
        </w:rPr>
        <w:t>A</w:t>
      </w:r>
      <w:r>
        <w:rPr>
          <w:rFonts w:cs="Arial"/>
          <w:lang w:val="es-MX"/>
        </w:rPr>
        <w:t>rt</w:t>
      </w:r>
      <w:r w:rsidR="009538C5">
        <w:rPr>
          <w:rFonts w:cs="Arial"/>
          <w:lang w:val="es-MX"/>
        </w:rPr>
        <w:t>ículo 33 del T.O.C.A.F. (A</w:t>
      </w:r>
      <w:r>
        <w:rPr>
          <w:rFonts w:cs="Arial"/>
          <w:lang w:val="es-MX"/>
        </w:rPr>
        <w:t>rt</w:t>
      </w:r>
      <w:r w:rsidR="009538C5">
        <w:rPr>
          <w:rFonts w:cs="Arial"/>
          <w:lang w:val="es-MX"/>
        </w:rPr>
        <w:t>ículo 25 de la L</w:t>
      </w:r>
      <w:r>
        <w:rPr>
          <w:rFonts w:cs="Arial"/>
          <w:lang w:val="es-MX"/>
        </w:rPr>
        <w:t xml:space="preserve">ey Nº 18.597) </w:t>
      </w:r>
      <w:r w:rsidR="004329D9">
        <w:rPr>
          <w:rFonts w:cs="Arial"/>
          <w:lang w:val="es-MX"/>
        </w:rPr>
        <w:t>establece</w:t>
      </w:r>
      <w:r w:rsidR="00DF6E78">
        <w:rPr>
          <w:rFonts w:cs="Arial"/>
          <w:lang w:val="es-MX"/>
        </w:rPr>
        <w:t xml:space="preserve"> como excepción al régimen general de contratación, </w:t>
      </w:r>
      <w:r w:rsidR="004329D9">
        <w:rPr>
          <w:rFonts w:cs="Arial"/>
          <w:lang w:val="es-MX"/>
        </w:rPr>
        <w:t>“Los contratos con empresas de servicios energéticos públicas o privadas que se encuentren registradas en el Ministerio de Industria, Energía y Minería (MIEM) y que se desarrollen bajo el esquema de contratos remunerados por desempeño, en los cuales la inversión sea financiada íntegra o parcialmente por la empresa de servicios energéticos</w:t>
      </w:r>
      <w:r w:rsidR="00A95217">
        <w:rPr>
          <w:rFonts w:cs="Arial"/>
          <w:lang w:val="es-MX"/>
        </w:rPr>
        <w:t>”;</w:t>
      </w:r>
    </w:p>
    <w:p w:rsidR="009538C5" w:rsidRDefault="00871421" w:rsidP="009538C5">
      <w:pPr>
        <w:spacing w:line="360" w:lineRule="auto"/>
        <w:ind w:firstLine="3119"/>
        <w:jc w:val="both"/>
        <w:rPr>
          <w:rFonts w:cs="Arial"/>
          <w:lang w:val="es-MX"/>
        </w:rPr>
      </w:pPr>
      <w:r w:rsidRPr="00871421">
        <w:rPr>
          <w:rFonts w:cs="Arial"/>
          <w:b/>
          <w:lang w:val="es-MX"/>
        </w:rPr>
        <w:t>3)</w:t>
      </w:r>
      <w:r w:rsidR="009538C5">
        <w:rPr>
          <w:rFonts w:cs="Arial"/>
          <w:lang w:val="es-MX"/>
        </w:rPr>
        <w:t xml:space="preserve"> que la contratación directa </w:t>
      </w:r>
      <w:r w:rsidR="00880F59">
        <w:rPr>
          <w:rFonts w:cs="Arial"/>
          <w:lang w:val="es-MX"/>
        </w:rPr>
        <w:t xml:space="preserve">dispuesta </w:t>
      </w:r>
      <w:r w:rsidR="004329D9">
        <w:rPr>
          <w:rFonts w:cs="Arial"/>
          <w:lang w:val="es-MX"/>
        </w:rPr>
        <w:t xml:space="preserve">  encua</w:t>
      </w:r>
      <w:r w:rsidR="009538C5">
        <w:rPr>
          <w:rFonts w:cs="Arial"/>
          <w:lang w:val="es-MX"/>
        </w:rPr>
        <w:softHyphen/>
      </w:r>
      <w:r w:rsidR="004329D9">
        <w:rPr>
          <w:rFonts w:cs="Arial"/>
          <w:lang w:val="es-MX"/>
        </w:rPr>
        <w:t>dra en la causal legal de excepción invocada;</w:t>
      </w:r>
    </w:p>
    <w:p w:rsidR="005F1080" w:rsidRDefault="00871421" w:rsidP="009538C5">
      <w:pPr>
        <w:spacing w:line="360" w:lineRule="auto"/>
        <w:ind w:firstLine="3119"/>
        <w:jc w:val="both"/>
        <w:rPr>
          <w:rFonts w:cs="Arial"/>
          <w:lang w:val="es-MX"/>
        </w:rPr>
      </w:pPr>
      <w:r w:rsidRPr="009538C5">
        <w:rPr>
          <w:rFonts w:cs="Arial"/>
          <w:b/>
          <w:lang w:val="es-MX"/>
        </w:rPr>
        <w:t>4)</w:t>
      </w:r>
      <w:r>
        <w:rPr>
          <w:rFonts w:cs="Arial"/>
          <w:lang w:val="es-MX"/>
        </w:rPr>
        <w:t xml:space="preserve"> que la contratación de referencia</w:t>
      </w:r>
      <w:r w:rsidR="00880F59">
        <w:rPr>
          <w:rFonts w:cs="Arial"/>
          <w:lang w:val="es-MX"/>
        </w:rPr>
        <w:t>,</w:t>
      </w:r>
      <w:r>
        <w:rPr>
          <w:rFonts w:cs="Arial"/>
          <w:lang w:val="es-MX"/>
        </w:rPr>
        <w:t xml:space="preserve"> se efectuó ad </w:t>
      </w:r>
      <w:proofErr w:type="spellStart"/>
      <w:r>
        <w:rPr>
          <w:rFonts w:cs="Arial"/>
          <w:lang w:val="es-MX"/>
        </w:rPr>
        <w:t>referendum</w:t>
      </w:r>
      <w:proofErr w:type="spellEnd"/>
      <w:r>
        <w:rPr>
          <w:rFonts w:cs="Arial"/>
          <w:lang w:val="es-MX"/>
        </w:rPr>
        <w:t xml:space="preserve"> de la intervención de este Tribunal; </w:t>
      </w:r>
    </w:p>
    <w:p w:rsidR="004329D9" w:rsidRDefault="004329D9" w:rsidP="00602CFD">
      <w:pPr>
        <w:spacing w:line="360" w:lineRule="auto"/>
        <w:ind w:firstLine="851"/>
        <w:jc w:val="both"/>
        <w:rPr>
          <w:rFonts w:cs="Arial"/>
          <w:lang w:val="es-MX"/>
        </w:rPr>
      </w:pPr>
      <w:r w:rsidRPr="004329D9">
        <w:rPr>
          <w:rFonts w:cs="Arial"/>
          <w:b/>
          <w:lang w:val="es-MX"/>
        </w:rPr>
        <w:t>ATENTO:</w:t>
      </w:r>
      <w:r>
        <w:rPr>
          <w:rFonts w:cs="Arial"/>
          <w:lang w:val="es-MX"/>
        </w:rPr>
        <w:t xml:space="preserve"> a lo precedentemente expu</w:t>
      </w:r>
      <w:r w:rsidR="00602CFD">
        <w:rPr>
          <w:rFonts w:cs="Arial"/>
          <w:lang w:val="es-MX"/>
        </w:rPr>
        <w:t>esto y a lo establecido por el Literal B), del A</w:t>
      </w:r>
      <w:r>
        <w:rPr>
          <w:rFonts w:cs="Arial"/>
          <w:lang w:val="es-MX"/>
        </w:rPr>
        <w:t>rtículo 211 de la Constitución de la República;</w:t>
      </w:r>
    </w:p>
    <w:p w:rsidR="004329D9" w:rsidRDefault="004329D9">
      <w:pPr>
        <w:spacing w:line="360" w:lineRule="auto"/>
        <w:jc w:val="both"/>
        <w:rPr>
          <w:rFonts w:cs="Arial"/>
          <w:lang w:val="es-MX"/>
        </w:rPr>
      </w:pPr>
    </w:p>
    <w:p w:rsidR="00602CFD" w:rsidRDefault="00602CFD">
      <w:pPr>
        <w:spacing w:line="360" w:lineRule="auto"/>
        <w:jc w:val="both"/>
        <w:rPr>
          <w:rFonts w:cs="Arial"/>
          <w:lang w:val="es-MX"/>
        </w:rPr>
      </w:pPr>
    </w:p>
    <w:p w:rsidR="00602CFD" w:rsidRDefault="00602CFD">
      <w:pPr>
        <w:spacing w:line="360" w:lineRule="auto"/>
        <w:jc w:val="both"/>
        <w:rPr>
          <w:rFonts w:cs="Arial"/>
          <w:lang w:val="es-MX"/>
        </w:rPr>
      </w:pPr>
    </w:p>
    <w:p w:rsidR="00602CFD" w:rsidRDefault="00602CFD">
      <w:pPr>
        <w:spacing w:line="360" w:lineRule="auto"/>
        <w:jc w:val="both"/>
        <w:rPr>
          <w:rFonts w:cs="Arial"/>
          <w:lang w:val="es-MX"/>
        </w:rPr>
      </w:pPr>
    </w:p>
    <w:p w:rsidR="004329D9" w:rsidRPr="00602CFD" w:rsidRDefault="004329D9">
      <w:pPr>
        <w:spacing w:line="360" w:lineRule="auto"/>
        <w:jc w:val="center"/>
        <w:rPr>
          <w:rFonts w:cs="Arial"/>
          <w:b/>
          <w:bCs/>
          <w:lang w:val="es-MX"/>
        </w:rPr>
      </w:pPr>
      <w:r w:rsidRPr="00602CFD">
        <w:rPr>
          <w:rFonts w:cs="Arial"/>
          <w:b/>
          <w:bCs/>
          <w:lang w:val="es-MX"/>
        </w:rPr>
        <w:lastRenderedPageBreak/>
        <w:t>EL</w:t>
      </w:r>
      <w:r w:rsidR="00602CFD">
        <w:rPr>
          <w:rFonts w:cs="Arial"/>
          <w:b/>
          <w:bCs/>
          <w:lang w:val="es-MX"/>
        </w:rPr>
        <w:t xml:space="preserve"> TRIBUNAL ACUERDA</w:t>
      </w:r>
    </w:p>
    <w:p w:rsidR="00A95217" w:rsidRDefault="004329D9" w:rsidP="00602CFD">
      <w:pPr>
        <w:spacing w:line="360" w:lineRule="auto"/>
        <w:ind w:left="284" w:hanging="284"/>
        <w:jc w:val="both"/>
        <w:rPr>
          <w:rFonts w:cs="Arial"/>
          <w:lang w:val="es-MX"/>
        </w:rPr>
      </w:pPr>
      <w:r w:rsidRPr="004329D9">
        <w:rPr>
          <w:rFonts w:cs="Arial"/>
          <w:b/>
          <w:lang w:val="es-MX"/>
        </w:rPr>
        <w:t>1)</w:t>
      </w:r>
      <w:r>
        <w:rPr>
          <w:rFonts w:cs="Arial"/>
          <w:lang w:val="es-MX"/>
        </w:rPr>
        <w:t xml:space="preserve"> Cometer al Contador Delegado la intervención del gasto, previo control de su imputación a rubro adecuado con disponibilidad </w:t>
      </w:r>
      <w:r w:rsidR="00A95217">
        <w:rPr>
          <w:rFonts w:cs="Arial"/>
          <w:lang w:val="es-MX"/>
        </w:rPr>
        <w:t xml:space="preserve">presupuestal </w:t>
      </w:r>
      <w:r>
        <w:rPr>
          <w:rFonts w:cs="Arial"/>
          <w:lang w:val="es-MX"/>
        </w:rPr>
        <w:t>suficiente</w:t>
      </w:r>
      <w:r w:rsidR="00A95217">
        <w:rPr>
          <w:rFonts w:cs="Arial"/>
          <w:lang w:val="es-MX"/>
        </w:rPr>
        <w:t>;</w:t>
      </w:r>
    </w:p>
    <w:p w:rsidR="00A95217" w:rsidRDefault="00A95217">
      <w:pPr>
        <w:spacing w:line="360" w:lineRule="auto"/>
        <w:jc w:val="both"/>
        <w:rPr>
          <w:rFonts w:cs="Arial"/>
          <w:lang w:val="es-MX"/>
        </w:rPr>
      </w:pPr>
      <w:r w:rsidRPr="00602CFD">
        <w:rPr>
          <w:rFonts w:cs="Arial"/>
          <w:b/>
          <w:lang w:val="es-MX"/>
        </w:rPr>
        <w:t>2)</w:t>
      </w:r>
      <w:r>
        <w:rPr>
          <w:rFonts w:cs="Arial"/>
          <w:lang w:val="es-MX"/>
        </w:rPr>
        <w:t xml:space="preserve"> Comunicar al Contador Delegado;</w:t>
      </w:r>
    </w:p>
    <w:p w:rsidR="004329D9" w:rsidRDefault="004329D9" w:rsidP="00602CFD">
      <w:pPr>
        <w:spacing w:line="360" w:lineRule="auto"/>
        <w:jc w:val="both"/>
        <w:rPr>
          <w:rFonts w:cs="Arial"/>
          <w:lang w:val="es-MX"/>
        </w:rPr>
      </w:pPr>
      <w:r w:rsidRPr="004329D9">
        <w:rPr>
          <w:rFonts w:cs="Arial"/>
          <w:b/>
          <w:lang w:val="es-MX"/>
        </w:rPr>
        <w:t>3)</w:t>
      </w:r>
      <w:r>
        <w:rPr>
          <w:rFonts w:cs="Arial"/>
          <w:lang w:val="es-MX"/>
        </w:rPr>
        <w:t xml:space="preserve"> Devolver las actuaciones.</w:t>
      </w:r>
    </w:p>
    <w:p w:rsidR="00602CFD" w:rsidRDefault="00602CFD" w:rsidP="00602CFD">
      <w:pPr>
        <w:spacing w:line="360" w:lineRule="auto"/>
        <w:jc w:val="both"/>
        <w:rPr>
          <w:rFonts w:cs="Arial"/>
          <w:lang w:val="es-MX"/>
        </w:rPr>
      </w:pPr>
    </w:p>
    <w:p w:rsidR="00602CFD" w:rsidRDefault="00602CFD" w:rsidP="00602CFD">
      <w:pPr>
        <w:spacing w:line="360" w:lineRule="auto"/>
        <w:jc w:val="both"/>
        <w:rPr>
          <w:rFonts w:cs="Arial"/>
          <w:lang w:val="es-MX"/>
        </w:rPr>
      </w:pPr>
    </w:p>
    <w:p w:rsidR="00602CFD" w:rsidRDefault="00602CFD" w:rsidP="00602CFD">
      <w:pPr>
        <w:spacing w:line="360" w:lineRule="auto"/>
        <w:jc w:val="both"/>
        <w:rPr>
          <w:rFonts w:cs="Arial"/>
          <w:lang w:val="es-MX"/>
        </w:rPr>
      </w:pPr>
    </w:p>
    <w:p w:rsidR="00602CFD" w:rsidRDefault="00602CFD" w:rsidP="00602CFD">
      <w:pPr>
        <w:spacing w:line="360" w:lineRule="auto"/>
        <w:jc w:val="both"/>
        <w:rPr>
          <w:rFonts w:cs="Arial"/>
          <w:lang w:val="es-MX"/>
        </w:rPr>
      </w:pPr>
    </w:p>
    <w:p w:rsidR="00602CFD" w:rsidRDefault="00602CFD" w:rsidP="00602CFD">
      <w:pPr>
        <w:spacing w:line="360" w:lineRule="auto"/>
        <w:jc w:val="both"/>
        <w:rPr>
          <w:rFonts w:cs="Arial"/>
          <w:lang w:val="es-MX"/>
        </w:rPr>
      </w:pPr>
    </w:p>
    <w:p w:rsidR="00602CFD" w:rsidRPr="004329D9" w:rsidRDefault="00602CFD" w:rsidP="00602CFD">
      <w:pPr>
        <w:spacing w:line="360" w:lineRule="auto"/>
        <w:ind w:hanging="426"/>
        <w:jc w:val="both"/>
        <w:rPr>
          <w:rFonts w:cs="Arial"/>
          <w:sz w:val="20"/>
          <w:lang w:val="es-MX"/>
        </w:rPr>
      </w:pPr>
      <w:proofErr w:type="gramStart"/>
      <w:r>
        <w:rPr>
          <w:rFonts w:cs="Arial"/>
          <w:lang w:val="es-MX"/>
        </w:rPr>
        <w:t>dc</w:t>
      </w:r>
      <w:bookmarkStart w:id="0" w:name="_GoBack"/>
      <w:bookmarkEnd w:id="0"/>
      <w:proofErr w:type="gramEnd"/>
    </w:p>
    <w:sectPr w:rsidR="00602CFD" w:rsidRPr="004329D9" w:rsidSect="009538C5">
      <w:footerReference w:type="even" r:id="rId7"/>
      <w:footerReference w:type="default" r:id="rId8"/>
      <w:pgSz w:w="11907" w:h="16840" w:code="9"/>
      <w:pgMar w:top="3119" w:right="1701" w:bottom="1701"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E04" w:rsidRDefault="007C7E04">
      <w:r>
        <w:separator/>
      </w:r>
    </w:p>
  </w:endnote>
  <w:endnote w:type="continuationSeparator" w:id="0">
    <w:p w:rsidR="007C7E04" w:rsidRDefault="007C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421" w:rsidRDefault="0087142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71421" w:rsidRDefault="0087142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642737"/>
      <w:docPartObj>
        <w:docPartGallery w:val="Page Numbers (Bottom of Page)"/>
        <w:docPartUnique/>
      </w:docPartObj>
    </w:sdtPr>
    <w:sdtContent>
      <w:p w:rsidR="009538C5" w:rsidRDefault="009538C5">
        <w:pPr>
          <w:pStyle w:val="Piedepgina"/>
          <w:jc w:val="center"/>
        </w:pPr>
        <w:r>
          <w:fldChar w:fldCharType="begin"/>
        </w:r>
        <w:r>
          <w:instrText>PAGE   \* MERGEFORMAT</w:instrText>
        </w:r>
        <w:r>
          <w:fldChar w:fldCharType="separate"/>
        </w:r>
        <w:r w:rsidR="00602CFD">
          <w:rPr>
            <w:noProof/>
          </w:rPr>
          <w:t>4</w:t>
        </w:r>
        <w:r>
          <w:fldChar w:fldCharType="end"/>
        </w:r>
      </w:p>
    </w:sdtContent>
  </w:sdt>
  <w:p w:rsidR="00871421" w:rsidRDefault="0087142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E04" w:rsidRDefault="007C7E04">
      <w:r>
        <w:separator/>
      </w:r>
    </w:p>
  </w:footnote>
  <w:footnote w:type="continuationSeparator" w:id="0">
    <w:p w:rsidR="007C7E04" w:rsidRDefault="007C7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2BD"/>
    <w:rsid w:val="0000131B"/>
    <w:rsid w:val="00060688"/>
    <w:rsid w:val="000E001C"/>
    <w:rsid w:val="001428B9"/>
    <w:rsid w:val="001B4C75"/>
    <w:rsid w:val="001F1636"/>
    <w:rsid w:val="0025150A"/>
    <w:rsid w:val="002D53B6"/>
    <w:rsid w:val="00361445"/>
    <w:rsid w:val="003B533F"/>
    <w:rsid w:val="003D3CB2"/>
    <w:rsid w:val="00406868"/>
    <w:rsid w:val="004258FE"/>
    <w:rsid w:val="004329D9"/>
    <w:rsid w:val="004A1867"/>
    <w:rsid w:val="004A27A3"/>
    <w:rsid w:val="004D172C"/>
    <w:rsid w:val="0052488B"/>
    <w:rsid w:val="00546295"/>
    <w:rsid w:val="00563195"/>
    <w:rsid w:val="00583EB1"/>
    <w:rsid w:val="00595751"/>
    <w:rsid w:val="005A7F5F"/>
    <w:rsid w:val="005B22BD"/>
    <w:rsid w:val="005F1080"/>
    <w:rsid w:val="005F3112"/>
    <w:rsid w:val="005F67A1"/>
    <w:rsid w:val="00602CFD"/>
    <w:rsid w:val="006034A0"/>
    <w:rsid w:val="00647242"/>
    <w:rsid w:val="00663DEB"/>
    <w:rsid w:val="006B2D54"/>
    <w:rsid w:val="007A1B28"/>
    <w:rsid w:val="007B38B0"/>
    <w:rsid w:val="007C7E04"/>
    <w:rsid w:val="007F01D8"/>
    <w:rsid w:val="0084633E"/>
    <w:rsid w:val="0085188B"/>
    <w:rsid w:val="00871421"/>
    <w:rsid w:val="00880F59"/>
    <w:rsid w:val="00882EA8"/>
    <w:rsid w:val="008865A2"/>
    <w:rsid w:val="008A2472"/>
    <w:rsid w:val="008F1650"/>
    <w:rsid w:val="00932F34"/>
    <w:rsid w:val="00945273"/>
    <w:rsid w:val="009466B0"/>
    <w:rsid w:val="009538C5"/>
    <w:rsid w:val="00957965"/>
    <w:rsid w:val="009669DA"/>
    <w:rsid w:val="009C55A5"/>
    <w:rsid w:val="00A95217"/>
    <w:rsid w:val="00AE1D7A"/>
    <w:rsid w:val="00B40862"/>
    <w:rsid w:val="00B425C8"/>
    <w:rsid w:val="00B4797E"/>
    <w:rsid w:val="00B94CC9"/>
    <w:rsid w:val="00C80692"/>
    <w:rsid w:val="00D30129"/>
    <w:rsid w:val="00DF6E78"/>
    <w:rsid w:val="00E0154F"/>
    <w:rsid w:val="00E53C3F"/>
    <w:rsid w:val="00E57CDB"/>
    <w:rsid w:val="00EC54F0"/>
    <w:rsid w:val="00EE652B"/>
    <w:rsid w:val="00EF62D2"/>
    <w:rsid w:val="00F345A3"/>
    <w:rsid w:val="00F70D5A"/>
    <w:rsid w:val="00F966D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bCs/>
      <w:lang w:val="es-MX"/>
    </w:rPr>
  </w:style>
  <w:style w:type="paragraph" w:styleId="Ttulo2">
    <w:name w:val="heading 2"/>
    <w:basedOn w:val="Normal"/>
    <w:next w:val="Normal"/>
    <w:qFormat/>
    <w:pPr>
      <w:keepNext/>
      <w:spacing w:line="360" w:lineRule="auto"/>
      <w:jc w:val="center"/>
      <w:outlineLvl w:val="1"/>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cs="Arial"/>
      <w:lang w:val="es-MX"/>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character" w:styleId="Hipervnculo">
    <w:name w:val="Hyperlink"/>
    <w:uiPriority w:val="99"/>
    <w:unhideWhenUsed/>
    <w:rsid w:val="004329D9"/>
    <w:rPr>
      <w:color w:val="0000FF"/>
      <w:u w:val="single"/>
    </w:rPr>
  </w:style>
  <w:style w:type="paragraph" w:styleId="Encabezado">
    <w:name w:val="header"/>
    <w:basedOn w:val="Normal"/>
    <w:link w:val="EncabezadoCar"/>
    <w:uiPriority w:val="99"/>
    <w:unhideWhenUsed/>
    <w:rsid w:val="00B40862"/>
    <w:pPr>
      <w:tabs>
        <w:tab w:val="center" w:pos="4252"/>
        <w:tab w:val="right" w:pos="8504"/>
      </w:tabs>
    </w:pPr>
  </w:style>
  <w:style w:type="character" w:customStyle="1" w:styleId="EncabezadoCar">
    <w:name w:val="Encabezado Car"/>
    <w:basedOn w:val="Fuentedeprrafopredeter"/>
    <w:link w:val="Encabezado"/>
    <w:uiPriority w:val="99"/>
    <w:rsid w:val="00B40862"/>
    <w:rPr>
      <w:rFonts w:ascii="Arial" w:hAnsi="Arial"/>
      <w:sz w:val="24"/>
      <w:lang w:val="es-ES" w:eastAsia="es-ES"/>
    </w:rPr>
  </w:style>
  <w:style w:type="character" w:customStyle="1" w:styleId="PiedepginaCar">
    <w:name w:val="Pie de página Car"/>
    <w:basedOn w:val="Fuentedeprrafopredeter"/>
    <w:link w:val="Piedepgina"/>
    <w:uiPriority w:val="99"/>
    <w:rsid w:val="009538C5"/>
    <w:rPr>
      <w:rFonts w:ascii="Arial" w:hAnsi="Arial"/>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bCs/>
      <w:lang w:val="es-MX"/>
    </w:rPr>
  </w:style>
  <w:style w:type="paragraph" w:styleId="Ttulo2">
    <w:name w:val="heading 2"/>
    <w:basedOn w:val="Normal"/>
    <w:next w:val="Normal"/>
    <w:qFormat/>
    <w:pPr>
      <w:keepNext/>
      <w:spacing w:line="360" w:lineRule="auto"/>
      <w:jc w:val="center"/>
      <w:outlineLvl w:val="1"/>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cs="Arial"/>
      <w:lang w:val="es-MX"/>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character" w:styleId="Hipervnculo">
    <w:name w:val="Hyperlink"/>
    <w:uiPriority w:val="99"/>
    <w:unhideWhenUsed/>
    <w:rsid w:val="004329D9"/>
    <w:rPr>
      <w:color w:val="0000FF"/>
      <w:u w:val="single"/>
    </w:rPr>
  </w:style>
  <w:style w:type="paragraph" w:styleId="Encabezado">
    <w:name w:val="header"/>
    <w:basedOn w:val="Normal"/>
    <w:link w:val="EncabezadoCar"/>
    <w:uiPriority w:val="99"/>
    <w:unhideWhenUsed/>
    <w:rsid w:val="00B40862"/>
    <w:pPr>
      <w:tabs>
        <w:tab w:val="center" w:pos="4252"/>
        <w:tab w:val="right" w:pos="8504"/>
      </w:tabs>
    </w:pPr>
  </w:style>
  <w:style w:type="character" w:customStyle="1" w:styleId="EncabezadoCar">
    <w:name w:val="Encabezado Car"/>
    <w:basedOn w:val="Fuentedeprrafopredeter"/>
    <w:link w:val="Encabezado"/>
    <w:uiPriority w:val="99"/>
    <w:rsid w:val="00B40862"/>
    <w:rPr>
      <w:rFonts w:ascii="Arial" w:hAnsi="Arial"/>
      <w:sz w:val="24"/>
      <w:lang w:val="es-ES" w:eastAsia="es-ES"/>
    </w:rPr>
  </w:style>
  <w:style w:type="character" w:customStyle="1" w:styleId="PiedepginaCar">
    <w:name w:val="Pie de página Car"/>
    <w:basedOn w:val="Fuentedeprrafopredeter"/>
    <w:link w:val="Piedepgina"/>
    <w:uiPriority w:val="99"/>
    <w:rsid w:val="009538C5"/>
    <w:rPr>
      <w:rFonts w:ascii="Arial" w:hAnsi="Arial"/>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4497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5327</CharactersWithSpaces>
  <SharedDoc>false</SharedDoc>
  <HLinks>
    <vt:vector size="6" baseType="variant">
      <vt:variant>
        <vt:i4>262238</vt:i4>
      </vt:variant>
      <vt:variant>
        <vt:i4>0</vt:i4>
      </vt:variant>
      <vt:variant>
        <vt:i4>0</vt:i4>
      </vt:variant>
      <vt:variant>
        <vt:i4>5</vt:i4>
      </vt:variant>
      <vt:variant>
        <vt:lpwstr>\\Tcrnw03\vol1\USUARIOS\JUR-GDEP\Misdocumentos\compras directas\2016-4881.doc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de Cuentas</dc:creator>
  <cp:lastModifiedBy>tribunal1</cp:lastModifiedBy>
  <cp:revision>2</cp:revision>
  <cp:lastPrinted>2018-11-23T18:49:00Z</cp:lastPrinted>
  <dcterms:created xsi:type="dcterms:W3CDTF">2018-11-23T18:49:00Z</dcterms:created>
  <dcterms:modified xsi:type="dcterms:W3CDTF">2018-11-23T18:49:00Z</dcterms:modified>
</cp:coreProperties>
</file>