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6FE" w:rsidRPr="00786EEB" w:rsidRDefault="003D16F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 w:rsidR="009F3B76">
        <w:rPr>
          <w:rFonts w:ascii="Arial" w:hAnsi="Arial" w:cs="Arial"/>
          <w:b/>
          <w:sz w:val="28"/>
          <w:szCs w:val="28"/>
          <w:lang w:val="es-ES_tradnl"/>
        </w:rPr>
        <w:t>3583</w:t>
      </w:r>
      <w:r>
        <w:rPr>
          <w:rFonts w:ascii="Arial" w:hAnsi="Arial" w:cs="Arial"/>
          <w:b/>
          <w:sz w:val="28"/>
          <w:szCs w:val="28"/>
          <w:lang w:val="es-ES_tradnl"/>
        </w:rPr>
        <w:t>/18</w:t>
      </w:r>
    </w:p>
    <w:p w:rsidR="003D16FE" w:rsidRDefault="003D16F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3D16FE" w:rsidRPr="009F3B76" w:rsidRDefault="003D16FE" w:rsidP="009F3B7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F3B7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D16FE" w:rsidRPr="009F3B76" w:rsidRDefault="003D16FE" w:rsidP="009F3B7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D16FE" w:rsidRPr="009F3B76" w:rsidRDefault="003D16FE" w:rsidP="009F3B7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F3B7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D16FE" w:rsidRPr="009F3B76" w:rsidRDefault="003D16FE" w:rsidP="009F3B7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D16FE" w:rsidRPr="009F3B76" w:rsidRDefault="003D16FE" w:rsidP="009F3B7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9F3B76">
        <w:rPr>
          <w:rFonts w:ascii="Arial" w:hAnsi="Arial" w:cs="Arial"/>
          <w:b/>
          <w:sz w:val="24"/>
          <w:szCs w:val="24"/>
          <w:lang w:val="es-ES_tradnl"/>
        </w:rPr>
        <w:t xml:space="preserve">EN SESION DE FECHA 21 DE NOVIEMBRE </w:t>
      </w:r>
      <w:r w:rsidRPr="009F3B76">
        <w:rPr>
          <w:rFonts w:ascii="Helvetica" w:hAnsi="Helvetica"/>
          <w:b/>
          <w:sz w:val="24"/>
          <w:szCs w:val="24"/>
          <w:lang w:val="es-ES_tradnl"/>
        </w:rPr>
        <w:t>DE 2018</w:t>
      </w:r>
    </w:p>
    <w:p w:rsidR="003D16FE" w:rsidRPr="009F3B76" w:rsidRDefault="003D16FE" w:rsidP="009F3B7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D16FE" w:rsidRPr="009F3B76" w:rsidRDefault="003D16FE" w:rsidP="009F3B7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9F3B76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 w:rsidR="009F3B76">
        <w:rPr>
          <w:rFonts w:ascii="Arial" w:hAnsi="Arial" w:cs="Arial"/>
          <w:b/>
          <w:sz w:val="24"/>
          <w:szCs w:val="24"/>
          <w:lang w:val="en-US"/>
        </w:rPr>
        <w:t>2018-17-1-0006549</w:t>
      </w:r>
      <w:r w:rsidRPr="009F3B76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9F3B76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9F3B76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 w:rsidR="009F3B76">
        <w:rPr>
          <w:rFonts w:ascii="Arial" w:hAnsi="Arial" w:cs="Arial"/>
          <w:b/>
          <w:sz w:val="24"/>
          <w:szCs w:val="24"/>
          <w:lang w:val="en-US"/>
        </w:rPr>
        <w:t>5047/18</w:t>
      </w:r>
      <w:r w:rsidRPr="009F3B76">
        <w:rPr>
          <w:rFonts w:ascii="Arial" w:hAnsi="Arial" w:cs="Arial"/>
          <w:b/>
          <w:sz w:val="24"/>
          <w:szCs w:val="24"/>
          <w:lang w:val="en-US"/>
        </w:rPr>
        <w:t>)</w:t>
      </w:r>
    </w:p>
    <w:p w:rsidR="009F3B76" w:rsidRDefault="009F3B76" w:rsidP="00423DD0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9F3B76" w:rsidRDefault="00DC321E" w:rsidP="009F3B7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2131EF">
        <w:rPr>
          <w:rFonts w:ascii="Arial" w:hAnsi="Arial" w:cs="Arial"/>
          <w:sz w:val="24"/>
          <w:szCs w:val="24"/>
        </w:rPr>
        <w:t>las actuaciones remitidas por la Contadora Delegada en la Intendencia de Montevideo, relacionada</w:t>
      </w:r>
      <w:r w:rsidR="002E7BFF">
        <w:rPr>
          <w:rFonts w:ascii="Arial" w:hAnsi="Arial" w:cs="Arial"/>
          <w:sz w:val="24"/>
          <w:szCs w:val="24"/>
        </w:rPr>
        <w:t>s</w:t>
      </w:r>
      <w:r w:rsidR="002131EF">
        <w:rPr>
          <w:rFonts w:ascii="Arial" w:hAnsi="Arial" w:cs="Arial"/>
          <w:sz w:val="24"/>
          <w:szCs w:val="24"/>
        </w:rPr>
        <w:t xml:space="preserve"> </w:t>
      </w:r>
      <w:r w:rsidR="009F3B76">
        <w:rPr>
          <w:rFonts w:ascii="Arial" w:hAnsi="Arial" w:cs="Arial"/>
          <w:sz w:val="24"/>
          <w:szCs w:val="24"/>
        </w:rPr>
        <w:t>con la Licitación Pública N°</w:t>
      </w:r>
      <w:r w:rsidR="00FE2756">
        <w:rPr>
          <w:rFonts w:ascii="Arial" w:hAnsi="Arial" w:cs="Arial"/>
          <w:sz w:val="24"/>
          <w:szCs w:val="24"/>
        </w:rPr>
        <w:t xml:space="preserve"> 334.115</w:t>
      </w:r>
      <w:r w:rsidR="002131EF">
        <w:rPr>
          <w:rFonts w:ascii="Arial" w:hAnsi="Arial" w:cs="Arial"/>
          <w:sz w:val="24"/>
          <w:szCs w:val="24"/>
        </w:rPr>
        <w:t>/1 para</w:t>
      </w:r>
      <w:r w:rsidR="00FE2756">
        <w:rPr>
          <w:rFonts w:ascii="Arial" w:hAnsi="Arial" w:cs="Arial"/>
          <w:sz w:val="24"/>
          <w:szCs w:val="24"/>
        </w:rPr>
        <w:t xml:space="preserve"> la adquisición de máquinas electrónicas tragamonedas de juegos de azar con destino al Casino Parque Hotel</w:t>
      </w:r>
      <w:r w:rsidR="00EA1232">
        <w:rPr>
          <w:rFonts w:ascii="Arial" w:hAnsi="Arial" w:cs="Arial"/>
          <w:sz w:val="24"/>
          <w:szCs w:val="24"/>
        </w:rPr>
        <w:t>;</w:t>
      </w:r>
    </w:p>
    <w:p w:rsidR="009F3B76" w:rsidRDefault="002131EF" w:rsidP="009F3B7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1) </w:t>
      </w:r>
      <w:r w:rsidR="004D10EE">
        <w:rPr>
          <w:rFonts w:ascii="Arial" w:hAnsi="Arial" w:cs="Arial"/>
          <w:sz w:val="24"/>
          <w:szCs w:val="24"/>
        </w:rPr>
        <w:t xml:space="preserve">que por Resolución N° </w:t>
      </w:r>
      <w:r w:rsidR="00FE2756">
        <w:rPr>
          <w:rFonts w:ascii="Arial" w:hAnsi="Arial" w:cs="Arial"/>
          <w:sz w:val="24"/>
          <w:szCs w:val="24"/>
        </w:rPr>
        <w:t>124</w:t>
      </w:r>
      <w:r>
        <w:rPr>
          <w:rFonts w:ascii="Arial" w:hAnsi="Arial" w:cs="Arial"/>
          <w:sz w:val="24"/>
          <w:szCs w:val="24"/>
        </w:rPr>
        <w:t xml:space="preserve">/2018 de fecha </w:t>
      </w:r>
      <w:r w:rsidR="00225125">
        <w:rPr>
          <w:rFonts w:ascii="Arial" w:hAnsi="Arial" w:cs="Arial"/>
          <w:sz w:val="24"/>
          <w:szCs w:val="24"/>
        </w:rPr>
        <w:t>1</w:t>
      </w:r>
      <w:r w:rsidR="00FE275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.0</w:t>
      </w:r>
      <w:r w:rsidR="00FE275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.18, se dispuso autorizar el </w:t>
      </w:r>
      <w:r w:rsidR="009F3B76">
        <w:rPr>
          <w:rFonts w:ascii="Arial" w:hAnsi="Arial" w:cs="Arial"/>
          <w:sz w:val="24"/>
          <w:szCs w:val="24"/>
        </w:rPr>
        <w:t>llamado a la presente L</w:t>
      </w:r>
      <w:r>
        <w:rPr>
          <w:rFonts w:ascii="Arial" w:hAnsi="Arial" w:cs="Arial"/>
          <w:sz w:val="24"/>
          <w:szCs w:val="24"/>
        </w:rPr>
        <w:t>icitación y aprobar el Pliego Particular de Condiciones</w:t>
      </w:r>
      <w:r w:rsidR="00FE2756">
        <w:rPr>
          <w:rFonts w:ascii="Arial" w:hAnsi="Arial" w:cs="Arial"/>
          <w:sz w:val="24"/>
          <w:szCs w:val="24"/>
        </w:rPr>
        <w:t>, fijando la apertura para el día 25.04.18</w:t>
      </w:r>
      <w:r>
        <w:rPr>
          <w:rFonts w:ascii="Arial" w:hAnsi="Arial" w:cs="Arial"/>
          <w:sz w:val="24"/>
          <w:szCs w:val="24"/>
        </w:rPr>
        <w:t>;</w:t>
      </w:r>
    </w:p>
    <w:p w:rsidR="009F3B76" w:rsidRDefault="004A04B0" w:rsidP="009F3B7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F3B76">
        <w:rPr>
          <w:rFonts w:ascii="Arial" w:hAnsi="Arial" w:cs="Arial"/>
          <w:b/>
          <w:sz w:val="24"/>
          <w:szCs w:val="24"/>
        </w:rPr>
        <w:t>2</w:t>
      </w:r>
      <w:r w:rsidR="00A236C1" w:rsidRPr="00A236C1">
        <w:rPr>
          <w:rFonts w:ascii="Arial" w:hAnsi="Arial" w:cs="Arial"/>
          <w:b/>
          <w:sz w:val="24"/>
          <w:szCs w:val="24"/>
        </w:rPr>
        <w:t>)</w:t>
      </w:r>
      <w:r w:rsidR="00A236C1">
        <w:rPr>
          <w:rFonts w:ascii="Arial" w:hAnsi="Arial" w:cs="Arial"/>
          <w:b/>
          <w:sz w:val="24"/>
          <w:szCs w:val="24"/>
        </w:rPr>
        <w:t xml:space="preserve"> </w:t>
      </w:r>
      <w:r w:rsidR="00A236C1">
        <w:rPr>
          <w:rFonts w:ascii="Arial" w:hAnsi="Arial" w:cs="Arial"/>
          <w:sz w:val="24"/>
          <w:szCs w:val="24"/>
        </w:rPr>
        <w:t xml:space="preserve">que </w:t>
      </w:r>
      <w:r w:rsidR="00910776">
        <w:rPr>
          <w:rFonts w:ascii="Arial" w:hAnsi="Arial" w:cs="Arial"/>
          <w:sz w:val="24"/>
          <w:szCs w:val="24"/>
        </w:rPr>
        <w:t>se e</w:t>
      </w:r>
      <w:r w:rsidR="00423DD0">
        <w:rPr>
          <w:rFonts w:ascii="Arial" w:hAnsi="Arial" w:cs="Arial"/>
          <w:sz w:val="24"/>
          <w:szCs w:val="24"/>
        </w:rPr>
        <w:t xml:space="preserve">fectuaron las publicaciones </w:t>
      </w:r>
      <w:r w:rsidR="002D66E7">
        <w:rPr>
          <w:rFonts w:ascii="Arial" w:hAnsi="Arial" w:cs="Arial"/>
          <w:sz w:val="24"/>
          <w:szCs w:val="24"/>
        </w:rPr>
        <w:t>correspon</w:t>
      </w:r>
      <w:r w:rsidR="009F3B76">
        <w:rPr>
          <w:rFonts w:ascii="Arial" w:hAnsi="Arial" w:cs="Arial"/>
          <w:sz w:val="24"/>
          <w:szCs w:val="24"/>
        </w:rPr>
        <w:softHyphen/>
      </w:r>
      <w:r w:rsidR="002D66E7">
        <w:rPr>
          <w:rFonts w:ascii="Arial" w:hAnsi="Arial" w:cs="Arial"/>
          <w:sz w:val="24"/>
          <w:szCs w:val="24"/>
        </w:rPr>
        <w:t>dientes</w:t>
      </w:r>
      <w:r w:rsidR="002E7BFF">
        <w:rPr>
          <w:rFonts w:ascii="Arial" w:hAnsi="Arial" w:cs="Arial"/>
          <w:sz w:val="24"/>
          <w:szCs w:val="24"/>
        </w:rPr>
        <w:t>,</w:t>
      </w:r>
      <w:r w:rsidR="009F3B76">
        <w:rPr>
          <w:rFonts w:ascii="Arial" w:hAnsi="Arial" w:cs="Arial"/>
          <w:sz w:val="24"/>
          <w:szCs w:val="24"/>
        </w:rPr>
        <w:t xml:space="preserve"> de acuerdo con</w:t>
      </w:r>
      <w:r w:rsidR="002D66E7">
        <w:rPr>
          <w:rFonts w:ascii="Arial" w:hAnsi="Arial" w:cs="Arial"/>
          <w:sz w:val="24"/>
          <w:szCs w:val="24"/>
        </w:rPr>
        <w:t xml:space="preserve"> lo previsto en el </w:t>
      </w:r>
      <w:r w:rsidR="009F3B76">
        <w:rPr>
          <w:rFonts w:ascii="Arial" w:hAnsi="Arial" w:cs="Arial"/>
          <w:sz w:val="24"/>
          <w:szCs w:val="24"/>
        </w:rPr>
        <w:t>A</w:t>
      </w:r>
      <w:r w:rsidR="002D66E7">
        <w:rPr>
          <w:rFonts w:ascii="Arial" w:hAnsi="Arial" w:cs="Arial"/>
          <w:sz w:val="24"/>
          <w:szCs w:val="24"/>
        </w:rPr>
        <w:t>rt</w:t>
      </w:r>
      <w:r w:rsidR="009F3B76">
        <w:rPr>
          <w:rFonts w:ascii="Arial" w:hAnsi="Arial" w:cs="Arial"/>
          <w:sz w:val="24"/>
          <w:szCs w:val="24"/>
        </w:rPr>
        <w:t>ículo</w:t>
      </w:r>
      <w:r w:rsidR="002D66E7">
        <w:rPr>
          <w:rFonts w:ascii="Arial" w:hAnsi="Arial" w:cs="Arial"/>
          <w:sz w:val="24"/>
          <w:szCs w:val="24"/>
        </w:rPr>
        <w:t xml:space="preserve"> 51 del TOCAF;</w:t>
      </w:r>
    </w:p>
    <w:p w:rsidR="009F3B76" w:rsidRDefault="004A04B0" w:rsidP="009F3B7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F3B76">
        <w:rPr>
          <w:rFonts w:ascii="Arial" w:hAnsi="Arial" w:cs="Arial"/>
          <w:b/>
          <w:sz w:val="24"/>
          <w:szCs w:val="24"/>
        </w:rPr>
        <w:t>3</w:t>
      </w:r>
      <w:r w:rsidR="00A236C1" w:rsidRPr="00A236C1">
        <w:rPr>
          <w:rFonts w:ascii="Arial" w:hAnsi="Arial" w:cs="Arial"/>
          <w:b/>
          <w:sz w:val="24"/>
          <w:szCs w:val="24"/>
        </w:rPr>
        <w:t>)</w:t>
      </w:r>
      <w:r w:rsidR="00A236C1">
        <w:rPr>
          <w:rFonts w:ascii="Arial" w:hAnsi="Arial" w:cs="Arial"/>
          <w:b/>
          <w:sz w:val="24"/>
          <w:szCs w:val="24"/>
        </w:rPr>
        <w:t xml:space="preserve"> </w:t>
      </w:r>
      <w:r w:rsidR="00007A2E" w:rsidRPr="00007A2E">
        <w:rPr>
          <w:rFonts w:ascii="Arial" w:hAnsi="Arial" w:cs="Arial"/>
          <w:sz w:val="24"/>
          <w:szCs w:val="24"/>
        </w:rPr>
        <w:t>que</w:t>
      </w:r>
      <w:r w:rsidR="00007A2E">
        <w:rPr>
          <w:rFonts w:ascii="Arial" w:hAnsi="Arial" w:cs="Arial"/>
          <w:sz w:val="24"/>
          <w:szCs w:val="24"/>
        </w:rPr>
        <w:t xml:space="preserve"> </w:t>
      </w:r>
      <w:r w:rsidR="00B108CC">
        <w:rPr>
          <w:rFonts w:ascii="Arial" w:hAnsi="Arial" w:cs="Arial"/>
          <w:sz w:val="24"/>
          <w:szCs w:val="24"/>
        </w:rPr>
        <w:t xml:space="preserve">al </w:t>
      </w:r>
      <w:r w:rsidR="002E7BFF">
        <w:rPr>
          <w:rFonts w:ascii="Arial" w:hAnsi="Arial" w:cs="Arial"/>
          <w:sz w:val="24"/>
          <w:szCs w:val="24"/>
        </w:rPr>
        <w:t>a</w:t>
      </w:r>
      <w:r w:rsidR="00B108CC">
        <w:rPr>
          <w:rFonts w:ascii="Arial" w:hAnsi="Arial" w:cs="Arial"/>
          <w:sz w:val="24"/>
          <w:szCs w:val="24"/>
        </w:rPr>
        <w:t xml:space="preserve">cto de </w:t>
      </w:r>
      <w:r w:rsidR="002E7BFF">
        <w:rPr>
          <w:rFonts w:ascii="Arial" w:hAnsi="Arial" w:cs="Arial"/>
          <w:sz w:val="24"/>
          <w:szCs w:val="24"/>
        </w:rPr>
        <w:t>a</w:t>
      </w:r>
      <w:r w:rsidR="00B108CC">
        <w:rPr>
          <w:rFonts w:ascii="Arial" w:hAnsi="Arial" w:cs="Arial"/>
          <w:sz w:val="24"/>
          <w:szCs w:val="24"/>
        </w:rPr>
        <w:t>pertura</w:t>
      </w:r>
      <w:r w:rsidR="002E7BFF">
        <w:rPr>
          <w:rFonts w:ascii="Arial" w:hAnsi="Arial" w:cs="Arial"/>
          <w:sz w:val="24"/>
          <w:szCs w:val="24"/>
        </w:rPr>
        <w:t>,</w:t>
      </w:r>
      <w:r w:rsidR="00B108CC">
        <w:rPr>
          <w:rFonts w:ascii="Arial" w:hAnsi="Arial" w:cs="Arial"/>
          <w:sz w:val="24"/>
          <w:szCs w:val="24"/>
        </w:rPr>
        <w:t xml:space="preserve"> que tuvo lugar </w:t>
      </w:r>
      <w:r w:rsidR="00101242">
        <w:rPr>
          <w:rFonts w:ascii="Arial" w:hAnsi="Arial" w:cs="Arial"/>
          <w:sz w:val="24"/>
          <w:szCs w:val="24"/>
        </w:rPr>
        <w:t>con fecha 25.04</w:t>
      </w:r>
      <w:r w:rsidR="00600E2C">
        <w:rPr>
          <w:rFonts w:ascii="Arial" w:hAnsi="Arial" w:cs="Arial"/>
          <w:sz w:val="24"/>
          <w:szCs w:val="24"/>
        </w:rPr>
        <w:t>.18</w:t>
      </w:r>
      <w:r w:rsidR="002E7BFF">
        <w:rPr>
          <w:rFonts w:ascii="Arial" w:hAnsi="Arial" w:cs="Arial"/>
          <w:sz w:val="24"/>
          <w:szCs w:val="24"/>
        </w:rPr>
        <w:t>,</w:t>
      </w:r>
      <w:r w:rsidR="00600E2C">
        <w:rPr>
          <w:rFonts w:ascii="Arial" w:hAnsi="Arial" w:cs="Arial"/>
          <w:sz w:val="24"/>
          <w:szCs w:val="24"/>
        </w:rPr>
        <w:t xml:space="preserve"> se recibieron</w:t>
      </w:r>
      <w:r w:rsidR="00101242">
        <w:rPr>
          <w:rFonts w:ascii="Arial" w:hAnsi="Arial" w:cs="Arial"/>
          <w:sz w:val="24"/>
          <w:szCs w:val="24"/>
        </w:rPr>
        <w:t xml:space="preserve"> </w:t>
      </w:r>
      <w:r w:rsidR="00600E2C">
        <w:rPr>
          <w:rFonts w:ascii="Arial" w:hAnsi="Arial" w:cs="Arial"/>
          <w:sz w:val="24"/>
          <w:szCs w:val="24"/>
        </w:rPr>
        <w:t>propuestas</w:t>
      </w:r>
      <w:r w:rsidR="002E7BFF">
        <w:rPr>
          <w:rFonts w:ascii="Arial" w:hAnsi="Arial" w:cs="Arial"/>
          <w:sz w:val="24"/>
          <w:szCs w:val="24"/>
        </w:rPr>
        <w:t xml:space="preserve"> de:</w:t>
      </w:r>
      <w:r w:rsidR="00600E2C">
        <w:rPr>
          <w:rFonts w:ascii="Arial" w:hAnsi="Arial" w:cs="Arial"/>
          <w:sz w:val="24"/>
          <w:szCs w:val="24"/>
        </w:rPr>
        <w:t xml:space="preserve"> </w:t>
      </w:r>
      <w:r w:rsidR="00101242">
        <w:rPr>
          <w:rFonts w:ascii="Arial" w:hAnsi="Arial" w:cs="Arial"/>
          <w:sz w:val="24"/>
          <w:szCs w:val="24"/>
        </w:rPr>
        <w:t>I</w:t>
      </w:r>
      <w:r w:rsidR="001B1460">
        <w:rPr>
          <w:rFonts w:ascii="Arial" w:hAnsi="Arial" w:cs="Arial"/>
          <w:sz w:val="24"/>
          <w:szCs w:val="24"/>
        </w:rPr>
        <w:t>C</w:t>
      </w:r>
      <w:r w:rsidR="00101242">
        <w:rPr>
          <w:rFonts w:ascii="Arial" w:hAnsi="Arial" w:cs="Arial"/>
          <w:sz w:val="24"/>
          <w:szCs w:val="24"/>
        </w:rPr>
        <w:t>M</w:t>
      </w:r>
      <w:r w:rsidR="001B1460">
        <w:rPr>
          <w:rFonts w:ascii="Arial" w:hAnsi="Arial" w:cs="Arial"/>
          <w:sz w:val="24"/>
          <w:szCs w:val="24"/>
        </w:rPr>
        <w:t xml:space="preserve"> </w:t>
      </w:r>
      <w:r w:rsidR="00101242">
        <w:rPr>
          <w:rFonts w:ascii="Arial" w:hAnsi="Arial" w:cs="Arial"/>
          <w:sz w:val="24"/>
          <w:szCs w:val="24"/>
        </w:rPr>
        <w:t>S</w:t>
      </w:r>
      <w:r w:rsidR="009F3B76">
        <w:rPr>
          <w:rFonts w:ascii="Arial" w:hAnsi="Arial" w:cs="Arial"/>
          <w:sz w:val="24"/>
          <w:szCs w:val="24"/>
        </w:rPr>
        <w:t>.</w:t>
      </w:r>
      <w:r w:rsidR="00101242">
        <w:rPr>
          <w:rFonts w:ascii="Arial" w:hAnsi="Arial" w:cs="Arial"/>
          <w:sz w:val="24"/>
          <w:szCs w:val="24"/>
        </w:rPr>
        <w:t>A</w:t>
      </w:r>
      <w:r w:rsidR="009F3B76">
        <w:rPr>
          <w:rFonts w:ascii="Arial" w:hAnsi="Arial" w:cs="Arial"/>
          <w:sz w:val="24"/>
          <w:szCs w:val="24"/>
        </w:rPr>
        <w:t>.</w:t>
      </w:r>
      <w:r w:rsidR="001E5F40">
        <w:rPr>
          <w:rFonts w:ascii="Arial" w:hAnsi="Arial" w:cs="Arial"/>
          <w:sz w:val="24"/>
          <w:szCs w:val="24"/>
        </w:rPr>
        <w:t>,</w:t>
      </w:r>
      <w:r w:rsidR="00101242">
        <w:rPr>
          <w:rFonts w:ascii="Arial" w:hAnsi="Arial" w:cs="Arial"/>
          <w:sz w:val="24"/>
          <w:szCs w:val="24"/>
        </w:rPr>
        <w:t xml:space="preserve"> TECNOFOR S.A</w:t>
      </w:r>
      <w:proofErr w:type="gramStart"/>
      <w:r w:rsidR="00101242">
        <w:rPr>
          <w:rFonts w:ascii="Arial" w:hAnsi="Arial" w:cs="Arial"/>
          <w:sz w:val="24"/>
          <w:szCs w:val="24"/>
        </w:rPr>
        <w:t>.</w:t>
      </w:r>
      <w:r w:rsidR="00AE6C30">
        <w:rPr>
          <w:rFonts w:ascii="Arial" w:hAnsi="Arial" w:cs="Arial"/>
          <w:sz w:val="24"/>
          <w:szCs w:val="24"/>
        </w:rPr>
        <w:t xml:space="preserve"> </w:t>
      </w:r>
      <w:r w:rsidR="00B92523">
        <w:rPr>
          <w:rFonts w:ascii="Arial" w:hAnsi="Arial" w:cs="Arial"/>
          <w:sz w:val="24"/>
          <w:szCs w:val="24"/>
        </w:rPr>
        <w:t>,</w:t>
      </w:r>
      <w:proofErr w:type="gramEnd"/>
      <w:r w:rsidR="00B92523">
        <w:rPr>
          <w:rFonts w:ascii="Arial" w:hAnsi="Arial" w:cs="Arial"/>
          <w:sz w:val="24"/>
          <w:szCs w:val="24"/>
        </w:rPr>
        <w:t xml:space="preserve"> </w:t>
      </w:r>
      <w:r w:rsidR="00101242" w:rsidRPr="00AE6C30">
        <w:rPr>
          <w:rFonts w:ascii="Arial" w:hAnsi="Arial" w:cs="Arial"/>
          <w:sz w:val="24"/>
          <w:szCs w:val="24"/>
        </w:rPr>
        <w:t>TECHNO GAMING</w:t>
      </w:r>
      <w:r w:rsidR="00B07F6C">
        <w:rPr>
          <w:rFonts w:ascii="Arial" w:hAnsi="Arial" w:cs="Arial"/>
          <w:sz w:val="24"/>
          <w:szCs w:val="24"/>
        </w:rPr>
        <w:t xml:space="preserve"> </w:t>
      </w:r>
      <w:r w:rsidR="001E5F40">
        <w:rPr>
          <w:rFonts w:ascii="Arial" w:hAnsi="Arial" w:cs="Arial"/>
          <w:sz w:val="24"/>
          <w:szCs w:val="24"/>
        </w:rPr>
        <w:t xml:space="preserve">INTERNATIONAL </w:t>
      </w:r>
      <w:r w:rsidR="00B07F6C">
        <w:rPr>
          <w:rFonts w:ascii="Arial" w:hAnsi="Arial" w:cs="Arial"/>
          <w:sz w:val="24"/>
          <w:szCs w:val="24"/>
        </w:rPr>
        <w:t>S.A.</w:t>
      </w:r>
      <w:r w:rsidR="00101242" w:rsidRPr="00AE6C30">
        <w:rPr>
          <w:rFonts w:ascii="Arial" w:hAnsi="Arial" w:cs="Arial"/>
          <w:sz w:val="24"/>
          <w:szCs w:val="24"/>
        </w:rPr>
        <w:t xml:space="preserve"> </w:t>
      </w:r>
      <w:r w:rsidR="001E5F40">
        <w:rPr>
          <w:rFonts w:ascii="Arial" w:hAnsi="Arial" w:cs="Arial"/>
          <w:sz w:val="24"/>
          <w:szCs w:val="24"/>
        </w:rPr>
        <w:t>y</w:t>
      </w:r>
      <w:r w:rsidR="00FF488D">
        <w:rPr>
          <w:rFonts w:ascii="Arial" w:hAnsi="Arial" w:cs="Arial"/>
          <w:sz w:val="24"/>
          <w:szCs w:val="24"/>
        </w:rPr>
        <w:t xml:space="preserve"> </w:t>
      </w:r>
      <w:r w:rsidR="000161F1" w:rsidRPr="00AE6C30">
        <w:rPr>
          <w:rFonts w:ascii="Arial" w:hAnsi="Arial" w:cs="Arial"/>
          <w:sz w:val="24"/>
          <w:szCs w:val="24"/>
        </w:rPr>
        <w:t>SAMALIR S.A.</w:t>
      </w:r>
      <w:r w:rsidR="00334CC6">
        <w:rPr>
          <w:rFonts w:ascii="Arial" w:hAnsi="Arial" w:cs="Arial"/>
          <w:sz w:val="24"/>
          <w:szCs w:val="24"/>
        </w:rPr>
        <w:t>;</w:t>
      </w:r>
    </w:p>
    <w:p w:rsidR="009F3B76" w:rsidRDefault="004A04B0" w:rsidP="009F3B7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847B29" w:rsidRPr="00847B29">
        <w:rPr>
          <w:rFonts w:ascii="Arial" w:hAnsi="Arial" w:cs="Arial"/>
          <w:b/>
          <w:sz w:val="24"/>
          <w:szCs w:val="24"/>
        </w:rPr>
        <w:t>)</w:t>
      </w:r>
      <w:r w:rsidR="00847B29">
        <w:rPr>
          <w:rFonts w:ascii="Arial" w:hAnsi="Arial" w:cs="Arial"/>
          <w:b/>
          <w:sz w:val="24"/>
          <w:szCs w:val="24"/>
        </w:rPr>
        <w:t xml:space="preserve"> </w:t>
      </w:r>
      <w:r w:rsidR="00A927C8" w:rsidRPr="00E07D26">
        <w:rPr>
          <w:rFonts w:ascii="Arial" w:hAnsi="Arial" w:cs="Arial"/>
          <w:sz w:val="24"/>
          <w:szCs w:val="24"/>
        </w:rPr>
        <w:t xml:space="preserve">que se efectuó la evaluación de las propuestas presentadas, tomando en cuenta para ello los factores establecidos en el Pliego de Condiciones, habiendo obtenido Techno </w:t>
      </w:r>
      <w:proofErr w:type="spellStart"/>
      <w:r w:rsidR="00A927C8" w:rsidRPr="00E07D26">
        <w:rPr>
          <w:rFonts w:ascii="Arial" w:hAnsi="Arial" w:cs="Arial"/>
          <w:sz w:val="24"/>
          <w:szCs w:val="24"/>
        </w:rPr>
        <w:t>Gaming</w:t>
      </w:r>
      <w:proofErr w:type="spellEnd"/>
      <w:r w:rsidR="00A927C8" w:rsidRPr="00E07D26">
        <w:rPr>
          <w:rFonts w:ascii="Arial" w:hAnsi="Arial" w:cs="Arial"/>
          <w:sz w:val="24"/>
          <w:szCs w:val="24"/>
        </w:rPr>
        <w:t xml:space="preserve">, </w:t>
      </w:r>
      <w:r w:rsidR="00E07D26" w:rsidRPr="00E07D26">
        <w:rPr>
          <w:rFonts w:ascii="Arial" w:hAnsi="Arial" w:cs="Arial"/>
          <w:sz w:val="24"/>
          <w:szCs w:val="24"/>
        </w:rPr>
        <w:t xml:space="preserve">el mayor puntaje seguida de  </w:t>
      </w:r>
      <w:proofErr w:type="spellStart"/>
      <w:r w:rsidR="00A927C8" w:rsidRPr="00E07D26">
        <w:rPr>
          <w:rFonts w:ascii="Arial" w:hAnsi="Arial" w:cs="Arial"/>
          <w:sz w:val="24"/>
          <w:szCs w:val="24"/>
        </w:rPr>
        <w:t>Samalir</w:t>
      </w:r>
      <w:proofErr w:type="spellEnd"/>
      <w:r w:rsidR="00A927C8" w:rsidRPr="00E07D2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927C8" w:rsidRPr="00E07D26">
        <w:rPr>
          <w:rFonts w:ascii="Arial" w:hAnsi="Arial" w:cs="Arial"/>
          <w:sz w:val="24"/>
          <w:szCs w:val="24"/>
        </w:rPr>
        <w:t>Tecnofor</w:t>
      </w:r>
      <w:proofErr w:type="spellEnd"/>
      <w:r w:rsidR="00A927C8" w:rsidRPr="00E07D26">
        <w:rPr>
          <w:rFonts w:ascii="Arial" w:hAnsi="Arial" w:cs="Arial"/>
          <w:sz w:val="24"/>
          <w:szCs w:val="24"/>
        </w:rPr>
        <w:t xml:space="preserve">, e ICM, </w:t>
      </w:r>
      <w:r w:rsidR="00E07D26" w:rsidRPr="00E07D26">
        <w:rPr>
          <w:rFonts w:ascii="Arial" w:hAnsi="Arial" w:cs="Arial"/>
          <w:sz w:val="24"/>
          <w:szCs w:val="24"/>
        </w:rPr>
        <w:t xml:space="preserve"> en último lugar</w:t>
      </w:r>
      <w:r w:rsidR="00A927C8" w:rsidRPr="00E07D26">
        <w:rPr>
          <w:rFonts w:ascii="Arial" w:hAnsi="Arial" w:cs="Arial"/>
          <w:sz w:val="24"/>
          <w:szCs w:val="24"/>
        </w:rPr>
        <w:t>. Teniendo en cuenta los puntajes obtenidos por las empresas, se efectu</w:t>
      </w:r>
      <w:r w:rsidR="00E07D26" w:rsidRPr="00E07D26">
        <w:rPr>
          <w:rFonts w:ascii="Arial" w:hAnsi="Arial" w:cs="Arial"/>
          <w:sz w:val="24"/>
          <w:szCs w:val="24"/>
        </w:rPr>
        <w:t xml:space="preserve">aron </w:t>
      </w:r>
      <w:r w:rsidR="00A927C8" w:rsidRPr="00E07D26">
        <w:rPr>
          <w:rFonts w:ascii="Arial" w:hAnsi="Arial" w:cs="Arial"/>
          <w:sz w:val="24"/>
          <w:szCs w:val="24"/>
        </w:rPr>
        <w:t xml:space="preserve"> </w:t>
      </w:r>
      <w:r w:rsidR="00E07D26" w:rsidRPr="00E07D26">
        <w:rPr>
          <w:rFonts w:ascii="Arial" w:hAnsi="Arial" w:cs="Arial"/>
          <w:sz w:val="24"/>
          <w:szCs w:val="24"/>
        </w:rPr>
        <w:t>“</w:t>
      </w:r>
      <w:r w:rsidR="00A927C8" w:rsidRPr="00E07D26">
        <w:rPr>
          <w:rFonts w:ascii="Arial" w:hAnsi="Arial" w:cs="Arial"/>
          <w:sz w:val="24"/>
          <w:szCs w:val="24"/>
        </w:rPr>
        <w:t>propuesta</w:t>
      </w:r>
      <w:r w:rsidR="00E07D26" w:rsidRPr="00E07D26">
        <w:rPr>
          <w:rFonts w:ascii="Arial" w:hAnsi="Arial" w:cs="Arial"/>
          <w:sz w:val="24"/>
          <w:szCs w:val="24"/>
        </w:rPr>
        <w:t>s</w:t>
      </w:r>
      <w:r w:rsidR="00A927C8" w:rsidRPr="00E07D26">
        <w:rPr>
          <w:rFonts w:ascii="Arial" w:hAnsi="Arial" w:cs="Arial"/>
          <w:sz w:val="24"/>
          <w:szCs w:val="24"/>
        </w:rPr>
        <w:t xml:space="preserve"> tentativa</w:t>
      </w:r>
      <w:r w:rsidR="00E07D26" w:rsidRPr="00E07D26">
        <w:rPr>
          <w:rFonts w:ascii="Arial" w:hAnsi="Arial" w:cs="Arial"/>
          <w:sz w:val="24"/>
          <w:szCs w:val="24"/>
        </w:rPr>
        <w:t>s</w:t>
      </w:r>
      <w:r w:rsidR="00A927C8" w:rsidRPr="00E07D26">
        <w:rPr>
          <w:rFonts w:ascii="Arial" w:hAnsi="Arial" w:cs="Arial"/>
          <w:sz w:val="24"/>
          <w:szCs w:val="24"/>
        </w:rPr>
        <w:t>” de adjudicación</w:t>
      </w:r>
      <w:r w:rsidR="00E07D26" w:rsidRPr="00E07D26">
        <w:rPr>
          <w:rFonts w:ascii="Arial" w:hAnsi="Arial" w:cs="Arial"/>
          <w:sz w:val="24"/>
          <w:szCs w:val="24"/>
        </w:rPr>
        <w:t xml:space="preserve"> a todas las oferentes</w:t>
      </w:r>
      <w:r w:rsidR="00E07D26" w:rsidRPr="009F3B76">
        <w:rPr>
          <w:rFonts w:ascii="Arial" w:hAnsi="Arial" w:cs="Arial"/>
          <w:sz w:val="24"/>
          <w:szCs w:val="24"/>
        </w:rPr>
        <w:t>;</w:t>
      </w:r>
    </w:p>
    <w:p w:rsidR="00E767A3" w:rsidRDefault="004A04B0" w:rsidP="00E767A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9F3B76">
        <w:rPr>
          <w:rFonts w:ascii="Arial" w:hAnsi="Arial" w:cs="Arial"/>
          <w:b/>
          <w:sz w:val="24"/>
          <w:szCs w:val="24"/>
        </w:rPr>
        <w:t>5</w:t>
      </w:r>
      <w:r w:rsidR="00A927C8" w:rsidRPr="009F3B76">
        <w:rPr>
          <w:rFonts w:ascii="Arial" w:hAnsi="Arial" w:cs="Arial"/>
          <w:b/>
          <w:sz w:val="24"/>
          <w:szCs w:val="24"/>
        </w:rPr>
        <w:t>)</w:t>
      </w:r>
      <w:r w:rsidR="009F3B76">
        <w:rPr>
          <w:rFonts w:ascii="Arial" w:hAnsi="Arial" w:cs="Arial"/>
          <w:sz w:val="24"/>
          <w:szCs w:val="24"/>
        </w:rPr>
        <w:t xml:space="preserve"> </w:t>
      </w:r>
      <w:r w:rsidR="00847B29">
        <w:rPr>
          <w:rFonts w:ascii="Arial" w:hAnsi="Arial" w:cs="Arial"/>
          <w:sz w:val="24"/>
          <w:szCs w:val="24"/>
        </w:rPr>
        <w:t xml:space="preserve">que </w:t>
      </w:r>
      <w:r w:rsidR="0046043F">
        <w:rPr>
          <w:rFonts w:ascii="Arial" w:hAnsi="Arial" w:cs="Arial"/>
          <w:sz w:val="24"/>
          <w:szCs w:val="24"/>
        </w:rPr>
        <w:t>la Comisión Asesora de Adjudicaciones, en informe de fecha 16.10.18, aconsej</w:t>
      </w:r>
      <w:r w:rsidR="002E7BFF">
        <w:rPr>
          <w:rFonts w:ascii="Arial" w:hAnsi="Arial" w:cs="Arial"/>
          <w:sz w:val="24"/>
          <w:szCs w:val="24"/>
        </w:rPr>
        <w:t>o</w:t>
      </w:r>
      <w:r w:rsidR="0046043F">
        <w:rPr>
          <w:rFonts w:ascii="Arial" w:hAnsi="Arial" w:cs="Arial"/>
          <w:sz w:val="24"/>
          <w:szCs w:val="24"/>
        </w:rPr>
        <w:t xml:space="preserve"> </w:t>
      </w:r>
      <w:r w:rsidR="00E07D26">
        <w:rPr>
          <w:rFonts w:ascii="Arial" w:hAnsi="Arial" w:cs="Arial"/>
          <w:sz w:val="24"/>
          <w:szCs w:val="24"/>
        </w:rPr>
        <w:t>adjudicar</w:t>
      </w:r>
      <w:r w:rsidR="0046043F">
        <w:rPr>
          <w:rFonts w:ascii="Arial" w:hAnsi="Arial" w:cs="Arial"/>
          <w:sz w:val="24"/>
          <w:szCs w:val="24"/>
        </w:rPr>
        <w:t xml:space="preserve">, según el siguiente detalle: ICM </w:t>
      </w:r>
      <w:r w:rsidR="0046043F">
        <w:rPr>
          <w:rFonts w:ascii="Arial" w:hAnsi="Arial" w:cs="Arial"/>
          <w:sz w:val="24"/>
          <w:szCs w:val="24"/>
        </w:rPr>
        <w:lastRenderedPageBreak/>
        <w:t>S.A</w:t>
      </w:r>
      <w:r w:rsidR="002E7BFF">
        <w:rPr>
          <w:rFonts w:ascii="Arial" w:hAnsi="Arial" w:cs="Arial"/>
          <w:sz w:val="24"/>
          <w:szCs w:val="24"/>
        </w:rPr>
        <w:t>,</w:t>
      </w:r>
      <w:r w:rsidR="00C92BC1">
        <w:rPr>
          <w:rFonts w:ascii="Arial" w:hAnsi="Arial" w:cs="Arial"/>
          <w:sz w:val="24"/>
          <w:szCs w:val="24"/>
        </w:rPr>
        <w:t xml:space="preserve">4 slots, </w:t>
      </w:r>
      <w:r w:rsidR="0046043F">
        <w:rPr>
          <w:rFonts w:ascii="Arial" w:hAnsi="Arial" w:cs="Arial"/>
          <w:sz w:val="24"/>
          <w:szCs w:val="24"/>
        </w:rPr>
        <w:t xml:space="preserve"> por un monto de U$S 86.392 condición DAP, TECNOFOR S.A. </w:t>
      </w:r>
      <w:r w:rsidR="00C92BC1">
        <w:rPr>
          <w:rFonts w:ascii="Arial" w:hAnsi="Arial" w:cs="Arial"/>
          <w:sz w:val="24"/>
          <w:szCs w:val="24"/>
        </w:rPr>
        <w:t xml:space="preserve">4 slots, </w:t>
      </w:r>
      <w:r w:rsidR="0046043F">
        <w:rPr>
          <w:rFonts w:ascii="Arial" w:hAnsi="Arial" w:cs="Arial"/>
          <w:sz w:val="24"/>
          <w:szCs w:val="24"/>
        </w:rPr>
        <w:t>por un monto de U$S 88.260 condición DDU, SAMALIR S.A</w:t>
      </w:r>
      <w:r w:rsidR="00C92BC1">
        <w:rPr>
          <w:rFonts w:ascii="Arial" w:hAnsi="Arial" w:cs="Arial"/>
          <w:sz w:val="24"/>
          <w:szCs w:val="24"/>
        </w:rPr>
        <w:t xml:space="preserve">,5 slots, </w:t>
      </w:r>
      <w:r w:rsidR="0046043F">
        <w:rPr>
          <w:rFonts w:ascii="Arial" w:hAnsi="Arial" w:cs="Arial"/>
          <w:sz w:val="24"/>
          <w:szCs w:val="24"/>
        </w:rPr>
        <w:t xml:space="preserve"> por un monto de U$S 129.615 condición DAP, TECHNO GAMING INTERNATIONAL S.A. </w:t>
      </w:r>
      <w:r w:rsidR="00C92BC1">
        <w:rPr>
          <w:rFonts w:ascii="Arial" w:hAnsi="Arial" w:cs="Arial"/>
          <w:sz w:val="24"/>
          <w:szCs w:val="24"/>
        </w:rPr>
        <w:t xml:space="preserve">6 slots, </w:t>
      </w:r>
      <w:r w:rsidR="0046043F">
        <w:rPr>
          <w:rFonts w:ascii="Arial" w:hAnsi="Arial" w:cs="Arial"/>
          <w:sz w:val="24"/>
          <w:szCs w:val="24"/>
        </w:rPr>
        <w:t xml:space="preserve">por un monto de U$S 132.850, condición DDU, totalizando la suma de </w:t>
      </w:r>
      <w:r w:rsidR="00E767A3">
        <w:rPr>
          <w:rFonts w:ascii="Arial" w:hAnsi="Arial" w:cs="Arial"/>
          <w:sz w:val="24"/>
          <w:szCs w:val="24"/>
        </w:rPr>
        <w:t>U$S 437.117, equivalente a $ 12:370.411,1 (dólar $</w:t>
      </w:r>
      <w:r w:rsidR="0046043F">
        <w:rPr>
          <w:rFonts w:ascii="Arial" w:hAnsi="Arial" w:cs="Arial"/>
          <w:sz w:val="24"/>
          <w:szCs w:val="24"/>
        </w:rPr>
        <w:t>28,3)</w:t>
      </w:r>
      <w:r w:rsidR="002E7BFF">
        <w:rPr>
          <w:rFonts w:ascii="Arial" w:hAnsi="Arial" w:cs="Arial"/>
          <w:sz w:val="24"/>
          <w:szCs w:val="24"/>
        </w:rPr>
        <w:t xml:space="preserve"> y </w:t>
      </w:r>
      <w:r w:rsidR="0046043F">
        <w:rPr>
          <w:rFonts w:ascii="Arial" w:hAnsi="Arial" w:cs="Arial"/>
          <w:sz w:val="24"/>
          <w:szCs w:val="24"/>
        </w:rPr>
        <w:t>una partida para g</w:t>
      </w:r>
      <w:r w:rsidR="00E767A3">
        <w:rPr>
          <w:rFonts w:ascii="Arial" w:hAnsi="Arial" w:cs="Arial"/>
          <w:sz w:val="24"/>
          <w:szCs w:val="24"/>
        </w:rPr>
        <w:t xml:space="preserve">astos de </w:t>
      </w:r>
      <w:proofErr w:type="spellStart"/>
      <w:r w:rsidR="00E767A3">
        <w:rPr>
          <w:rFonts w:ascii="Arial" w:hAnsi="Arial" w:cs="Arial"/>
          <w:sz w:val="24"/>
          <w:szCs w:val="24"/>
        </w:rPr>
        <w:t>desaduanamiento</w:t>
      </w:r>
      <w:proofErr w:type="spellEnd"/>
      <w:r w:rsidR="00E767A3">
        <w:rPr>
          <w:rFonts w:ascii="Arial" w:hAnsi="Arial" w:cs="Arial"/>
          <w:sz w:val="24"/>
          <w:szCs w:val="24"/>
        </w:rPr>
        <w:t xml:space="preserve"> de $ 1:</w:t>
      </w:r>
      <w:r w:rsidR="0046043F">
        <w:rPr>
          <w:rFonts w:ascii="Arial" w:hAnsi="Arial" w:cs="Arial"/>
          <w:sz w:val="24"/>
          <w:szCs w:val="24"/>
        </w:rPr>
        <w:t>100.000, sumando una erogación total de $ 13</w:t>
      </w:r>
      <w:r w:rsidR="00E767A3">
        <w:rPr>
          <w:rFonts w:ascii="Arial" w:hAnsi="Arial" w:cs="Arial"/>
          <w:sz w:val="24"/>
          <w:szCs w:val="24"/>
        </w:rPr>
        <w:t>:</w:t>
      </w:r>
      <w:r w:rsidR="0046043F">
        <w:rPr>
          <w:rFonts w:ascii="Arial" w:hAnsi="Arial" w:cs="Arial"/>
          <w:sz w:val="24"/>
          <w:szCs w:val="24"/>
        </w:rPr>
        <w:t>470.411,1;</w:t>
      </w:r>
    </w:p>
    <w:p w:rsidR="00E767A3" w:rsidRDefault="004A04B0" w:rsidP="00E767A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E767A3">
        <w:rPr>
          <w:rFonts w:ascii="Arial" w:hAnsi="Arial" w:cs="Arial"/>
          <w:b/>
          <w:sz w:val="24"/>
          <w:szCs w:val="24"/>
        </w:rPr>
        <w:t>6</w:t>
      </w:r>
      <w:r w:rsidR="005E32F5" w:rsidRPr="005E32F5">
        <w:rPr>
          <w:rFonts w:ascii="Arial" w:hAnsi="Arial" w:cs="Arial"/>
          <w:b/>
          <w:sz w:val="24"/>
          <w:szCs w:val="24"/>
        </w:rPr>
        <w:t>)</w:t>
      </w:r>
      <w:r w:rsidR="005E32F5">
        <w:rPr>
          <w:rFonts w:ascii="Arial" w:hAnsi="Arial" w:cs="Arial"/>
          <w:b/>
          <w:sz w:val="24"/>
          <w:szCs w:val="24"/>
        </w:rPr>
        <w:t xml:space="preserve"> </w:t>
      </w:r>
      <w:r w:rsidR="005E32F5">
        <w:rPr>
          <w:rFonts w:ascii="Arial" w:hAnsi="Arial" w:cs="Arial"/>
          <w:sz w:val="24"/>
          <w:szCs w:val="24"/>
        </w:rPr>
        <w:t>que</w:t>
      </w:r>
      <w:r w:rsidR="00F27A27">
        <w:rPr>
          <w:rFonts w:ascii="Arial" w:hAnsi="Arial" w:cs="Arial"/>
          <w:sz w:val="24"/>
          <w:szCs w:val="24"/>
        </w:rPr>
        <w:t xml:space="preserve"> por Resolución N° 554 de fecha 17.10.18, el Director General del Departa</w:t>
      </w:r>
      <w:r w:rsidR="00C92BC1">
        <w:rPr>
          <w:rFonts w:ascii="Arial" w:hAnsi="Arial" w:cs="Arial"/>
          <w:sz w:val="24"/>
          <w:szCs w:val="24"/>
        </w:rPr>
        <w:t xml:space="preserve">mento de Desarrollo Económico, dispuso </w:t>
      </w:r>
      <w:r w:rsidR="00F27A27">
        <w:rPr>
          <w:rFonts w:ascii="Arial" w:hAnsi="Arial" w:cs="Arial"/>
          <w:sz w:val="24"/>
          <w:szCs w:val="24"/>
        </w:rPr>
        <w:t>adjudicar</w:t>
      </w:r>
      <w:r w:rsidR="00E767A3">
        <w:rPr>
          <w:rFonts w:ascii="Arial" w:hAnsi="Arial" w:cs="Arial"/>
          <w:sz w:val="24"/>
          <w:szCs w:val="24"/>
        </w:rPr>
        <w:t xml:space="preserve"> la presente L</w:t>
      </w:r>
      <w:r w:rsidR="003B2030">
        <w:rPr>
          <w:rFonts w:ascii="Arial" w:hAnsi="Arial" w:cs="Arial"/>
          <w:sz w:val="24"/>
          <w:szCs w:val="24"/>
        </w:rPr>
        <w:t>icitación</w:t>
      </w:r>
      <w:r w:rsidR="00C92BC1">
        <w:rPr>
          <w:rFonts w:ascii="Arial" w:hAnsi="Arial" w:cs="Arial"/>
          <w:sz w:val="24"/>
          <w:szCs w:val="24"/>
        </w:rPr>
        <w:t>,</w:t>
      </w:r>
      <w:r w:rsidR="00E767A3">
        <w:rPr>
          <w:rFonts w:ascii="Arial" w:hAnsi="Arial" w:cs="Arial"/>
          <w:sz w:val="24"/>
          <w:szCs w:val="24"/>
        </w:rPr>
        <w:t xml:space="preserve"> de acuerdo con</w:t>
      </w:r>
      <w:r w:rsidR="003B2030">
        <w:rPr>
          <w:rFonts w:ascii="Arial" w:hAnsi="Arial" w:cs="Arial"/>
          <w:sz w:val="24"/>
          <w:szCs w:val="24"/>
        </w:rPr>
        <w:t xml:space="preserve"> lo aconsejado por la Comisión Asesora</w:t>
      </w:r>
      <w:r w:rsidR="001E5F40">
        <w:rPr>
          <w:rFonts w:ascii="Arial" w:hAnsi="Arial" w:cs="Arial"/>
          <w:sz w:val="24"/>
          <w:szCs w:val="24"/>
        </w:rPr>
        <w:t>, por un monto total de $ 13:470.411,1;</w:t>
      </w:r>
    </w:p>
    <w:p w:rsidR="00F27A27" w:rsidRPr="00F27A27" w:rsidRDefault="004A04B0" w:rsidP="00E767A3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E767A3">
        <w:rPr>
          <w:rFonts w:ascii="Arial" w:hAnsi="Arial" w:cs="Arial"/>
          <w:b/>
          <w:sz w:val="24"/>
          <w:szCs w:val="24"/>
        </w:rPr>
        <w:t>7</w:t>
      </w:r>
      <w:r w:rsidR="00F27A27" w:rsidRPr="00F27A27">
        <w:rPr>
          <w:rFonts w:ascii="Arial" w:hAnsi="Arial" w:cs="Arial"/>
          <w:b/>
          <w:sz w:val="24"/>
          <w:szCs w:val="24"/>
        </w:rPr>
        <w:t>)</w:t>
      </w:r>
      <w:r w:rsidR="005E32F5" w:rsidRPr="00F27A27">
        <w:rPr>
          <w:rFonts w:ascii="Arial" w:hAnsi="Arial" w:cs="Arial"/>
          <w:b/>
          <w:sz w:val="24"/>
          <w:szCs w:val="24"/>
        </w:rPr>
        <w:t xml:space="preserve"> </w:t>
      </w:r>
      <w:r w:rsidR="00F27A27">
        <w:rPr>
          <w:rFonts w:ascii="Arial" w:hAnsi="Arial" w:cs="Arial"/>
          <w:b/>
          <w:sz w:val="24"/>
          <w:szCs w:val="24"/>
        </w:rPr>
        <w:t xml:space="preserve"> </w:t>
      </w:r>
      <w:r w:rsidR="00F27A27">
        <w:rPr>
          <w:rFonts w:ascii="Arial" w:hAnsi="Arial" w:cs="Arial"/>
          <w:sz w:val="24"/>
          <w:szCs w:val="24"/>
        </w:rPr>
        <w:t xml:space="preserve">que </w:t>
      </w:r>
      <w:r w:rsidR="00C92BC1">
        <w:rPr>
          <w:rFonts w:ascii="Arial" w:hAnsi="Arial" w:cs="Arial"/>
          <w:sz w:val="24"/>
          <w:szCs w:val="24"/>
        </w:rPr>
        <w:t xml:space="preserve"> con </w:t>
      </w:r>
      <w:r w:rsidR="00F27A27">
        <w:rPr>
          <w:rFonts w:ascii="Arial" w:hAnsi="Arial" w:cs="Arial"/>
          <w:sz w:val="24"/>
          <w:szCs w:val="24"/>
        </w:rPr>
        <w:t>fecha 22.10.18, se imputaron las sumas de $ 86.392, $ 132.850, $ 88.260, y $ 129.615, con cargo a la Actividad 509000201, Derivado 349000, con disponibilidad;</w:t>
      </w:r>
    </w:p>
    <w:p w:rsidR="00E767A3" w:rsidRDefault="00C92BC1" w:rsidP="00E767A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Pr="00C92BC1">
        <w:rPr>
          <w:rFonts w:ascii="Arial" w:hAnsi="Arial" w:cs="Arial"/>
          <w:sz w:val="24"/>
          <w:szCs w:val="24"/>
        </w:rPr>
        <w:t xml:space="preserve"> </w:t>
      </w:r>
      <w:r w:rsidRPr="00E767A3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E767A3">
        <w:rPr>
          <w:rFonts w:ascii="Arial" w:hAnsi="Arial" w:cs="Arial"/>
          <w:sz w:val="24"/>
          <w:szCs w:val="24"/>
        </w:rPr>
        <w:t>que el A</w:t>
      </w:r>
      <w:r w:rsidRPr="00C92BC1">
        <w:rPr>
          <w:rFonts w:ascii="Arial" w:hAnsi="Arial" w:cs="Arial"/>
          <w:sz w:val="24"/>
          <w:szCs w:val="24"/>
        </w:rPr>
        <w:t>rt</w:t>
      </w:r>
      <w:r w:rsidR="00E767A3">
        <w:rPr>
          <w:rFonts w:ascii="Arial" w:hAnsi="Arial" w:cs="Arial"/>
          <w:sz w:val="24"/>
          <w:szCs w:val="24"/>
        </w:rPr>
        <w:t>ículo</w:t>
      </w:r>
      <w:r w:rsidRPr="00C92BC1">
        <w:rPr>
          <w:rFonts w:ascii="Arial" w:hAnsi="Arial" w:cs="Arial"/>
          <w:sz w:val="24"/>
          <w:szCs w:val="24"/>
        </w:rPr>
        <w:t xml:space="preserve"> 13 del Pliego de Condiciones establece que antes de proceder a la evaluación detallada</w:t>
      </w:r>
      <w:r w:rsidR="00E767A3">
        <w:rPr>
          <w:rFonts w:ascii="Arial" w:hAnsi="Arial" w:cs="Arial"/>
          <w:sz w:val="24"/>
          <w:szCs w:val="24"/>
        </w:rPr>
        <w:t xml:space="preserve"> </w:t>
      </w:r>
      <w:r w:rsidRPr="00C92BC1">
        <w:rPr>
          <w:rFonts w:ascii="Arial" w:hAnsi="Arial" w:cs="Arial"/>
          <w:sz w:val="24"/>
          <w:szCs w:val="24"/>
        </w:rPr>
        <w:t>(precio 20, antecedentes,</w:t>
      </w:r>
      <w:r w:rsidR="00E767A3">
        <w:rPr>
          <w:rFonts w:ascii="Arial" w:hAnsi="Arial" w:cs="Arial"/>
          <w:sz w:val="24"/>
          <w:szCs w:val="24"/>
        </w:rPr>
        <w:t xml:space="preserve"> </w:t>
      </w:r>
      <w:r w:rsidRPr="00C92BC1">
        <w:rPr>
          <w:rFonts w:ascii="Arial" w:hAnsi="Arial" w:cs="Arial"/>
          <w:sz w:val="24"/>
          <w:szCs w:val="24"/>
        </w:rPr>
        <w:t>20 innovación tecnológica, 30 puntos y rendimiento y percepción de los usuarios, 30 puntos), la Intendencia determinara si cada oferta se ajusta sustancialmente a los documentos de la licitación</w:t>
      </w:r>
      <w:r>
        <w:rPr>
          <w:rFonts w:ascii="Arial" w:hAnsi="Arial" w:cs="Arial"/>
          <w:sz w:val="24"/>
          <w:szCs w:val="24"/>
        </w:rPr>
        <w:t>, En este caso si bien se hace la evalua</w:t>
      </w:r>
      <w:r w:rsidR="00E767A3">
        <w:rPr>
          <w:rFonts w:ascii="Arial" w:hAnsi="Arial" w:cs="Arial"/>
          <w:sz w:val="24"/>
          <w:szCs w:val="24"/>
        </w:rPr>
        <w:t>ción de las ofertas de acuerdo con</w:t>
      </w:r>
      <w:r>
        <w:rPr>
          <w:rFonts w:ascii="Arial" w:hAnsi="Arial" w:cs="Arial"/>
          <w:sz w:val="24"/>
          <w:szCs w:val="24"/>
        </w:rPr>
        <w:t xml:space="preserve"> los factores y los puntajes establecidos en el Pliego, no surge que se  haya </w:t>
      </w:r>
      <w:r w:rsidR="004A04B0">
        <w:rPr>
          <w:rFonts w:ascii="Arial" w:hAnsi="Arial" w:cs="Arial"/>
          <w:sz w:val="24"/>
          <w:szCs w:val="24"/>
        </w:rPr>
        <w:t xml:space="preserve">efectuado </w:t>
      </w:r>
      <w:r>
        <w:rPr>
          <w:rFonts w:ascii="Arial" w:hAnsi="Arial" w:cs="Arial"/>
          <w:sz w:val="24"/>
          <w:szCs w:val="24"/>
        </w:rPr>
        <w:t xml:space="preserve">por parte de la  </w:t>
      </w:r>
      <w:r w:rsidR="00FF0F71">
        <w:rPr>
          <w:rFonts w:ascii="Arial" w:hAnsi="Arial" w:cs="Arial"/>
          <w:sz w:val="24"/>
          <w:szCs w:val="24"/>
        </w:rPr>
        <w:t>Administración</w:t>
      </w:r>
      <w:r>
        <w:rPr>
          <w:rFonts w:ascii="Arial" w:hAnsi="Arial" w:cs="Arial"/>
          <w:sz w:val="24"/>
          <w:szCs w:val="24"/>
        </w:rPr>
        <w:t xml:space="preserve">, en forma previa a la evaluación, un estudio </w:t>
      </w:r>
      <w:r w:rsidR="00FF0F71">
        <w:rPr>
          <w:rFonts w:ascii="Arial" w:hAnsi="Arial" w:cs="Arial"/>
          <w:sz w:val="24"/>
          <w:szCs w:val="24"/>
        </w:rPr>
        <w:t xml:space="preserve">de cada oferta en particular para determinar el ajuste de las mismas a lo </w:t>
      </w:r>
      <w:r w:rsidR="00E767A3">
        <w:rPr>
          <w:rFonts w:ascii="Arial" w:hAnsi="Arial" w:cs="Arial"/>
          <w:sz w:val="24"/>
          <w:szCs w:val="24"/>
        </w:rPr>
        <w:t>solicitado</w:t>
      </w:r>
      <w:r w:rsidR="00FF0F71">
        <w:rPr>
          <w:rFonts w:ascii="Arial" w:hAnsi="Arial" w:cs="Arial"/>
          <w:sz w:val="24"/>
          <w:szCs w:val="24"/>
        </w:rPr>
        <w:t>, como lo requiere expresamente el Pliego</w:t>
      </w:r>
      <w:r w:rsidR="003A3006">
        <w:rPr>
          <w:rFonts w:ascii="Arial" w:hAnsi="Arial" w:cs="Arial"/>
          <w:sz w:val="24"/>
          <w:szCs w:val="24"/>
        </w:rPr>
        <w:t>;</w:t>
      </w:r>
    </w:p>
    <w:p w:rsidR="00E767A3" w:rsidRDefault="00FF0F71" w:rsidP="00E767A3">
      <w:pPr>
        <w:tabs>
          <w:tab w:val="left" w:pos="709"/>
        </w:tabs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E767A3">
        <w:rPr>
          <w:rFonts w:ascii="Arial" w:hAnsi="Arial" w:cs="Arial"/>
          <w:b/>
          <w:sz w:val="24"/>
          <w:szCs w:val="24"/>
        </w:rPr>
        <w:t>2</w:t>
      </w:r>
      <w:r w:rsidRPr="00910776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767A3">
        <w:rPr>
          <w:rFonts w:ascii="Arial" w:hAnsi="Arial" w:cs="Arial"/>
          <w:sz w:val="24"/>
          <w:szCs w:val="24"/>
        </w:rPr>
        <w:t>que de acuerdo con el</w:t>
      </w:r>
      <w:r>
        <w:rPr>
          <w:rFonts w:ascii="Arial" w:hAnsi="Arial" w:cs="Arial"/>
          <w:sz w:val="24"/>
          <w:szCs w:val="24"/>
        </w:rPr>
        <w:t xml:space="preserve"> </w:t>
      </w:r>
      <w:r w:rsidR="00E767A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E767A3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14 del Pliego de Condiciones, se podrán adquirir diferentes máquinas y modelos, a diferentes proveedores, en la proporción que se estime conveniente, pero teniendo en cuenta la lista de prelación en cuanto a la distribución del número de las mismas. De esta manera, entre ofertas con distinto puntaje, a la que tenga </w:t>
      </w:r>
      <w:r>
        <w:rPr>
          <w:rFonts w:ascii="Arial" w:hAnsi="Arial" w:cs="Arial"/>
          <w:sz w:val="24"/>
          <w:szCs w:val="24"/>
        </w:rPr>
        <w:lastRenderedPageBreak/>
        <w:t>mayor puntaje se le adjudicará un número mayor de unidades, sin que sea preciso mantener una proporción directa entre puntaje y cantidad de unidades adjudicadas</w:t>
      </w:r>
      <w:r w:rsidR="00E767A3">
        <w:rPr>
          <w:rFonts w:ascii="Arial" w:hAnsi="Arial" w:cs="Arial"/>
          <w:sz w:val="24"/>
          <w:szCs w:val="24"/>
        </w:rPr>
        <w:t>;</w:t>
      </w:r>
    </w:p>
    <w:p w:rsidR="00FF0F71" w:rsidRDefault="004A04B0" w:rsidP="00E767A3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E767A3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r</w:t>
      </w:r>
      <w:r w:rsidR="008B178B">
        <w:rPr>
          <w:rFonts w:ascii="Arial" w:hAnsi="Arial" w:cs="Arial"/>
          <w:sz w:val="24"/>
          <w:szCs w:val="24"/>
        </w:rPr>
        <w:t>especto al último inciso de</w:t>
      </w:r>
      <w:r w:rsidR="00E767A3">
        <w:rPr>
          <w:rFonts w:ascii="Arial" w:hAnsi="Arial" w:cs="Arial"/>
          <w:sz w:val="24"/>
          <w:szCs w:val="24"/>
        </w:rPr>
        <w:t>l A</w:t>
      </w:r>
      <w:r>
        <w:rPr>
          <w:rFonts w:ascii="Arial" w:hAnsi="Arial" w:cs="Arial"/>
          <w:sz w:val="24"/>
          <w:szCs w:val="24"/>
        </w:rPr>
        <w:t>rt</w:t>
      </w:r>
      <w:r w:rsidR="00E767A3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14 del Pliego, </w:t>
      </w:r>
      <w:r w:rsidR="008B178B">
        <w:rPr>
          <w:rFonts w:ascii="Arial" w:hAnsi="Arial" w:cs="Arial"/>
          <w:sz w:val="24"/>
          <w:szCs w:val="24"/>
        </w:rPr>
        <w:t>se entiende que</w:t>
      </w:r>
      <w:r w:rsidR="00FD0E39">
        <w:rPr>
          <w:rFonts w:ascii="Arial" w:hAnsi="Arial" w:cs="Arial"/>
          <w:sz w:val="24"/>
          <w:szCs w:val="24"/>
        </w:rPr>
        <w:t xml:space="preserve"> los puntajes obtenidos por los oferentes, en un orden de prelación</w:t>
      </w:r>
      <w:r w:rsidR="00E767A3">
        <w:rPr>
          <w:rFonts w:ascii="Arial" w:hAnsi="Arial" w:cs="Arial"/>
          <w:sz w:val="24"/>
          <w:szCs w:val="24"/>
        </w:rPr>
        <w:t xml:space="preserve"> de acuerdo con</w:t>
      </w:r>
      <w:r>
        <w:rPr>
          <w:rFonts w:ascii="Arial" w:hAnsi="Arial" w:cs="Arial"/>
          <w:sz w:val="24"/>
          <w:szCs w:val="24"/>
        </w:rPr>
        <w:t xml:space="preserve"> los puntajes obtenidos</w:t>
      </w:r>
      <w:r w:rsidR="00FD0E39">
        <w:rPr>
          <w:rFonts w:ascii="Arial" w:hAnsi="Arial" w:cs="Arial"/>
          <w:sz w:val="24"/>
          <w:szCs w:val="24"/>
        </w:rPr>
        <w:t xml:space="preserve">, debe reflejarse en la adjudicación, </w:t>
      </w:r>
      <w:r w:rsidR="008B178B">
        <w:rPr>
          <w:rFonts w:ascii="Arial" w:hAnsi="Arial" w:cs="Arial"/>
          <w:sz w:val="24"/>
          <w:szCs w:val="24"/>
        </w:rPr>
        <w:t>deb</w:t>
      </w:r>
      <w:r w:rsidR="00FD0E39">
        <w:rPr>
          <w:rFonts w:ascii="Arial" w:hAnsi="Arial" w:cs="Arial"/>
          <w:sz w:val="24"/>
          <w:szCs w:val="24"/>
        </w:rPr>
        <w:t>iendo</w:t>
      </w:r>
      <w:r w:rsidR="008B178B">
        <w:rPr>
          <w:rFonts w:ascii="Arial" w:hAnsi="Arial" w:cs="Arial"/>
          <w:sz w:val="24"/>
          <w:szCs w:val="24"/>
        </w:rPr>
        <w:t xml:space="preserve"> mantenerse </w:t>
      </w:r>
      <w:r w:rsidR="00FD0E39">
        <w:rPr>
          <w:rFonts w:ascii="Arial" w:hAnsi="Arial" w:cs="Arial"/>
          <w:sz w:val="24"/>
          <w:szCs w:val="24"/>
        </w:rPr>
        <w:t xml:space="preserve">necesariamente </w:t>
      </w:r>
      <w:r w:rsidR="008B178B">
        <w:rPr>
          <w:rFonts w:ascii="Arial" w:hAnsi="Arial" w:cs="Arial"/>
          <w:sz w:val="24"/>
          <w:szCs w:val="24"/>
        </w:rPr>
        <w:t xml:space="preserve">una proporción directa entre </w:t>
      </w:r>
      <w:r w:rsidR="00FD0E39">
        <w:rPr>
          <w:rFonts w:ascii="Arial" w:hAnsi="Arial" w:cs="Arial"/>
          <w:sz w:val="24"/>
          <w:szCs w:val="24"/>
        </w:rPr>
        <w:t xml:space="preserve">el </w:t>
      </w:r>
      <w:r w:rsidR="008B178B">
        <w:rPr>
          <w:rFonts w:ascii="Arial" w:hAnsi="Arial" w:cs="Arial"/>
          <w:sz w:val="24"/>
          <w:szCs w:val="24"/>
        </w:rPr>
        <w:t xml:space="preserve">puntaje obtenido y </w:t>
      </w:r>
      <w:r w:rsidR="00FD0E39">
        <w:rPr>
          <w:rFonts w:ascii="Arial" w:hAnsi="Arial" w:cs="Arial"/>
          <w:sz w:val="24"/>
          <w:szCs w:val="24"/>
        </w:rPr>
        <w:t xml:space="preserve">la </w:t>
      </w:r>
      <w:r w:rsidR="008B178B">
        <w:rPr>
          <w:rFonts w:ascii="Arial" w:hAnsi="Arial" w:cs="Arial"/>
          <w:sz w:val="24"/>
          <w:szCs w:val="24"/>
        </w:rPr>
        <w:t>cantidad de unidades adjudicadas, en aplicación de</w:t>
      </w:r>
      <w:r>
        <w:rPr>
          <w:rFonts w:ascii="Arial" w:hAnsi="Arial" w:cs="Arial"/>
          <w:sz w:val="24"/>
          <w:szCs w:val="24"/>
        </w:rPr>
        <w:t xml:space="preserve">l </w:t>
      </w:r>
      <w:r w:rsidR="00FD0E39">
        <w:rPr>
          <w:rFonts w:ascii="Arial" w:hAnsi="Arial" w:cs="Arial"/>
          <w:sz w:val="24"/>
          <w:szCs w:val="24"/>
        </w:rPr>
        <w:t xml:space="preserve">principio </w:t>
      </w:r>
      <w:r w:rsidR="008B178B">
        <w:rPr>
          <w:rFonts w:ascii="Arial" w:hAnsi="Arial" w:cs="Arial"/>
          <w:sz w:val="24"/>
          <w:szCs w:val="24"/>
        </w:rPr>
        <w:t>de igualdad de oferentes</w:t>
      </w:r>
      <w:r w:rsidR="00E767A3">
        <w:rPr>
          <w:rFonts w:ascii="Arial" w:hAnsi="Arial" w:cs="Arial"/>
          <w:sz w:val="24"/>
          <w:szCs w:val="24"/>
        </w:rPr>
        <w:t xml:space="preserve">  (A</w:t>
      </w:r>
      <w:r w:rsidR="00FD0E39">
        <w:rPr>
          <w:rFonts w:ascii="Arial" w:hAnsi="Arial" w:cs="Arial"/>
          <w:sz w:val="24"/>
          <w:szCs w:val="24"/>
        </w:rPr>
        <w:t>rt</w:t>
      </w:r>
      <w:r w:rsidR="00E767A3">
        <w:rPr>
          <w:rFonts w:ascii="Arial" w:hAnsi="Arial" w:cs="Arial"/>
          <w:sz w:val="24"/>
          <w:szCs w:val="24"/>
        </w:rPr>
        <w:t>ículo</w:t>
      </w:r>
      <w:r w:rsidR="00FD0E39">
        <w:rPr>
          <w:rFonts w:ascii="Arial" w:hAnsi="Arial" w:cs="Arial"/>
          <w:sz w:val="24"/>
          <w:szCs w:val="24"/>
        </w:rPr>
        <w:t xml:space="preserve"> 149 del </w:t>
      </w:r>
      <w:r w:rsidR="00E767A3">
        <w:rPr>
          <w:rFonts w:ascii="Arial" w:hAnsi="Arial" w:cs="Arial"/>
          <w:sz w:val="24"/>
          <w:szCs w:val="24"/>
        </w:rPr>
        <w:t>TOCAF</w:t>
      </w:r>
      <w:r w:rsidR="00FD0E3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por lo que se deberá ajustar, en ese sentido,  la redacción de ese inciso del articulo; </w:t>
      </w:r>
    </w:p>
    <w:p w:rsidR="008062D1" w:rsidRDefault="002121CE" w:rsidP="00E767A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ATENTO: </w:t>
      </w:r>
      <w:r>
        <w:rPr>
          <w:rFonts w:ascii="Arial" w:hAnsi="Arial" w:cs="Arial"/>
          <w:sz w:val="24"/>
          <w:szCs w:val="24"/>
        </w:rPr>
        <w:t xml:space="preserve">a lo precedentemente expuesto y a lo dispuesto por el </w:t>
      </w:r>
      <w:r w:rsidR="00E767A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E767A3">
        <w:rPr>
          <w:rFonts w:ascii="Arial" w:hAnsi="Arial" w:cs="Arial"/>
          <w:sz w:val="24"/>
          <w:szCs w:val="24"/>
        </w:rPr>
        <w:t>ículo 211 L</w:t>
      </w:r>
      <w:r>
        <w:rPr>
          <w:rFonts w:ascii="Arial" w:hAnsi="Arial" w:cs="Arial"/>
          <w:sz w:val="24"/>
          <w:szCs w:val="24"/>
        </w:rPr>
        <w:t>it</w:t>
      </w:r>
      <w:r w:rsidR="00E767A3">
        <w:rPr>
          <w:rFonts w:ascii="Arial" w:hAnsi="Arial" w:cs="Arial"/>
          <w:sz w:val="24"/>
          <w:szCs w:val="24"/>
        </w:rPr>
        <w:t>eral</w:t>
      </w:r>
      <w:r w:rsidR="003A30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B) de la Constitución de la República;</w:t>
      </w:r>
    </w:p>
    <w:p w:rsidR="002121CE" w:rsidRDefault="002121CE" w:rsidP="00E767A3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1E5F40" w:rsidRPr="001E5F40" w:rsidRDefault="001E5F40" w:rsidP="00B166B4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Intervenir el gasto;</w:t>
      </w:r>
    </w:p>
    <w:p w:rsidR="004A04B0" w:rsidRPr="004A04B0" w:rsidRDefault="004A04B0" w:rsidP="00B166B4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  <w:r w:rsidRPr="004A04B0">
        <w:rPr>
          <w:rFonts w:ascii="Arial" w:hAnsi="Arial" w:cs="Arial"/>
          <w:sz w:val="24"/>
          <w:szCs w:val="24"/>
        </w:rPr>
        <w:t>Téngase presente lo expresado en los considerandos</w:t>
      </w:r>
      <w:r w:rsidR="00B166B4">
        <w:rPr>
          <w:rFonts w:ascii="Arial" w:hAnsi="Arial" w:cs="Arial"/>
          <w:sz w:val="24"/>
          <w:szCs w:val="24"/>
        </w:rPr>
        <w:t>;</w:t>
      </w:r>
    </w:p>
    <w:p w:rsidR="002121CE" w:rsidRPr="00B166B4" w:rsidRDefault="008062D1" w:rsidP="00B166B4">
      <w:pPr>
        <w:pStyle w:val="Prrafodelista"/>
        <w:numPr>
          <w:ilvl w:val="0"/>
          <w:numId w:val="1"/>
        </w:numPr>
        <w:tabs>
          <w:tab w:val="left" w:pos="284"/>
        </w:tabs>
        <w:spacing w:after="0" w:line="360" w:lineRule="auto"/>
        <w:ind w:left="0" w:firstLine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</w:t>
      </w:r>
      <w:r w:rsidR="002121CE">
        <w:rPr>
          <w:rFonts w:ascii="Arial" w:hAnsi="Arial" w:cs="Arial"/>
          <w:sz w:val="24"/>
          <w:szCs w:val="24"/>
        </w:rPr>
        <w:t>.</w:t>
      </w:r>
    </w:p>
    <w:p w:rsidR="00B166B4" w:rsidRDefault="00B166B4" w:rsidP="00B166B4">
      <w:pPr>
        <w:tabs>
          <w:tab w:val="left" w:pos="284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B166B4" w:rsidRDefault="00B166B4" w:rsidP="00B166B4">
      <w:pPr>
        <w:tabs>
          <w:tab w:val="left" w:pos="284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B166B4" w:rsidRDefault="00B166B4" w:rsidP="00B166B4">
      <w:pPr>
        <w:tabs>
          <w:tab w:val="left" w:pos="284"/>
        </w:tabs>
        <w:spacing w:after="0" w:line="360" w:lineRule="auto"/>
        <w:rPr>
          <w:rFonts w:ascii="Arial" w:hAnsi="Arial" w:cs="Arial"/>
          <w:sz w:val="24"/>
          <w:szCs w:val="24"/>
        </w:rPr>
      </w:pPr>
    </w:p>
    <w:p w:rsidR="00B166B4" w:rsidRPr="00B166B4" w:rsidRDefault="00B166B4" w:rsidP="00B166B4">
      <w:pPr>
        <w:tabs>
          <w:tab w:val="left" w:pos="284"/>
        </w:tabs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121CE" w:rsidRDefault="00B166B4" w:rsidP="00B166B4">
      <w:pPr>
        <w:tabs>
          <w:tab w:val="left" w:pos="284"/>
        </w:tabs>
        <w:spacing w:after="0" w:line="360" w:lineRule="auto"/>
        <w:ind w:hanging="426"/>
        <w:rPr>
          <w:rFonts w:ascii="Arial" w:hAnsi="Arial" w:cs="Arial"/>
          <w:sz w:val="24"/>
          <w:szCs w:val="24"/>
        </w:rPr>
      </w:pPr>
      <w:proofErr w:type="gramStart"/>
      <w:r w:rsidRPr="00B166B4">
        <w:rPr>
          <w:rFonts w:ascii="Arial" w:hAnsi="Arial" w:cs="Arial"/>
          <w:sz w:val="24"/>
          <w:szCs w:val="24"/>
        </w:rPr>
        <w:t>dc</w:t>
      </w:r>
      <w:proofErr w:type="gramEnd"/>
    </w:p>
    <w:p w:rsidR="002121CE" w:rsidRDefault="002121CE" w:rsidP="002121CE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2121CE" w:rsidSect="00B166B4">
      <w:footerReference w:type="default" r:id="rId9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6B4" w:rsidRDefault="00B166B4" w:rsidP="00B166B4">
      <w:pPr>
        <w:spacing w:after="0" w:line="240" w:lineRule="auto"/>
      </w:pPr>
      <w:r>
        <w:separator/>
      </w:r>
    </w:p>
  </w:endnote>
  <w:endnote w:type="continuationSeparator" w:id="0">
    <w:p w:rsidR="00B166B4" w:rsidRDefault="00B166B4" w:rsidP="00B16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9664159"/>
      <w:docPartObj>
        <w:docPartGallery w:val="Page Numbers (Bottom of Page)"/>
        <w:docPartUnique/>
      </w:docPartObj>
    </w:sdtPr>
    <w:sdtContent>
      <w:p w:rsidR="00B166B4" w:rsidRDefault="00B166B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166B4">
          <w:rPr>
            <w:noProof/>
            <w:lang w:val="es-ES"/>
          </w:rPr>
          <w:t>3</w:t>
        </w:r>
        <w:r>
          <w:fldChar w:fldCharType="end"/>
        </w:r>
      </w:p>
    </w:sdtContent>
  </w:sdt>
  <w:p w:rsidR="00B166B4" w:rsidRDefault="00B166B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6B4" w:rsidRDefault="00B166B4" w:rsidP="00B166B4">
      <w:pPr>
        <w:spacing w:after="0" w:line="240" w:lineRule="auto"/>
      </w:pPr>
      <w:r>
        <w:separator/>
      </w:r>
    </w:p>
  </w:footnote>
  <w:footnote w:type="continuationSeparator" w:id="0">
    <w:p w:rsidR="00B166B4" w:rsidRDefault="00B166B4" w:rsidP="00B166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C61A38"/>
    <w:multiLevelType w:val="hybridMultilevel"/>
    <w:tmpl w:val="17045EEC"/>
    <w:lvl w:ilvl="0" w:tplc="216A4A4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21E"/>
    <w:rsid w:val="00007A2E"/>
    <w:rsid w:val="000161F1"/>
    <w:rsid w:val="00040B1F"/>
    <w:rsid w:val="00053805"/>
    <w:rsid w:val="00093E3F"/>
    <w:rsid w:val="000A43D3"/>
    <w:rsid w:val="000E74F6"/>
    <w:rsid w:val="00101242"/>
    <w:rsid w:val="0017592C"/>
    <w:rsid w:val="00191B73"/>
    <w:rsid w:val="001B1460"/>
    <w:rsid w:val="001E5F40"/>
    <w:rsid w:val="002121CE"/>
    <w:rsid w:val="002131EF"/>
    <w:rsid w:val="00225125"/>
    <w:rsid w:val="00234A3A"/>
    <w:rsid w:val="00265108"/>
    <w:rsid w:val="00294EEF"/>
    <w:rsid w:val="002D66E7"/>
    <w:rsid w:val="002E7BFF"/>
    <w:rsid w:val="00334CC6"/>
    <w:rsid w:val="00347198"/>
    <w:rsid w:val="00391321"/>
    <w:rsid w:val="003A1169"/>
    <w:rsid w:val="003A3006"/>
    <w:rsid w:val="003A62AA"/>
    <w:rsid w:val="003B2030"/>
    <w:rsid w:val="003D16FE"/>
    <w:rsid w:val="00401BDD"/>
    <w:rsid w:val="00423DD0"/>
    <w:rsid w:val="00440E4F"/>
    <w:rsid w:val="0046043F"/>
    <w:rsid w:val="00492E58"/>
    <w:rsid w:val="004A04B0"/>
    <w:rsid w:val="004C6703"/>
    <w:rsid w:val="004D10EE"/>
    <w:rsid w:val="005319C9"/>
    <w:rsid w:val="00586739"/>
    <w:rsid w:val="00594485"/>
    <w:rsid w:val="005A2FE5"/>
    <w:rsid w:val="005E32F5"/>
    <w:rsid w:val="005E4D0A"/>
    <w:rsid w:val="00600E2C"/>
    <w:rsid w:val="00690BEB"/>
    <w:rsid w:val="00694F8F"/>
    <w:rsid w:val="006A5138"/>
    <w:rsid w:val="006C7098"/>
    <w:rsid w:val="006D5F4E"/>
    <w:rsid w:val="0074189B"/>
    <w:rsid w:val="00762A58"/>
    <w:rsid w:val="007C2444"/>
    <w:rsid w:val="0080154F"/>
    <w:rsid w:val="008062D1"/>
    <w:rsid w:val="008437FC"/>
    <w:rsid w:val="00847B29"/>
    <w:rsid w:val="008B178B"/>
    <w:rsid w:val="008C2DBB"/>
    <w:rsid w:val="00907C79"/>
    <w:rsid w:val="00910776"/>
    <w:rsid w:val="009362D3"/>
    <w:rsid w:val="009469B5"/>
    <w:rsid w:val="00957431"/>
    <w:rsid w:val="00965C13"/>
    <w:rsid w:val="00977F19"/>
    <w:rsid w:val="009A1D51"/>
    <w:rsid w:val="009C40CF"/>
    <w:rsid w:val="009C45F7"/>
    <w:rsid w:val="009D625F"/>
    <w:rsid w:val="009F3B76"/>
    <w:rsid w:val="009F432B"/>
    <w:rsid w:val="00A236C1"/>
    <w:rsid w:val="00A41ADD"/>
    <w:rsid w:val="00A43D62"/>
    <w:rsid w:val="00A927C8"/>
    <w:rsid w:val="00A953BB"/>
    <w:rsid w:val="00AA51AD"/>
    <w:rsid w:val="00AA6046"/>
    <w:rsid w:val="00AB5B25"/>
    <w:rsid w:val="00AE6C30"/>
    <w:rsid w:val="00B0468F"/>
    <w:rsid w:val="00B07F6C"/>
    <w:rsid w:val="00B108CC"/>
    <w:rsid w:val="00B166B4"/>
    <w:rsid w:val="00B67E8C"/>
    <w:rsid w:val="00B92523"/>
    <w:rsid w:val="00BE38A2"/>
    <w:rsid w:val="00C4482B"/>
    <w:rsid w:val="00C5761F"/>
    <w:rsid w:val="00C741F6"/>
    <w:rsid w:val="00C92BC1"/>
    <w:rsid w:val="00C94CD7"/>
    <w:rsid w:val="00CD48F8"/>
    <w:rsid w:val="00CF41ED"/>
    <w:rsid w:val="00D45E65"/>
    <w:rsid w:val="00D51A0F"/>
    <w:rsid w:val="00D97C38"/>
    <w:rsid w:val="00DB540B"/>
    <w:rsid w:val="00DC321E"/>
    <w:rsid w:val="00DD56A3"/>
    <w:rsid w:val="00DE4024"/>
    <w:rsid w:val="00E07D26"/>
    <w:rsid w:val="00E20659"/>
    <w:rsid w:val="00E34460"/>
    <w:rsid w:val="00E71FC8"/>
    <w:rsid w:val="00E74FDB"/>
    <w:rsid w:val="00E767A3"/>
    <w:rsid w:val="00EA1232"/>
    <w:rsid w:val="00EA18D7"/>
    <w:rsid w:val="00EC4862"/>
    <w:rsid w:val="00F27A27"/>
    <w:rsid w:val="00F97C8B"/>
    <w:rsid w:val="00FD0E39"/>
    <w:rsid w:val="00FE2756"/>
    <w:rsid w:val="00FE6E07"/>
    <w:rsid w:val="00FF0F71"/>
    <w:rsid w:val="00FF4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21C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BD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6B4"/>
  </w:style>
  <w:style w:type="paragraph" w:styleId="Piedepgina">
    <w:name w:val="footer"/>
    <w:basedOn w:val="Normal"/>
    <w:link w:val="PiedepginaCar"/>
    <w:uiPriority w:val="99"/>
    <w:unhideWhenUsed/>
    <w:rsid w:val="00B16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6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121C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01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1BD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16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6B4"/>
  </w:style>
  <w:style w:type="paragraph" w:styleId="Piedepgina">
    <w:name w:val="footer"/>
    <w:basedOn w:val="Normal"/>
    <w:link w:val="PiedepginaCar"/>
    <w:uiPriority w:val="99"/>
    <w:unhideWhenUsed/>
    <w:rsid w:val="00B166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784F7-76E7-4193-B437-8E6B17F0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2018-11-27T16:38:00Z</cp:lastPrinted>
  <dcterms:created xsi:type="dcterms:W3CDTF">2018-11-27T16:39:00Z</dcterms:created>
  <dcterms:modified xsi:type="dcterms:W3CDTF">2018-11-27T16:39:00Z</dcterms:modified>
</cp:coreProperties>
</file>