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F02" w:rsidRPr="00A41067" w:rsidRDefault="000A0F02" w:rsidP="00A41067">
      <w:pPr>
        <w:tabs>
          <w:tab w:val="center" w:pos="4253"/>
        </w:tabs>
        <w:suppressAutoHyphens/>
        <w:spacing w:after="0" w:line="240" w:lineRule="auto"/>
        <w:jc w:val="right"/>
        <w:rPr>
          <w:rFonts w:ascii="Arial" w:hAnsi="Arial" w:cs="Arial"/>
          <w:b/>
          <w:sz w:val="28"/>
          <w:szCs w:val="28"/>
          <w:lang w:val="es-ES_tradnl"/>
        </w:rPr>
      </w:pPr>
      <w:bookmarkStart w:id="0" w:name="_GoBack"/>
      <w:bookmarkEnd w:id="0"/>
      <w:r w:rsidRPr="00A41067">
        <w:rPr>
          <w:rFonts w:ascii="Arial" w:hAnsi="Arial" w:cs="Arial"/>
          <w:b/>
          <w:sz w:val="28"/>
          <w:szCs w:val="28"/>
          <w:lang w:val="es-ES_tradnl"/>
        </w:rPr>
        <w:t xml:space="preserve">RES. </w:t>
      </w:r>
      <w:r>
        <w:rPr>
          <w:rFonts w:ascii="Arial" w:hAnsi="Arial" w:cs="Arial"/>
          <w:b/>
          <w:sz w:val="28"/>
          <w:szCs w:val="28"/>
          <w:lang w:val="es-ES_tradnl"/>
        </w:rPr>
        <w:t>3498</w:t>
      </w:r>
      <w:r w:rsidRPr="00A41067">
        <w:rPr>
          <w:rFonts w:ascii="Arial" w:hAnsi="Arial" w:cs="Arial"/>
          <w:b/>
          <w:sz w:val="28"/>
          <w:szCs w:val="28"/>
          <w:lang w:val="es-ES_tradnl"/>
        </w:rPr>
        <w:t>/18</w:t>
      </w:r>
    </w:p>
    <w:p w:rsidR="000A0F02" w:rsidRPr="00A41067" w:rsidRDefault="000A0F02" w:rsidP="00A41067">
      <w:pPr>
        <w:tabs>
          <w:tab w:val="center" w:pos="4253"/>
        </w:tabs>
        <w:suppressAutoHyphens/>
        <w:spacing w:after="0" w:line="240" w:lineRule="auto"/>
        <w:jc w:val="right"/>
        <w:rPr>
          <w:rFonts w:ascii="Arial" w:hAnsi="Arial" w:cs="Arial"/>
          <w:b/>
          <w:sz w:val="24"/>
          <w:szCs w:val="24"/>
          <w:lang w:val="es-ES_tradnl"/>
        </w:rPr>
      </w:pPr>
    </w:p>
    <w:p w:rsidR="000A0F02" w:rsidRPr="00A41067" w:rsidRDefault="000A0F02" w:rsidP="00A41067">
      <w:pPr>
        <w:tabs>
          <w:tab w:val="center" w:pos="4253"/>
        </w:tabs>
        <w:suppressAutoHyphens/>
        <w:spacing w:after="0" w:line="240" w:lineRule="auto"/>
        <w:jc w:val="center"/>
        <w:rPr>
          <w:rFonts w:ascii="Arial" w:hAnsi="Arial" w:cs="Arial"/>
          <w:b/>
          <w:sz w:val="24"/>
          <w:szCs w:val="24"/>
          <w:lang w:val="es-ES_tradnl"/>
        </w:rPr>
      </w:pPr>
      <w:r w:rsidRPr="00A41067">
        <w:rPr>
          <w:rFonts w:ascii="Arial" w:hAnsi="Arial" w:cs="Arial"/>
          <w:b/>
          <w:sz w:val="24"/>
          <w:szCs w:val="24"/>
          <w:lang w:val="es-ES_tradnl"/>
        </w:rPr>
        <w:t>RESOLUCION ADOPTADA POR EL</w:t>
      </w:r>
    </w:p>
    <w:p w:rsidR="000A0F02" w:rsidRPr="00A41067" w:rsidRDefault="000A0F02" w:rsidP="00A41067">
      <w:pPr>
        <w:tabs>
          <w:tab w:val="left" w:pos="-720"/>
        </w:tabs>
        <w:suppressAutoHyphens/>
        <w:spacing w:after="0" w:line="240" w:lineRule="auto"/>
        <w:jc w:val="center"/>
        <w:rPr>
          <w:rFonts w:ascii="Arial" w:hAnsi="Arial" w:cs="Arial"/>
          <w:b/>
          <w:sz w:val="24"/>
          <w:szCs w:val="24"/>
          <w:lang w:val="es-ES_tradnl"/>
        </w:rPr>
      </w:pPr>
    </w:p>
    <w:p w:rsidR="000A0F02" w:rsidRPr="00A41067" w:rsidRDefault="000A0F02" w:rsidP="00A41067">
      <w:pPr>
        <w:tabs>
          <w:tab w:val="center" w:pos="4253"/>
        </w:tabs>
        <w:suppressAutoHyphens/>
        <w:spacing w:after="0" w:line="240" w:lineRule="auto"/>
        <w:jc w:val="center"/>
        <w:rPr>
          <w:rFonts w:ascii="Arial" w:hAnsi="Arial" w:cs="Arial"/>
          <w:b/>
          <w:sz w:val="24"/>
          <w:szCs w:val="24"/>
          <w:lang w:val="es-ES_tradnl"/>
        </w:rPr>
      </w:pPr>
      <w:r w:rsidRPr="00A41067">
        <w:rPr>
          <w:rFonts w:ascii="Arial" w:hAnsi="Arial" w:cs="Arial"/>
          <w:b/>
          <w:sz w:val="24"/>
          <w:szCs w:val="24"/>
          <w:lang w:val="es-ES_tradnl"/>
        </w:rPr>
        <w:t>TRIBUNAL DE CUENTAS</w:t>
      </w:r>
    </w:p>
    <w:p w:rsidR="000A0F02" w:rsidRPr="00A41067" w:rsidRDefault="000A0F02" w:rsidP="00A41067">
      <w:pPr>
        <w:tabs>
          <w:tab w:val="left" w:pos="-720"/>
        </w:tabs>
        <w:suppressAutoHyphens/>
        <w:spacing w:after="0" w:line="240" w:lineRule="auto"/>
        <w:jc w:val="center"/>
        <w:rPr>
          <w:rFonts w:ascii="Arial" w:hAnsi="Arial" w:cs="Arial"/>
          <w:b/>
          <w:sz w:val="24"/>
          <w:szCs w:val="24"/>
          <w:lang w:val="es-ES_tradnl"/>
        </w:rPr>
      </w:pPr>
    </w:p>
    <w:p w:rsidR="000A0F02" w:rsidRPr="00A41067" w:rsidRDefault="000A0F02" w:rsidP="00A41067">
      <w:pPr>
        <w:tabs>
          <w:tab w:val="center" w:pos="4253"/>
        </w:tabs>
        <w:suppressAutoHyphens/>
        <w:spacing w:after="0" w:line="240" w:lineRule="auto"/>
        <w:jc w:val="center"/>
        <w:rPr>
          <w:rFonts w:ascii="Arial" w:hAnsi="Arial" w:cs="Arial"/>
          <w:b/>
          <w:sz w:val="24"/>
          <w:szCs w:val="24"/>
          <w:lang w:val="es-ES_tradnl"/>
        </w:rPr>
      </w:pPr>
      <w:r w:rsidRPr="00A41067">
        <w:rPr>
          <w:rFonts w:ascii="Arial" w:hAnsi="Arial" w:cs="Arial"/>
          <w:b/>
          <w:sz w:val="24"/>
          <w:szCs w:val="24"/>
          <w:lang w:val="es-ES_tradnl"/>
        </w:rPr>
        <w:t>EN SESION DE FECHA 14 DE NOVIEMBRE DE 2018</w:t>
      </w:r>
    </w:p>
    <w:p w:rsidR="000A0F02" w:rsidRPr="00A41067" w:rsidRDefault="000A0F02" w:rsidP="00A41067">
      <w:pPr>
        <w:tabs>
          <w:tab w:val="center" w:pos="4253"/>
        </w:tabs>
        <w:suppressAutoHyphens/>
        <w:spacing w:after="0" w:line="240" w:lineRule="auto"/>
        <w:jc w:val="center"/>
        <w:rPr>
          <w:rFonts w:ascii="Arial" w:hAnsi="Arial" w:cs="Arial"/>
          <w:b/>
          <w:sz w:val="24"/>
          <w:szCs w:val="24"/>
          <w:lang w:val="es-ES_tradnl"/>
        </w:rPr>
      </w:pPr>
    </w:p>
    <w:p w:rsidR="000A0F02" w:rsidRPr="00A41067" w:rsidRDefault="000A0F02" w:rsidP="00A41067">
      <w:pPr>
        <w:tabs>
          <w:tab w:val="center" w:pos="4253"/>
        </w:tabs>
        <w:suppressAutoHyphens/>
        <w:spacing w:after="0" w:line="240" w:lineRule="auto"/>
        <w:jc w:val="center"/>
        <w:rPr>
          <w:rFonts w:ascii="Arial" w:hAnsi="Arial" w:cs="Arial"/>
          <w:b/>
          <w:sz w:val="24"/>
          <w:szCs w:val="24"/>
        </w:rPr>
      </w:pPr>
      <w:r w:rsidRPr="00A41067">
        <w:rPr>
          <w:rFonts w:ascii="Arial" w:hAnsi="Arial" w:cs="Arial"/>
          <w:b/>
          <w:sz w:val="24"/>
          <w:szCs w:val="24"/>
        </w:rPr>
        <w:t xml:space="preserve">(E. E. Nº </w:t>
      </w:r>
      <w:r>
        <w:rPr>
          <w:rFonts w:ascii="Arial" w:hAnsi="Arial" w:cs="Arial"/>
          <w:b/>
          <w:sz w:val="24"/>
          <w:szCs w:val="24"/>
        </w:rPr>
        <w:t>2018-17-1-0002619</w:t>
      </w:r>
      <w:r w:rsidRPr="00A41067">
        <w:rPr>
          <w:rFonts w:ascii="Arial" w:hAnsi="Arial" w:cs="Arial"/>
          <w:b/>
          <w:sz w:val="24"/>
          <w:szCs w:val="24"/>
        </w:rPr>
        <w:t xml:space="preserve">, </w:t>
      </w:r>
      <w:proofErr w:type="spellStart"/>
      <w:r w:rsidRPr="00A41067">
        <w:rPr>
          <w:rFonts w:ascii="Arial" w:hAnsi="Arial" w:cs="Arial"/>
          <w:b/>
          <w:sz w:val="24"/>
          <w:szCs w:val="24"/>
        </w:rPr>
        <w:t>Ent</w:t>
      </w:r>
      <w:proofErr w:type="spellEnd"/>
      <w:r w:rsidRPr="00A41067">
        <w:rPr>
          <w:rFonts w:ascii="Arial" w:hAnsi="Arial" w:cs="Arial"/>
          <w:b/>
          <w:sz w:val="24"/>
          <w:szCs w:val="24"/>
        </w:rPr>
        <w:t xml:space="preserve">. N° </w:t>
      </w:r>
      <w:r>
        <w:rPr>
          <w:rFonts w:ascii="Arial" w:hAnsi="Arial" w:cs="Arial"/>
          <w:b/>
          <w:sz w:val="24"/>
          <w:szCs w:val="24"/>
        </w:rPr>
        <w:t>1960</w:t>
      </w:r>
      <w:r w:rsidRPr="00A41067">
        <w:rPr>
          <w:rFonts w:ascii="Arial" w:hAnsi="Arial" w:cs="Arial"/>
          <w:b/>
          <w:sz w:val="24"/>
          <w:szCs w:val="24"/>
        </w:rPr>
        <w:t>/18</w:t>
      </w:r>
      <w:r>
        <w:rPr>
          <w:rFonts w:ascii="Arial" w:hAnsi="Arial" w:cs="Arial"/>
          <w:b/>
          <w:sz w:val="24"/>
          <w:szCs w:val="24"/>
        </w:rPr>
        <w:t>, 3624/18, 2223/18 y 3623/18</w:t>
      </w:r>
      <w:r w:rsidRPr="00A41067">
        <w:rPr>
          <w:rFonts w:ascii="Arial" w:hAnsi="Arial" w:cs="Arial"/>
          <w:b/>
          <w:sz w:val="24"/>
          <w:szCs w:val="24"/>
        </w:rPr>
        <w:t>)</w:t>
      </w:r>
    </w:p>
    <w:p w:rsidR="000A0F02" w:rsidRDefault="000A0F02" w:rsidP="000A0F02">
      <w:pPr>
        <w:suppressAutoHyphens/>
        <w:spacing w:after="120" w:line="360" w:lineRule="auto"/>
        <w:jc w:val="both"/>
        <w:rPr>
          <w:rFonts w:ascii="Arial" w:eastAsia="Times New Roman" w:hAnsi="Arial" w:cs="Arial"/>
          <w:b/>
          <w:bCs/>
          <w:spacing w:val="-3"/>
          <w:sz w:val="24"/>
          <w:szCs w:val="24"/>
          <w:lang w:val="es-ES_tradnl" w:eastAsia="zh-CN"/>
        </w:rPr>
      </w:pPr>
    </w:p>
    <w:p w:rsidR="000A0F02" w:rsidRDefault="000A0F02" w:rsidP="000A0F02">
      <w:pPr>
        <w:suppressAutoHyphens/>
        <w:spacing w:after="0" w:line="360" w:lineRule="auto"/>
        <w:ind w:firstLine="851"/>
        <w:jc w:val="both"/>
        <w:rPr>
          <w:rFonts w:ascii="Arial" w:eastAsia="Times New Roman" w:hAnsi="Arial" w:cs="Arial"/>
          <w:spacing w:val="-3"/>
          <w:sz w:val="24"/>
          <w:szCs w:val="24"/>
          <w:lang w:val="es-ES_tradnl" w:eastAsia="zh-CN"/>
        </w:rPr>
      </w:pPr>
      <w:r w:rsidRPr="000A0F02">
        <w:rPr>
          <w:rFonts w:ascii="Arial" w:eastAsia="Times New Roman" w:hAnsi="Arial" w:cs="Arial"/>
          <w:b/>
          <w:bCs/>
          <w:spacing w:val="-3"/>
          <w:sz w:val="24"/>
          <w:szCs w:val="24"/>
          <w:lang w:val="es-ES_tradnl" w:eastAsia="zh-CN"/>
        </w:rPr>
        <w:t>VISTO</w:t>
      </w:r>
      <w:r w:rsidRPr="00EE6883">
        <w:rPr>
          <w:rFonts w:ascii="Arial" w:eastAsia="Times New Roman" w:hAnsi="Arial" w:cs="Arial"/>
          <w:b/>
          <w:spacing w:val="-3"/>
          <w:sz w:val="24"/>
          <w:szCs w:val="24"/>
          <w:lang w:val="es-ES_tradnl" w:eastAsia="zh-CN"/>
        </w:rPr>
        <w:t>:</w:t>
      </w:r>
      <w:r w:rsidRPr="000A0F02">
        <w:rPr>
          <w:rFonts w:ascii="Arial" w:eastAsia="Times New Roman" w:hAnsi="Arial" w:cs="Arial"/>
          <w:spacing w:val="-3"/>
          <w:sz w:val="24"/>
          <w:szCs w:val="24"/>
          <w:lang w:val="es-ES_tradnl" w:eastAsia="zh-CN"/>
        </w:rPr>
        <w:t xml:space="preserve"> que este Tribunal ha examinado los estados financieros del Banco de Previsión Social (BPS) que comprenden el </w:t>
      </w:r>
      <w:r w:rsidRPr="000A0F02">
        <w:rPr>
          <w:rFonts w:ascii="Arial" w:eastAsia="Times New Roman" w:hAnsi="Arial" w:cs="Arial"/>
          <w:sz w:val="24"/>
          <w:szCs w:val="24"/>
          <w:lang w:val="es-ES" w:eastAsia="zh-CN"/>
        </w:rPr>
        <w:t>Estado de Situación Financiera al 31/12/2017</w:t>
      </w:r>
      <w:r w:rsidRPr="000A0F02">
        <w:rPr>
          <w:rFonts w:ascii="Arial" w:eastAsia="Times New Roman" w:hAnsi="Arial" w:cs="Arial"/>
          <w:spacing w:val="-3"/>
          <w:sz w:val="24"/>
          <w:szCs w:val="24"/>
          <w:lang w:val="es-ES_tradnl" w:eastAsia="zh-CN"/>
        </w:rPr>
        <w:t>, los correspondientes Estado de Resultados Integral,</w:t>
      </w:r>
      <w:r w:rsidRPr="000A0F02">
        <w:rPr>
          <w:rFonts w:ascii="Arial" w:eastAsia="Times New Roman" w:hAnsi="Arial" w:cs="Arial"/>
          <w:sz w:val="24"/>
          <w:szCs w:val="24"/>
          <w:lang w:val="es-ES" w:eastAsia="zh-CN"/>
        </w:rPr>
        <w:t xml:space="preserve"> </w:t>
      </w:r>
      <w:r w:rsidRPr="000A0F02">
        <w:rPr>
          <w:rFonts w:ascii="Arial" w:eastAsia="Times New Roman" w:hAnsi="Arial" w:cs="Arial"/>
          <w:spacing w:val="-3"/>
          <w:sz w:val="24"/>
          <w:szCs w:val="24"/>
          <w:lang w:val="es-ES_tradnl" w:eastAsia="zh-CN"/>
        </w:rPr>
        <w:t xml:space="preserve">de </w:t>
      </w:r>
      <w:r w:rsidRPr="000A0F02">
        <w:rPr>
          <w:rFonts w:ascii="Arial" w:eastAsia="Times New Roman" w:hAnsi="Arial" w:cs="Arial"/>
          <w:sz w:val="24"/>
          <w:szCs w:val="24"/>
          <w:lang w:val="es-ES" w:eastAsia="zh-CN"/>
        </w:rPr>
        <w:t xml:space="preserve">Flujo de Efectivo y de Evolución del Patrimonio por el ejercicio anual finalizado en esa fecha, las notas de políticas contables </w:t>
      </w:r>
      <w:r w:rsidRPr="000A0F02">
        <w:rPr>
          <w:rFonts w:ascii="Arial" w:eastAsia="Times New Roman" w:hAnsi="Arial" w:cs="Arial"/>
          <w:spacing w:val="-3"/>
          <w:sz w:val="24"/>
          <w:szCs w:val="24"/>
          <w:lang w:val="es-ES_tradnl" w:eastAsia="zh-CN"/>
        </w:rPr>
        <w:t>significativas aplicadas y otras notas explicativas,</w:t>
      </w:r>
      <w:r w:rsidRPr="000A0F02">
        <w:rPr>
          <w:rFonts w:ascii="Arial" w:eastAsia="Times New Roman" w:hAnsi="Arial" w:cs="Arial"/>
          <w:sz w:val="24"/>
          <w:szCs w:val="24"/>
          <w:lang w:val="es-ES" w:eastAsia="zh-CN"/>
        </w:rPr>
        <w:t xml:space="preserve"> los Anexos y </w:t>
      </w:r>
      <w:r w:rsidRPr="000A0F02">
        <w:rPr>
          <w:rFonts w:ascii="Arial" w:eastAsia="Times New Roman" w:hAnsi="Arial" w:cs="Arial"/>
          <w:spacing w:val="-3"/>
          <w:sz w:val="24"/>
          <w:szCs w:val="24"/>
          <w:lang w:val="es-ES_tradnl" w:eastAsia="zh-CN"/>
        </w:rPr>
        <w:t>el Balance de</w:t>
      </w:r>
      <w:r>
        <w:rPr>
          <w:rFonts w:ascii="Arial" w:eastAsia="Times New Roman" w:hAnsi="Arial" w:cs="Arial"/>
          <w:spacing w:val="-3"/>
          <w:sz w:val="24"/>
          <w:szCs w:val="24"/>
          <w:lang w:val="es-ES_tradnl" w:eastAsia="zh-CN"/>
        </w:rPr>
        <w:t xml:space="preserve"> Ejecución Presupuestal por el E</w:t>
      </w:r>
      <w:r w:rsidRPr="000A0F02">
        <w:rPr>
          <w:rFonts w:ascii="Arial" w:eastAsia="Times New Roman" w:hAnsi="Arial" w:cs="Arial"/>
          <w:spacing w:val="-3"/>
          <w:sz w:val="24"/>
          <w:szCs w:val="24"/>
          <w:lang w:val="es-ES_tradnl" w:eastAsia="zh-CN"/>
        </w:rPr>
        <w:t>jercicio finalizado el 31/12/2017;</w:t>
      </w:r>
    </w:p>
    <w:p w:rsidR="000A0F02" w:rsidRDefault="000A0F02" w:rsidP="000A0F02">
      <w:pPr>
        <w:suppressAutoHyphens/>
        <w:spacing w:after="0" w:line="360" w:lineRule="auto"/>
        <w:ind w:firstLine="851"/>
        <w:jc w:val="both"/>
        <w:rPr>
          <w:rFonts w:ascii="Arial" w:eastAsia="Times New Roman" w:hAnsi="Arial" w:cs="Arial"/>
          <w:sz w:val="24"/>
          <w:szCs w:val="24"/>
          <w:lang w:val="es-ES" w:eastAsia="zh-CN"/>
        </w:rPr>
      </w:pPr>
      <w:r w:rsidRPr="000A0F02">
        <w:rPr>
          <w:rFonts w:ascii="Arial" w:eastAsia="Times New Roman" w:hAnsi="Arial" w:cs="Arial"/>
          <w:b/>
          <w:sz w:val="24"/>
          <w:szCs w:val="24"/>
          <w:lang w:val="es-ES" w:eastAsia="zh-CN"/>
        </w:rPr>
        <w:t>RESULTANDO:</w:t>
      </w:r>
      <w:r w:rsidRPr="000A0F02">
        <w:rPr>
          <w:rFonts w:ascii="Arial" w:eastAsia="Times New Roman" w:hAnsi="Arial" w:cs="Arial"/>
          <w:sz w:val="24"/>
          <w:szCs w:val="24"/>
          <w:lang w:val="es-ES" w:eastAsia="zh-CN"/>
        </w:rPr>
        <w:t xml:space="preserve"> que el examen fue realizado de acuerdo con los Principios Fundamentales de Auditoría (ISSAI 100 y 200) y las Directrices de Auditoría Financiera (ISSAI 100 a 1810) de la Organización Internacional de Entidades Fiscalizadoras Superiores (INTOSAI);</w:t>
      </w:r>
    </w:p>
    <w:p w:rsidR="000A0F02" w:rsidRDefault="000A0F02" w:rsidP="000A0F02">
      <w:pPr>
        <w:suppressAutoHyphens/>
        <w:spacing w:after="0" w:line="360" w:lineRule="auto"/>
        <w:ind w:firstLine="851"/>
        <w:jc w:val="both"/>
        <w:rPr>
          <w:rFonts w:ascii="Arial" w:eastAsia="Times New Roman" w:hAnsi="Arial" w:cs="Arial"/>
          <w:sz w:val="24"/>
          <w:szCs w:val="24"/>
          <w:lang w:val="es-MX" w:eastAsia="zh-CN"/>
        </w:rPr>
      </w:pPr>
      <w:r w:rsidRPr="000A0F02">
        <w:rPr>
          <w:rFonts w:ascii="Arial" w:eastAsia="Times New Roman" w:hAnsi="Arial" w:cs="Arial"/>
          <w:b/>
          <w:sz w:val="24"/>
          <w:szCs w:val="24"/>
          <w:lang w:val="es-MX" w:eastAsia="zh-CN"/>
        </w:rPr>
        <w:t>CONSIDERANDO:</w:t>
      </w:r>
      <w:r w:rsidRPr="000A0F02">
        <w:rPr>
          <w:rFonts w:ascii="Arial" w:eastAsia="Times New Roman" w:hAnsi="Arial" w:cs="Arial"/>
          <w:sz w:val="24"/>
          <w:szCs w:val="24"/>
          <w:lang w:val="es-MX" w:eastAsia="zh-CN"/>
        </w:rPr>
        <w:t xml:space="preserve"> que las conclusiones y evidencias obtenidas son las que se expresan en el Informe de Auditoría, que incluye Dictamen e Informe a la Administración;</w:t>
      </w:r>
    </w:p>
    <w:p w:rsidR="000A0F02" w:rsidRPr="000A0F02" w:rsidRDefault="000A0F02" w:rsidP="000A0F02">
      <w:pPr>
        <w:suppressAutoHyphens/>
        <w:spacing w:after="0" w:line="360" w:lineRule="auto"/>
        <w:ind w:firstLine="851"/>
        <w:jc w:val="both"/>
        <w:rPr>
          <w:rFonts w:ascii="Arial" w:eastAsia="Times New Roman" w:hAnsi="Arial" w:cs="Arial"/>
          <w:sz w:val="24"/>
          <w:szCs w:val="24"/>
          <w:lang w:val="es-MX" w:eastAsia="zh-CN"/>
        </w:rPr>
      </w:pPr>
      <w:r w:rsidRPr="000A0F02">
        <w:rPr>
          <w:rFonts w:ascii="Arial" w:eastAsia="Times New Roman" w:hAnsi="Arial" w:cs="Arial"/>
          <w:b/>
          <w:sz w:val="24"/>
          <w:szCs w:val="24"/>
          <w:lang w:val="es-MX" w:eastAsia="zh-CN"/>
        </w:rPr>
        <w:t>ATENTO:</w:t>
      </w:r>
      <w:r w:rsidRPr="000A0F02">
        <w:rPr>
          <w:rFonts w:ascii="Arial" w:eastAsia="Times New Roman" w:hAnsi="Arial" w:cs="Arial"/>
          <w:sz w:val="24"/>
          <w:szCs w:val="24"/>
          <w:lang w:val="es-MX" w:eastAsia="zh-CN"/>
        </w:rPr>
        <w:t xml:space="preserve"> a lo dispuesto por los Artículos 191 y 211 Literal C) de la Constitución de la República;</w:t>
      </w:r>
    </w:p>
    <w:p w:rsidR="000A0F02" w:rsidRPr="000A0F02" w:rsidRDefault="000A0F02" w:rsidP="000A0F02">
      <w:pPr>
        <w:suppressAutoHyphens/>
        <w:spacing w:after="0" w:line="360" w:lineRule="auto"/>
        <w:jc w:val="center"/>
        <w:rPr>
          <w:rFonts w:ascii="Arial" w:eastAsia="Times New Roman" w:hAnsi="Arial" w:cs="Arial"/>
          <w:b/>
          <w:sz w:val="24"/>
          <w:szCs w:val="24"/>
          <w:lang w:val="es-MX" w:eastAsia="zh-CN"/>
        </w:rPr>
      </w:pPr>
      <w:r w:rsidRPr="000A0F02">
        <w:rPr>
          <w:rFonts w:ascii="Arial" w:eastAsia="Times New Roman" w:hAnsi="Arial" w:cs="Arial"/>
          <w:b/>
          <w:sz w:val="24"/>
          <w:szCs w:val="24"/>
          <w:lang w:val="es-MX" w:eastAsia="zh-CN"/>
        </w:rPr>
        <w:t>EL TRIBUNAL ACUERDA</w:t>
      </w:r>
    </w:p>
    <w:p w:rsidR="000A0F02" w:rsidRPr="000A0F02" w:rsidRDefault="000A0F02" w:rsidP="000A0F02">
      <w:pPr>
        <w:widowControl w:val="0"/>
        <w:tabs>
          <w:tab w:val="left" w:pos="284"/>
          <w:tab w:val="left" w:pos="4312"/>
        </w:tabs>
        <w:suppressAutoHyphens/>
        <w:spacing w:after="0" w:line="360" w:lineRule="auto"/>
        <w:ind w:left="284" w:hanging="284"/>
        <w:jc w:val="both"/>
        <w:rPr>
          <w:rFonts w:ascii="Arial" w:eastAsia="Times New Roman" w:hAnsi="Arial" w:cs="Arial"/>
          <w:sz w:val="24"/>
          <w:szCs w:val="24"/>
          <w:lang w:val="es-ES" w:eastAsia="zh-CN"/>
        </w:rPr>
      </w:pPr>
      <w:r w:rsidRPr="000A0F02">
        <w:rPr>
          <w:rFonts w:ascii="Arial" w:eastAsia="Times New Roman" w:hAnsi="Arial" w:cs="Arial"/>
          <w:b/>
          <w:sz w:val="24"/>
          <w:szCs w:val="24"/>
          <w:lang w:val="es-ES" w:eastAsia="zh-CN"/>
        </w:rPr>
        <w:t xml:space="preserve">1) </w:t>
      </w:r>
      <w:r w:rsidRPr="000A0F02">
        <w:rPr>
          <w:rFonts w:ascii="Arial" w:eastAsia="Times New Roman" w:hAnsi="Arial" w:cs="Arial"/>
          <w:sz w:val="24"/>
          <w:szCs w:val="24"/>
          <w:lang w:val="es-ES" w:eastAsia="zh-CN"/>
        </w:rPr>
        <w:t>Emitir su Dictamen respecto a los estados financieros citados precedente</w:t>
      </w:r>
      <w:r>
        <w:rPr>
          <w:rFonts w:ascii="Arial" w:eastAsia="Times New Roman" w:hAnsi="Arial" w:cs="Arial"/>
          <w:sz w:val="24"/>
          <w:szCs w:val="24"/>
          <w:lang w:val="es-ES" w:eastAsia="zh-CN"/>
        </w:rPr>
        <w:softHyphen/>
      </w:r>
      <w:r w:rsidRPr="000A0F02">
        <w:rPr>
          <w:rFonts w:ascii="Arial" w:eastAsia="Times New Roman" w:hAnsi="Arial" w:cs="Arial"/>
          <w:sz w:val="24"/>
          <w:szCs w:val="24"/>
          <w:lang w:val="es-ES" w:eastAsia="zh-CN"/>
        </w:rPr>
        <w:t>mente y al Balance de</w:t>
      </w:r>
      <w:r>
        <w:rPr>
          <w:rFonts w:ascii="Arial" w:eastAsia="Times New Roman" w:hAnsi="Arial" w:cs="Arial"/>
          <w:sz w:val="24"/>
          <w:szCs w:val="24"/>
          <w:lang w:val="es-ES" w:eastAsia="zh-CN"/>
        </w:rPr>
        <w:t xml:space="preserve"> Ejecución Presupuestal por el E</w:t>
      </w:r>
      <w:r w:rsidRPr="000A0F02">
        <w:rPr>
          <w:rFonts w:ascii="Arial" w:eastAsia="Times New Roman" w:hAnsi="Arial" w:cs="Arial"/>
          <w:sz w:val="24"/>
          <w:szCs w:val="24"/>
          <w:lang w:val="es-ES" w:eastAsia="zh-CN"/>
        </w:rPr>
        <w:t xml:space="preserve">jercicio finalizado el 31/12/2017, </w:t>
      </w:r>
      <w:r w:rsidRPr="000A0F02">
        <w:rPr>
          <w:rFonts w:ascii="Arial" w:eastAsia="Times New Roman" w:hAnsi="Arial" w:cs="Arial"/>
          <w:sz w:val="24"/>
          <w:szCs w:val="24"/>
          <w:lang w:val="es-ES_tradnl" w:eastAsia="zh-CN"/>
        </w:rPr>
        <w:t>en los términos del Informe de Auditoría que se adjunta;</w:t>
      </w:r>
    </w:p>
    <w:p w:rsidR="000A0F02" w:rsidRPr="000A0F02" w:rsidRDefault="000A0F02" w:rsidP="000A0F02">
      <w:pPr>
        <w:widowControl w:val="0"/>
        <w:tabs>
          <w:tab w:val="left" w:pos="284"/>
          <w:tab w:val="left" w:pos="4312"/>
        </w:tabs>
        <w:suppressAutoHyphens/>
        <w:spacing w:after="0" w:line="360" w:lineRule="auto"/>
        <w:ind w:left="284" w:hanging="284"/>
        <w:jc w:val="both"/>
        <w:rPr>
          <w:rFonts w:ascii="Arial" w:eastAsia="Times New Roman" w:hAnsi="Arial" w:cs="Arial"/>
          <w:sz w:val="24"/>
          <w:szCs w:val="24"/>
          <w:lang w:val="es-ES" w:eastAsia="zh-CN"/>
        </w:rPr>
      </w:pPr>
      <w:r w:rsidRPr="000A0F02">
        <w:rPr>
          <w:rFonts w:ascii="Arial" w:eastAsia="Times New Roman" w:hAnsi="Arial" w:cs="Arial"/>
          <w:b/>
          <w:sz w:val="24"/>
          <w:szCs w:val="24"/>
          <w:lang w:val="es-ES" w:eastAsia="zh-CN"/>
        </w:rPr>
        <w:t xml:space="preserve">2) </w:t>
      </w:r>
      <w:r w:rsidRPr="000A0F02">
        <w:rPr>
          <w:rFonts w:ascii="Arial" w:eastAsia="Times New Roman" w:hAnsi="Arial" w:cs="Arial"/>
          <w:sz w:val="24"/>
          <w:szCs w:val="24"/>
          <w:lang w:val="es-ES" w:eastAsia="zh-CN"/>
        </w:rPr>
        <w:t xml:space="preserve">Comunicar la presente Resolución al Ministerio de Trabajo y Seguridad </w:t>
      </w:r>
      <w:r w:rsidRPr="000A0F02">
        <w:rPr>
          <w:rFonts w:ascii="Arial" w:eastAsia="Times New Roman" w:hAnsi="Arial" w:cs="Arial"/>
          <w:sz w:val="24"/>
          <w:szCs w:val="24"/>
          <w:lang w:val="es-ES" w:eastAsia="zh-CN"/>
        </w:rPr>
        <w:lastRenderedPageBreak/>
        <w:t>Social (MTSS), a la Auditoría Interna de la Nación (AIN), a la Oficina de Planeamiento y Presupuesto (OPP), al Organismo y a los Contadores Delegados;</w:t>
      </w:r>
    </w:p>
    <w:p w:rsidR="000A0F02" w:rsidRDefault="000A0F02" w:rsidP="000A0F02">
      <w:pPr>
        <w:suppressAutoHyphens/>
        <w:spacing w:after="0" w:line="360" w:lineRule="auto"/>
        <w:rPr>
          <w:rFonts w:ascii="Arial" w:eastAsia="Times New Roman" w:hAnsi="Arial" w:cs="Arial"/>
          <w:sz w:val="24"/>
          <w:szCs w:val="24"/>
          <w:lang w:val="es-ES" w:eastAsia="zh-CN"/>
        </w:rPr>
      </w:pPr>
      <w:r w:rsidRPr="000A0F02">
        <w:rPr>
          <w:rFonts w:ascii="Arial" w:eastAsia="Times New Roman" w:hAnsi="Arial" w:cs="Arial"/>
          <w:b/>
          <w:sz w:val="24"/>
          <w:szCs w:val="24"/>
          <w:lang w:val="es-ES" w:eastAsia="zh-CN"/>
        </w:rPr>
        <w:t>3)</w:t>
      </w:r>
      <w:r w:rsidRPr="000A0F02">
        <w:rPr>
          <w:rFonts w:ascii="Arial" w:eastAsia="Times New Roman" w:hAnsi="Arial" w:cs="Arial"/>
          <w:sz w:val="24"/>
          <w:szCs w:val="24"/>
          <w:lang w:val="es-ES" w:eastAsia="zh-CN"/>
        </w:rPr>
        <w:t xml:space="preserve"> Dar cuenta a la Asamblea General.</w:t>
      </w:r>
    </w:p>
    <w:p w:rsidR="000A0F02" w:rsidRDefault="000A0F02" w:rsidP="000A0F02">
      <w:pPr>
        <w:suppressAutoHyphens/>
        <w:spacing w:after="0" w:line="360" w:lineRule="auto"/>
        <w:rPr>
          <w:rFonts w:ascii="Arial" w:eastAsia="Times New Roman" w:hAnsi="Arial" w:cs="Arial"/>
          <w:sz w:val="24"/>
          <w:szCs w:val="24"/>
          <w:lang w:val="es-ES" w:eastAsia="zh-CN"/>
        </w:rPr>
      </w:pPr>
    </w:p>
    <w:p w:rsidR="000A0F02" w:rsidRDefault="000A0F02" w:rsidP="000A0F02">
      <w:pPr>
        <w:suppressAutoHyphens/>
        <w:spacing w:after="0" w:line="360" w:lineRule="auto"/>
        <w:rPr>
          <w:rFonts w:ascii="Arial" w:eastAsia="Times New Roman" w:hAnsi="Arial" w:cs="Arial"/>
          <w:sz w:val="24"/>
          <w:szCs w:val="24"/>
          <w:lang w:val="es-ES" w:eastAsia="zh-CN"/>
        </w:rPr>
      </w:pPr>
    </w:p>
    <w:p w:rsidR="000A0F02" w:rsidRDefault="000A0F02" w:rsidP="000A0F02">
      <w:pPr>
        <w:suppressAutoHyphens/>
        <w:spacing w:after="0" w:line="360" w:lineRule="auto"/>
        <w:rPr>
          <w:rFonts w:ascii="Arial" w:eastAsia="Times New Roman" w:hAnsi="Arial" w:cs="Arial"/>
          <w:sz w:val="24"/>
          <w:szCs w:val="24"/>
          <w:lang w:val="es-ES" w:eastAsia="zh-CN"/>
        </w:rPr>
      </w:pPr>
    </w:p>
    <w:p w:rsidR="000A0F02" w:rsidRDefault="000A0F02" w:rsidP="000A0F02">
      <w:pPr>
        <w:suppressAutoHyphens/>
        <w:spacing w:after="0" w:line="360" w:lineRule="auto"/>
        <w:rPr>
          <w:rFonts w:ascii="Arial" w:eastAsia="Times New Roman" w:hAnsi="Arial" w:cs="Arial"/>
          <w:sz w:val="24"/>
          <w:szCs w:val="24"/>
          <w:lang w:val="es-ES" w:eastAsia="zh-CN"/>
        </w:rPr>
      </w:pPr>
    </w:p>
    <w:p w:rsidR="000A0F02" w:rsidRDefault="000A0F02" w:rsidP="000A0F02">
      <w:pPr>
        <w:suppressAutoHyphens/>
        <w:spacing w:after="0" w:line="360" w:lineRule="auto"/>
        <w:rPr>
          <w:rFonts w:ascii="Arial" w:eastAsia="Times New Roman" w:hAnsi="Arial" w:cs="Arial"/>
          <w:sz w:val="24"/>
          <w:szCs w:val="24"/>
          <w:lang w:val="es-ES" w:eastAsia="zh-CN"/>
        </w:rPr>
      </w:pPr>
    </w:p>
    <w:p w:rsidR="000A0F02" w:rsidRDefault="000A0F02" w:rsidP="000A0F02">
      <w:pPr>
        <w:suppressAutoHyphens/>
        <w:spacing w:after="0" w:line="360" w:lineRule="auto"/>
        <w:rPr>
          <w:rFonts w:ascii="Arial" w:eastAsia="Times New Roman" w:hAnsi="Arial" w:cs="Arial"/>
          <w:sz w:val="24"/>
          <w:szCs w:val="24"/>
          <w:lang w:val="es-ES" w:eastAsia="zh-CN"/>
        </w:rPr>
      </w:pPr>
    </w:p>
    <w:p w:rsidR="000A0F02" w:rsidRPr="000A0F02" w:rsidRDefault="000A0F02" w:rsidP="000A0F02">
      <w:pPr>
        <w:suppressAutoHyphens/>
        <w:spacing w:after="0" w:line="360" w:lineRule="auto"/>
        <w:ind w:hanging="426"/>
        <w:rPr>
          <w:rFonts w:ascii="Arial" w:eastAsia="Times New Roman" w:hAnsi="Arial" w:cs="Arial"/>
          <w:sz w:val="24"/>
          <w:szCs w:val="24"/>
          <w:shd w:val="clear" w:color="auto" w:fill="FFFF00"/>
          <w:lang w:val="es-MX" w:eastAsia="zh-CN"/>
        </w:rPr>
      </w:pPr>
      <w:proofErr w:type="gramStart"/>
      <w:r>
        <w:rPr>
          <w:rFonts w:ascii="Arial" w:eastAsia="Times New Roman" w:hAnsi="Arial" w:cs="Arial"/>
          <w:sz w:val="24"/>
          <w:szCs w:val="24"/>
          <w:lang w:val="es-ES" w:eastAsia="zh-CN"/>
        </w:rPr>
        <w:t>dc</w:t>
      </w:r>
      <w:proofErr w:type="gramEnd"/>
    </w:p>
    <w:p w:rsidR="008753CF" w:rsidRDefault="00262DD1"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Pr="00890CBD" w:rsidRDefault="00916F0C" w:rsidP="00890CBD">
      <w:pPr>
        <w:suppressAutoHyphens/>
        <w:spacing w:after="0" w:line="360" w:lineRule="auto"/>
        <w:jc w:val="center"/>
        <w:rPr>
          <w:rFonts w:ascii="Arial" w:eastAsia="Times New Roman" w:hAnsi="Arial" w:cs="Arial"/>
          <w:b/>
          <w:bCs/>
          <w:sz w:val="24"/>
          <w:szCs w:val="24"/>
          <w:lang w:val="es-ES" w:eastAsia="zh-CN"/>
        </w:rPr>
      </w:pPr>
      <w:r>
        <w:rPr>
          <w:rFonts w:ascii="Arial" w:eastAsia="Times New Roman" w:hAnsi="Arial" w:cs="Arial"/>
          <w:b/>
          <w:bCs/>
          <w:sz w:val="24"/>
          <w:szCs w:val="24"/>
          <w:lang w:val="es-ES" w:eastAsia="zh-CN"/>
        </w:rPr>
        <w:t>DICTAMEN</w:t>
      </w:r>
    </w:p>
    <w:p w:rsidR="00916F0C" w:rsidRPr="00890CBD" w:rsidRDefault="00916F0C" w:rsidP="00890CBD">
      <w:pPr>
        <w:suppressAutoHyphens/>
        <w:spacing w:after="0" w:line="360" w:lineRule="auto"/>
        <w:jc w:val="center"/>
        <w:rPr>
          <w:rFonts w:ascii="Arial" w:eastAsia="Times New Roman" w:hAnsi="Arial" w:cs="Arial"/>
          <w:b/>
          <w:bCs/>
          <w:sz w:val="24"/>
          <w:szCs w:val="24"/>
          <w:lang w:val="es-ES" w:eastAsia="zh-CN"/>
        </w:rPr>
      </w:pPr>
    </w:p>
    <w:p w:rsidR="00916F0C" w:rsidRPr="00890CBD" w:rsidRDefault="00916F0C" w:rsidP="00890CBD">
      <w:pPr>
        <w:autoSpaceDE w:val="0"/>
        <w:autoSpaceDN w:val="0"/>
        <w:adjustRightInd w:val="0"/>
        <w:spacing w:after="0" w:line="360" w:lineRule="auto"/>
        <w:rPr>
          <w:rFonts w:ascii="Arial" w:eastAsia="Times New Roman" w:hAnsi="Arial" w:cs="Arial"/>
          <w:b/>
          <w:bCs/>
          <w:sz w:val="24"/>
          <w:szCs w:val="24"/>
          <w:lang w:val="es-ES" w:eastAsia="zh-CN"/>
        </w:rPr>
      </w:pPr>
      <w:r w:rsidRPr="00890CBD">
        <w:rPr>
          <w:rFonts w:ascii="Arial" w:eastAsia="Times New Roman" w:hAnsi="Arial" w:cs="Arial"/>
          <w:b/>
          <w:bCs/>
          <w:sz w:val="24"/>
          <w:szCs w:val="24"/>
          <w:lang w:eastAsia="es-UY"/>
        </w:rPr>
        <w:t>Opinión sin salvedades</w:t>
      </w:r>
    </w:p>
    <w:p w:rsidR="00916F0C" w:rsidRPr="00890CBD" w:rsidRDefault="00916F0C" w:rsidP="00890CBD">
      <w:pPr>
        <w:suppressAutoHyphens/>
        <w:spacing w:after="0" w:line="360" w:lineRule="auto"/>
        <w:jc w:val="both"/>
        <w:rPr>
          <w:rFonts w:ascii="Arial" w:eastAsia="Times New Roman" w:hAnsi="Arial" w:cs="Arial"/>
          <w:spacing w:val="-3"/>
          <w:sz w:val="24"/>
          <w:szCs w:val="24"/>
          <w:lang w:val="es-ES_tradnl" w:eastAsia="zh-CN"/>
        </w:rPr>
      </w:pPr>
      <w:r w:rsidRPr="00890CBD">
        <w:rPr>
          <w:rFonts w:ascii="Arial" w:eastAsia="Times New Roman" w:hAnsi="Arial" w:cs="Arial"/>
          <w:sz w:val="24"/>
          <w:szCs w:val="24"/>
          <w:lang w:val="es-ES" w:eastAsia="zh-CN"/>
        </w:rPr>
        <w:t>El Tribunal de Cuentas ha auditado los estados financieros del Banco de Previsión Social (BPS). Dichos estados comprenden el Estado de Situación Financiera al 31/12/2017</w:t>
      </w:r>
      <w:r w:rsidRPr="00890CBD">
        <w:rPr>
          <w:rFonts w:ascii="Arial" w:eastAsia="Times New Roman" w:hAnsi="Arial" w:cs="Arial"/>
          <w:spacing w:val="-3"/>
          <w:sz w:val="24"/>
          <w:szCs w:val="24"/>
          <w:lang w:val="es-ES_tradnl" w:eastAsia="zh-CN"/>
        </w:rPr>
        <w:t xml:space="preserve">, los correspondientes Estado de Resultados y Estado de Resultado Integral, de Flujo de Efectivo y de Cambios en el Patrimonio </w:t>
      </w:r>
      <w:r w:rsidRPr="00890CBD">
        <w:rPr>
          <w:rFonts w:ascii="Arial" w:eastAsia="Times New Roman" w:hAnsi="Arial" w:cs="Arial"/>
          <w:sz w:val="24"/>
          <w:szCs w:val="24"/>
          <w:lang w:val="es-ES" w:eastAsia="zh-CN"/>
        </w:rPr>
        <w:t>presentados en form</w:t>
      </w:r>
      <w:r>
        <w:rPr>
          <w:rFonts w:ascii="Arial" w:eastAsia="Times New Roman" w:hAnsi="Arial" w:cs="Arial"/>
          <w:sz w:val="24"/>
          <w:szCs w:val="24"/>
          <w:lang w:val="es-ES" w:eastAsia="zh-CN"/>
        </w:rPr>
        <w:t>a comparativa con el E</w:t>
      </w:r>
      <w:r w:rsidRPr="00890CBD">
        <w:rPr>
          <w:rFonts w:ascii="Arial" w:eastAsia="Times New Roman" w:hAnsi="Arial" w:cs="Arial"/>
          <w:sz w:val="24"/>
          <w:szCs w:val="24"/>
          <w:lang w:val="es-ES" w:eastAsia="zh-CN"/>
        </w:rPr>
        <w:t xml:space="preserve">jercicio anterior, los Anexos y las Notas de políticas contables </w:t>
      </w:r>
      <w:r w:rsidRPr="00890CBD">
        <w:rPr>
          <w:rFonts w:ascii="Arial" w:eastAsia="Times New Roman" w:hAnsi="Arial" w:cs="Arial"/>
          <w:spacing w:val="-3"/>
          <w:sz w:val="24"/>
          <w:szCs w:val="24"/>
          <w:lang w:val="es-ES_tradnl" w:eastAsia="zh-CN"/>
        </w:rPr>
        <w:t>significativas y otras Notas explicativas a los estados financieros.</w:t>
      </w:r>
    </w:p>
    <w:p w:rsidR="00916F0C" w:rsidRPr="00890CBD" w:rsidRDefault="00916F0C" w:rsidP="00890CBD">
      <w:pPr>
        <w:spacing w:after="0" w:line="360" w:lineRule="auto"/>
        <w:jc w:val="both"/>
        <w:rPr>
          <w:rFonts w:ascii="Arial" w:eastAsia="Times New Roman" w:hAnsi="Arial" w:cs="Arial"/>
          <w:sz w:val="24"/>
          <w:szCs w:val="24"/>
          <w:lang w:val="es-ES" w:eastAsia="zh-CN"/>
        </w:rPr>
      </w:pPr>
      <w:r w:rsidRPr="00890CBD">
        <w:rPr>
          <w:rFonts w:ascii="Arial" w:eastAsia="Times New Roman" w:hAnsi="Arial" w:cs="Arial"/>
          <w:sz w:val="24"/>
          <w:szCs w:val="24"/>
          <w:lang w:val="es-ES" w:eastAsia="zh-CN"/>
        </w:rPr>
        <w:t xml:space="preserve">En opinión del Tribunal de Cuentas, </w:t>
      </w:r>
      <w:r w:rsidRPr="00890CBD">
        <w:rPr>
          <w:rFonts w:ascii="Arial" w:eastAsia="Times New Roman" w:hAnsi="Arial" w:cs="Arial"/>
          <w:sz w:val="24"/>
          <w:szCs w:val="24"/>
          <w:lang w:val="es-ES" w:eastAsia="es-ES"/>
        </w:rPr>
        <w:t>los estados financieros referidos precedentemente presentan razonablemente, en todos sus aspectos importantes, la situación financiera del BPS</w:t>
      </w:r>
      <w:r w:rsidRPr="00890CBD">
        <w:rPr>
          <w:rFonts w:ascii="Arial" w:eastAsia="Times New Roman" w:hAnsi="Arial" w:cs="Arial"/>
          <w:i/>
          <w:sz w:val="24"/>
          <w:szCs w:val="24"/>
          <w:lang w:val="es-ES" w:eastAsia="es-ES"/>
        </w:rPr>
        <w:t xml:space="preserve"> </w:t>
      </w:r>
      <w:r w:rsidRPr="00890CBD">
        <w:rPr>
          <w:rFonts w:ascii="Arial" w:eastAsia="Times New Roman" w:hAnsi="Arial" w:cs="Arial"/>
          <w:sz w:val="24"/>
          <w:szCs w:val="24"/>
          <w:lang w:val="es-ES" w:eastAsia="es-ES"/>
        </w:rPr>
        <w:t>al 31/12/2017, los resultados de sus operaciones y los flujos d</w:t>
      </w:r>
      <w:r>
        <w:rPr>
          <w:rFonts w:ascii="Arial" w:eastAsia="Times New Roman" w:hAnsi="Arial" w:cs="Arial"/>
          <w:sz w:val="24"/>
          <w:szCs w:val="24"/>
          <w:lang w:val="es-ES" w:eastAsia="es-ES"/>
        </w:rPr>
        <w:t>e efectivo correspondientes al E</w:t>
      </w:r>
      <w:r w:rsidRPr="00890CBD">
        <w:rPr>
          <w:rFonts w:ascii="Arial" w:eastAsia="Times New Roman" w:hAnsi="Arial" w:cs="Arial"/>
          <w:sz w:val="24"/>
          <w:szCs w:val="24"/>
          <w:lang w:val="es-ES" w:eastAsia="es-ES"/>
        </w:rPr>
        <w:t>jercicio anual terminado en esa fecha, de acuerdo con las normas contables adecuadas y con lo</w:t>
      </w:r>
      <w:r w:rsidRPr="00890CBD">
        <w:rPr>
          <w:rFonts w:ascii="Arial" w:eastAsia="Times New Roman" w:hAnsi="Arial" w:cs="Arial"/>
          <w:sz w:val="24"/>
          <w:szCs w:val="24"/>
          <w:lang w:val="es-ES" w:eastAsia="zh-CN"/>
        </w:rPr>
        <w:t xml:space="preserve"> establecido en las Ordenanzas N</w:t>
      </w:r>
      <w:r>
        <w:rPr>
          <w:rFonts w:ascii="Arial" w:eastAsia="Times New Roman" w:hAnsi="Arial" w:cs="Arial"/>
          <w:sz w:val="24"/>
          <w:szCs w:val="24"/>
          <w:lang w:val="es-ES" w:eastAsia="zh-CN"/>
        </w:rPr>
        <w:t>os.</w:t>
      </w:r>
      <w:r w:rsidRPr="00890CBD">
        <w:rPr>
          <w:rFonts w:ascii="Arial" w:eastAsia="Times New Roman" w:hAnsi="Arial" w:cs="Arial"/>
          <w:sz w:val="24"/>
          <w:szCs w:val="24"/>
          <w:lang w:val="es-ES" w:eastAsia="zh-CN"/>
        </w:rPr>
        <w:t xml:space="preserve"> 82 y 89 del Tribunal de Cuentas.</w:t>
      </w:r>
    </w:p>
    <w:p w:rsidR="00916F0C" w:rsidRDefault="00916F0C" w:rsidP="00890CBD">
      <w:pPr>
        <w:autoSpaceDE w:val="0"/>
        <w:autoSpaceDN w:val="0"/>
        <w:adjustRightInd w:val="0"/>
        <w:spacing w:after="0" w:line="360" w:lineRule="auto"/>
        <w:rPr>
          <w:rFonts w:ascii="Arial" w:eastAsia="Times New Roman" w:hAnsi="Arial" w:cs="Arial"/>
          <w:b/>
          <w:bCs/>
          <w:sz w:val="24"/>
          <w:szCs w:val="24"/>
          <w:lang w:eastAsia="es-UY"/>
        </w:rPr>
      </w:pPr>
    </w:p>
    <w:p w:rsidR="00916F0C" w:rsidRPr="00890CBD" w:rsidRDefault="00916F0C" w:rsidP="00890CBD">
      <w:pPr>
        <w:autoSpaceDE w:val="0"/>
        <w:autoSpaceDN w:val="0"/>
        <w:adjustRightInd w:val="0"/>
        <w:spacing w:after="0" w:line="360" w:lineRule="auto"/>
        <w:rPr>
          <w:rFonts w:ascii="Arial" w:eastAsia="Times New Roman" w:hAnsi="Arial" w:cs="Arial"/>
          <w:b/>
          <w:bCs/>
          <w:sz w:val="24"/>
          <w:szCs w:val="24"/>
          <w:lang w:eastAsia="es-UY"/>
        </w:rPr>
      </w:pPr>
      <w:r w:rsidRPr="00890CBD">
        <w:rPr>
          <w:rFonts w:ascii="Arial" w:eastAsia="Times New Roman" w:hAnsi="Arial" w:cs="Arial"/>
          <w:b/>
          <w:bCs/>
          <w:sz w:val="24"/>
          <w:szCs w:val="24"/>
          <w:lang w:eastAsia="es-UY"/>
        </w:rPr>
        <w:t>Opinión respecto al cumplimiento de la normativa legal aplicable</w:t>
      </w:r>
    </w:p>
    <w:p w:rsidR="00916F0C" w:rsidRPr="00890CBD" w:rsidRDefault="00916F0C" w:rsidP="00890CBD">
      <w:pPr>
        <w:autoSpaceDE w:val="0"/>
        <w:autoSpaceDN w:val="0"/>
        <w:adjustRightInd w:val="0"/>
        <w:spacing w:after="0" w:line="360" w:lineRule="auto"/>
        <w:rPr>
          <w:rFonts w:ascii="Arial" w:eastAsia="Times New Roman" w:hAnsi="Arial" w:cs="Arial"/>
          <w:sz w:val="24"/>
          <w:szCs w:val="24"/>
          <w:lang w:val="es-ES" w:eastAsia="es-ES"/>
        </w:rPr>
      </w:pPr>
      <w:r w:rsidRPr="00890CBD">
        <w:rPr>
          <w:rFonts w:ascii="Arial" w:eastAsia="Times New Roman" w:hAnsi="Arial" w:cs="Arial"/>
          <w:sz w:val="24"/>
          <w:szCs w:val="24"/>
          <w:lang w:val="es-ES" w:eastAsia="es-ES"/>
        </w:rPr>
        <w:t>En el curso de la auditoría se ha constatado el siguiente incumplimiento:</w:t>
      </w:r>
    </w:p>
    <w:p w:rsidR="00916F0C" w:rsidRPr="00890CBD" w:rsidRDefault="00916F0C" w:rsidP="00916F0C">
      <w:pPr>
        <w:numPr>
          <w:ilvl w:val="0"/>
          <w:numId w:val="2"/>
        </w:numPr>
        <w:suppressAutoHyphens/>
        <w:spacing w:after="0" w:line="360" w:lineRule="auto"/>
        <w:ind w:left="0" w:firstLine="0"/>
        <w:jc w:val="both"/>
        <w:rPr>
          <w:rFonts w:ascii="Arial" w:eastAsia="Times New Roman" w:hAnsi="Arial" w:cs="Arial"/>
          <w:sz w:val="24"/>
          <w:szCs w:val="24"/>
          <w:lang w:val="es-ES" w:eastAsia="zh-CN"/>
        </w:rPr>
      </w:pPr>
      <w:r w:rsidRPr="00890CBD">
        <w:rPr>
          <w:rFonts w:ascii="Arial" w:eastAsia="Times New Roman" w:hAnsi="Arial" w:cs="Arial"/>
          <w:sz w:val="24"/>
          <w:szCs w:val="24"/>
          <w:lang w:val="es-ES" w:eastAsia="es-UY"/>
        </w:rPr>
        <w:t>Numeral 1.10 de la Ordenanza N°</w:t>
      </w:r>
      <w:r>
        <w:rPr>
          <w:rFonts w:ascii="Arial" w:eastAsia="Times New Roman" w:hAnsi="Arial" w:cs="Arial"/>
          <w:sz w:val="24"/>
          <w:szCs w:val="24"/>
          <w:lang w:val="es-ES" w:eastAsia="es-UY"/>
        </w:rPr>
        <w:t xml:space="preserve"> </w:t>
      </w:r>
      <w:r w:rsidRPr="00890CBD">
        <w:rPr>
          <w:rFonts w:ascii="Arial" w:eastAsia="Times New Roman" w:hAnsi="Arial" w:cs="Arial"/>
          <w:sz w:val="24"/>
          <w:szCs w:val="24"/>
          <w:lang w:val="es-ES" w:eastAsia="es-UY"/>
        </w:rPr>
        <w:t>89 y la Resolución del Tribunal de Cuentas N° 36/17.</w:t>
      </w:r>
    </w:p>
    <w:p w:rsidR="00916F0C" w:rsidRDefault="00916F0C" w:rsidP="00890CBD">
      <w:pPr>
        <w:autoSpaceDE w:val="0"/>
        <w:autoSpaceDN w:val="0"/>
        <w:adjustRightInd w:val="0"/>
        <w:spacing w:after="0" w:line="360" w:lineRule="auto"/>
        <w:rPr>
          <w:rFonts w:ascii="Arial" w:eastAsia="Times New Roman" w:hAnsi="Arial" w:cs="Arial"/>
          <w:b/>
          <w:bCs/>
          <w:sz w:val="24"/>
          <w:szCs w:val="24"/>
          <w:lang w:eastAsia="es-UY"/>
        </w:rPr>
      </w:pPr>
    </w:p>
    <w:p w:rsidR="00916F0C" w:rsidRPr="00890CBD" w:rsidRDefault="00916F0C" w:rsidP="00890CBD">
      <w:pPr>
        <w:autoSpaceDE w:val="0"/>
        <w:autoSpaceDN w:val="0"/>
        <w:adjustRightInd w:val="0"/>
        <w:spacing w:after="0" w:line="360" w:lineRule="auto"/>
        <w:rPr>
          <w:rFonts w:ascii="Arial" w:eastAsia="Times New Roman" w:hAnsi="Arial" w:cs="Arial"/>
          <w:spacing w:val="-3"/>
          <w:sz w:val="24"/>
          <w:szCs w:val="24"/>
          <w:lang w:val="es-ES" w:eastAsia="zh-CN"/>
        </w:rPr>
      </w:pPr>
      <w:r w:rsidRPr="00890CBD">
        <w:rPr>
          <w:rFonts w:ascii="Arial" w:eastAsia="Times New Roman" w:hAnsi="Arial" w:cs="Arial"/>
          <w:b/>
          <w:bCs/>
          <w:sz w:val="24"/>
          <w:szCs w:val="24"/>
          <w:lang w:eastAsia="es-UY"/>
        </w:rPr>
        <w:t>Bases para la Opinión sin salvedades</w:t>
      </w:r>
    </w:p>
    <w:p w:rsidR="00916F0C" w:rsidRPr="00890CBD" w:rsidRDefault="00916F0C" w:rsidP="00890CBD">
      <w:pPr>
        <w:suppressAutoHyphens/>
        <w:spacing w:after="0" w:line="360" w:lineRule="auto"/>
        <w:jc w:val="both"/>
        <w:rPr>
          <w:rFonts w:ascii="Arial" w:eastAsia="Times New Roman" w:hAnsi="Arial" w:cs="Arial"/>
          <w:bCs/>
          <w:sz w:val="24"/>
          <w:szCs w:val="20"/>
          <w:lang w:val="es-ES" w:eastAsia="zh-CN"/>
        </w:rPr>
      </w:pPr>
      <w:r w:rsidRPr="00890CBD">
        <w:rPr>
          <w:rFonts w:ascii="Arial" w:eastAsia="Times New Roman" w:hAnsi="Arial" w:cs="Arial"/>
          <w:bCs/>
          <w:sz w:val="24"/>
          <w:szCs w:val="20"/>
          <w:lang w:val="es-ES" w:eastAsia="zh-CN"/>
        </w:rPr>
        <w:t>Esta auditoría fue practicada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Responsabilidad del Tribunal de Cuentas por la auditoría de los estados financieros. Este Tribunal es independiente del BPS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916F0C" w:rsidRPr="00890CBD" w:rsidRDefault="00916F0C" w:rsidP="00890CBD">
      <w:pPr>
        <w:suppressAutoHyphens/>
        <w:spacing w:after="0" w:line="360" w:lineRule="auto"/>
        <w:jc w:val="both"/>
        <w:rPr>
          <w:rFonts w:ascii="Arial" w:eastAsia="Times New Roman" w:hAnsi="Arial" w:cs="Arial"/>
          <w:bCs/>
          <w:sz w:val="24"/>
          <w:szCs w:val="20"/>
          <w:lang w:val="es-ES" w:eastAsia="zh-CN"/>
        </w:rPr>
      </w:pPr>
    </w:p>
    <w:p w:rsidR="00916F0C" w:rsidRPr="00890CBD" w:rsidRDefault="00916F0C" w:rsidP="00890CBD">
      <w:pPr>
        <w:suppressAutoHyphens/>
        <w:spacing w:after="0" w:line="360" w:lineRule="auto"/>
        <w:jc w:val="both"/>
        <w:rPr>
          <w:rFonts w:ascii="Arial" w:eastAsia="Times New Roman" w:hAnsi="Arial" w:cs="Arial"/>
          <w:bCs/>
          <w:sz w:val="24"/>
          <w:szCs w:val="20"/>
          <w:lang w:val="es-ES" w:eastAsia="zh-CN"/>
        </w:rPr>
      </w:pPr>
      <w:r w:rsidRPr="00890CBD">
        <w:rPr>
          <w:rFonts w:ascii="Arial" w:eastAsia="Times New Roman" w:hAnsi="Arial" w:cs="Arial"/>
          <w:b/>
          <w:bCs/>
          <w:sz w:val="24"/>
          <w:szCs w:val="20"/>
          <w:lang w:val="es-ES" w:eastAsia="zh-CN"/>
        </w:rPr>
        <w:t>Responsabilidad de la Dirección por los estados financieros</w:t>
      </w:r>
    </w:p>
    <w:p w:rsidR="00916F0C" w:rsidRPr="00890CBD" w:rsidRDefault="00916F0C" w:rsidP="00890CBD">
      <w:pPr>
        <w:tabs>
          <w:tab w:val="left" w:pos="720"/>
        </w:tabs>
        <w:suppressAutoHyphens/>
        <w:spacing w:after="0" w:line="360" w:lineRule="auto"/>
        <w:jc w:val="both"/>
        <w:rPr>
          <w:rFonts w:ascii="Arial" w:eastAsia="Times New Roman" w:hAnsi="Arial" w:cs="Arial"/>
          <w:bCs/>
          <w:sz w:val="24"/>
          <w:szCs w:val="20"/>
          <w:lang w:val="es-ES" w:eastAsia="zh-CN"/>
        </w:rPr>
      </w:pPr>
      <w:r w:rsidRPr="00890CBD">
        <w:rPr>
          <w:rFonts w:ascii="Arial" w:eastAsia="Times New Roman" w:hAnsi="Arial" w:cs="Arial"/>
          <w:bCs/>
          <w:sz w:val="24"/>
          <w:szCs w:val="20"/>
          <w:lang w:val="es-ES" w:eastAsia="zh-CN"/>
        </w:rPr>
        <w:t xml:space="preserve">La Dirección del BPS es responsable por la preparación y presentación razonable de los estados financieros de acuerdo </w:t>
      </w:r>
      <w:r w:rsidRPr="00890CBD">
        <w:rPr>
          <w:rFonts w:ascii="Arial" w:eastAsia="Times New Roman" w:hAnsi="Arial" w:cs="Arial"/>
          <w:bCs/>
          <w:sz w:val="24"/>
          <w:szCs w:val="20"/>
          <w:lang w:val="es-MX" w:eastAsia="zh-CN"/>
        </w:rPr>
        <w:t xml:space="preserve">con </w:t>
      </w:r>
      <w:r w:rsidRPr="00890CBD">
        <w:rPr>
          <w:rFonts w:ascii="Arial" w:eastAsia="Times New Roman" w:hAnsi="Arial" w:cs="Arial"/>
          <w:bCs/>
          <w:sz w:val="24"/>
          <w:szCs w:val="20"/>
          <w:lang w:val="es-ES" w:eastAsia="zh-CN"/>
        </w:rPr>
        <w:t>la Ordenanza Nº 89 de este Tribunal y del control interno que la administración de la entidad consideró necesario para permitir la preparación de los mismos libres de errores significativos, ya sea debido a fraude o error.</w:t>
      </w:r>
    </w:p>
    <w:p w:rsidR="00916F0C" w:rsidRPr="00890CBD" w:rsidRDefault="00916F0C" w:rsidP="00890CBD">
      <w:pPr>
        <w:suppressAutoHyphens/>
        <w:spacing w:after="0" w:line="360" w:lineRule="auto"/>
        <w:jc w:val="both"/>
        <w:rPr>
          <w:rFonts w:ascii="Arial" w:eastAsia="Times New Roman" w:hAnsi="Arial" w:cs="Arial"/>
          <w:b/>
          <w:bCs/>
          <w:sz w:val="24"/>
          <w:szCs w:val="20"/>
          <w:lang w:val="es-ES" w:eastAsia="zh-CN"/>
        </w:rPr>
      </w:pPr>
    </w:p>
    <w:p w:rsidR="00916F0C" w:rsidRPr="00890CBD" w:rsidRDefault="00916F0C" w:rsidP="00890CBD">
      <w:pPr>
        <w:suppressAutoHyphens/>
        <w:spacing w:after="0" w:line="360" w:lineRule="auto"/>
        <w:jc w:val="both"/>
        <w:rPr>
          <w:rFonts w:ascii="Arial" w:eastAsia="Times New Roman" w:hAnsi="Arial" w:cs="Arial"/>
          <w:b/>
          <w:bCs/>
          <w:sz w:val="24"/>
          <w:szCs w:val="20"/>
          <w:lang w:val="es-ES" w:eastAsia="zh-CN"/>
        </w:rPr>
      </w:pPr>
      <w:r w:rsidRPr="00890CBD">
        <w:rPr>
          <w:rFonts w:ascii="Arial" w:eastAsia="Times New Roman" w:hAnsi="Arial" w:cs="Arial"/>
          <w:b/>
          <w:bCs/>
          <w:sz w:val="24"/>
          <w:szCs w:val="20"/>
          <w:lang w:val="es-ES" w:eastAsia="zh-CN"/>
        </w:rPr>
        <w:t>Responsabilidad del Tribunal de Cuentas por auditoría de los estados financieros</w:t>
      </w:r>
    </w:p>
    <w:p w:rsidR="00916F0C" w:rsidRPr="00890CBD" w:rsidRDefault="00916F0C" w:rsidP="00890CBD">
      <w:pPr>
        <w:suppressAutoHyphens/>
        <w:spacing w:after="0" w:line="360" w:lineRule="auto"/>
        <w:jc w:val="both"/>
        <w:rPr>
          <w:rFonts w:ascii="Arial" w:eastAsia="Times New Roman" w:hAnsi="Arial" w:cs="Arial"/>
          <w:bCs/>
          <w:sz w:val="24"/>
          <w:szCs w:val="20"/>
          <w:lang w:val="es-ES" w:eastAsia="zh-CN"/>
        </w:rPr>
      </w:pPr>
      <w:r w:rsidRPr="00890CBD">
        <w:rPr>
          <w:rFonts w:ascii="Arial" w:eastAsia="Times New Roman" w:hAnsi="Arial" w:cs="Arial"/>
          <w:bCs/>
          <w:sz w:val="24"/>
          <w:szCs w:val="20"/>
          <w:lang w:val="es-ES" w:eastAsia="zh-CN"/>
        </w:rPr>
        <w:t xml:space="preserve">El objetivo de la auditoría consiste en obtener una seguridad razonable acerca de que los estados financieros en su conjunto están libres de errores significativos, ya sea debido a fraude o error y emitir un dictamen de auditoría con la correspondiente opinión. Seguridad </w:t>
      </w:r>
      <w:r w:rsidRPr="00890CBD">
        <w:rPr>
          <w:rFonts w:ascii="Arial" w:eastAsia="Times New Roman" w:hAnsi="Arial" w:cs="Arial"/>
          <w:sz w:val="24"/>
          <w:szCs w:val="24"/>
          <w:lang w:val="es-MX" w:eastAsia="zh-CN"/>
        </w:rPr>
        <w:t xml:space="preserve">razonable </w:t>
      </w:r>
      <w:r w:rsidRPr="00890CBD">
        <w:rPr>
          <w:rFonts w:ascii="Arial" w:eastAsia="Times New Roman" w:hAnsi="Arial" w:cs="Arial"/>
          <w:bCs/>
          <w:sz w:val="24"/>
          <w:szCs w:val="20"/>
          <w:lang w:val="es-ES" w:eastAsia="zh-CN"/>
        </w:rPr>
        <w:t>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 por los usuarios sobre la base de los estados financieros.</w:t>
      </w:r>
    </w:p>
    <w:p w:rsidR="00916F0C" w:rsidRPr="00890CBD" w:rsidRDefault="00916F0C" w:rsidP="00890CBD">
      <w:pPr>
        <w:suppressAutoHyphens/>
        <w:spacing w:after="0" w:line="360" w:lineRule="auto"/>
        <w:jc w:val="both"/>
        <w:rPr>
          <w:rFonts w:ascii="Arial" w:eastAsia="Times New Roman" w:hAnsi="Arial" w:cs="Arial"/>
          <w:bCs/>
          <w:sz w:val="24"/>
          <w:szCs w:val="20"/>
          <w:lang w:val="es-ES" w:eastAsia="zh-CN"/>
        </w:rPr>
      </w:pPr>
      <w:r w:rsidRPr="00890CBD">
        <w:rPr>
          <w:rFonts w:ascii="Arial" w:eastAsia="Times New Roman" w:hAnsi="Arial" w:cs="Arial"/>
          <w:bCs/>
          <w:sz w:val="24"/>
          <w:szCs w:val="20"/>
          <w:lang w:val="es-ES" w:eastAsia="zh-CN"/>
        </w:rPr>
        <w:t xml:space="preserve">Como parte de una auditoría </w:t>
      </w:r>
      <w:r w:rsidRPr="00890CBD">
        <w:rPr>
          <w:rFonts w:ascii="Arial" w:eastAsia="Times New Roman" w:hAnsi="Arial" w:cs="Arial"/>
          <w:sz w:val="24"/>
          <w:szCs w:val="24"/>
          <w:lang w:val="es-MX" w:eastAsia="zh-CN"/>
        </w:rPr>
        <w:t xml:space="preserve">de acuerdo con las ISSAI referidas </w:t>
      </w:r>
      <w:r w:rsidRPr="00890CBD">
        <w:rPr>
          <w:rFonts w:ascii="Arial" w:eastAsia="Times New Roman" w:hAnsi="Arial" w:cs="Arial"/>
          <w:bCs/>
          <w:sz w:val="24"/>
          <w:szCs w:val="20"/>
          <w:lang w:val="es-ES" w:eastAsia="zh-CN"/>
        </w:rPr>
        <w:t>en la sección Bases para la Opinión sin salvedades, el Tribunal de Cuentas aplica su juicio profesional y mantiene el escepticismo profesional durante el proceso de auditoría. Asimismo:</w:t>
      </w:r>
    </w:p>
    <w:p w:rsidR="00916F0C" w:rsidRPr="00890CBD" w:rsidRDefault="00916F0C" w:rsidP="00916F0C">
      <w:pPr>
        <w:numPr>
          <w:ilvl w:val="0"/>
          <w:numId w:val="1"/>
        </w:numPr>
        <w:suppressAutoHyphens/>
        <w:spacing w:after="0" w:line="360" w:lineRule="auto"/>
        <w:ind w:left="567"/>
        <w:jc w:val="both"/>
        <w:rPr>
          <w:rFonts w:ascii="Arial" w:eastAsia="Times New Roman" w:hAnsi="Arial" w:cs="Arial"/>
          <w:bCs/>
          <w:sz w:val="24"/>
          <w:szCs w:val="20"/>
          <w:lang w:val="es-ES" w:eastAsia="zh-CN"/>
        </w:rPr>
      </w:pPr>
      <w:r w:rsidRPr="00890CBD">
        <w:rPr>
          <w:rFonts w:ascii="Arial" w:eastAsia="Times New Roman" w:hAnsi="Arial" w:cs="Arial"/>
          <w:bCs/>
          <w:sz w:val="24"/>
          <w:szCs w:val="20"/>
          <w:lang w:val="es-ES" w:eastAsia="zh-CN"/>
        </w:rPr>
        <w:t>Identifica y evalúa el riesgo de que existan errores significativos en los estados financieros, ya sea debido a fraude o error, diseña y realiza procedimientos de auditoría para responder a dichos riegos y obtiene evidencia de auditoría suficiente y apropiada para fundamentar la base de opinión. El riesgo de no detectar un error significativo resultante de un fraude es mayor que el resultante de un error, dado que el fraude puede implicar colusión, falsificación, omisiones intencionales, manifestaciones intencionalmente incorrectas o apa</w:t>
      </w:r>
      <w:r w:rsidR="00EE6883">
        <w:rPr>
          <w:rFonts w:ascii="Arial" w:eastAsia="Times New Roman" w:hAnsi="Arial" w:cs="Arial"/>
          <w:bCs/>
          <w:sz w:val="24"/>
          <w:szCs w:val="20"/>
          <w:lang w:val="es-ES" w:eastAsia="zh-CN"/>
        </w:rPr>
        <w:t>rtamientos de control interno.</w:t>
      </w:r>
    </w:p>
    <w:p w:rsidR="00916F0C" w:rsidRPr="00890CBD" w:rsidRDefault="00916F0C" w:rsidP="00916F0C">
      <w:pPr>
        <w:numPr>
          <w:ilvl w:val="0"/>
          <w:numId w:val="1"/>
        </w:numPr>
        <w:suppressAutoHyphens/>
        <w:spacing w:after="0" w:line="360" w:lineRule="auto"/>
        <w:ind w:left="567"/>
        <w:jc w:val="both"/>
        <w:rPr>
          <w:rFonts w:ascii="Arial" w:eastAsia="Times New Roman" w:hAnsi="Arial" w:cs="Arial"/>
          <w:bCs/>
          <w:sz w:val="24"/>
          <w:szCs w:val="20"/>
          <w:lang w:val="es-ES" w:eastAsia="zh-CN"/>
        </w:rPr>
      </w:pPr>
      <w:r w:rsidRPr="00890CBD">
        <w:rPr>
          <w:rFonts w:ascii="Arial" w:eastAsia="Times New Roman" w:hAnsi="Arial" w:cs="Arial"/>
          <w:bCs/>
          <w:sz w:val="24"/>
          <w:szCs w:val="20"/>
          <w:lang w:val="es-ES" w:eastAsia="zh-CN"/>
        </w:rPr>
        <w:t>Obtiene un entendimiento de control interno relevante para la auditoría con el propósito de diseñar procedimientos de auditoría que sean apropiados en las circunstancias, pero no con el propósito de expresar opinión sobre la eficacia del control interno de la entidad.</w:t>
      </w:r>
    </w:p>
    <w:p w:rsidR="00916F0C" w:rsidRPr="00890CBD" w:rsidRDefault="00916F0C" w:rsidP="00916F0C">
      <w:pPr>
        <w:numPr>
          <w:ilvl w:val="0"/>
          <w:numId w:val="1"/>
        </w:numPr>
        <w:suppressAutoHyphens/>
        <w:spacing w:after="0" w:line="360" w:lineRule="auto"/>
        <w:ind w:left="567"/>
        <w:jc w:val="both"/>
        <w:rPr>
          <w:rFonts w:ascii="Arial" w:eastAsia="Times New Roman" w:hAnsi="Arial" w:cs="Arial"/>
          <w:bCs/>
          <w:sz w:val="24"/>
          <w:szCs w:val="20"/>
          <w:lang w:val="es-ES" w:eastAsia="zh-CN"/>
        </w:rPr>
      </w:pPr>
      <w:r w:rsidRPr="00890CBD">
        <w:rPr>
          <w:rFonts w:ascii="Arial" w:eastAsia="Times New Roman" w:hAnsi="Arial" w:cs="Arial"/>
          <w:bCs/>
          <w:sz w:val="24"/>
          <w:szCs w:val="20"/>
          <w:lang w:val="es-ES" w:eastAsia="zh-CN"/>
        </w:rPr>
        <w:t>Evalúa lo adecuado de las políticas contables adoptadas, la razonabilidad de las estimaciones contables y las revelaciones relacionadas realizadas por la Dirección.</w:t>
      </w:r>
    </w:p>
    <w:p w:rsidR="00916F0C" w:rsidRPr="00890CBD" w:rsidRDefault="00916F0C" w:rsidP="00916F0C">
      <w:pPr>
        <w:numPr>
          <w:ilvl w:val="0"/>
          <w:numId w:val="1"/>
        </w:numPr>
        <w:suppressAutoHyphens/>
        <w:spacing w:after="0" w:line="360" w:lineRule="auto"/>
        <w:ind w:left="567"/>
        <w:jc w:val="both"/>
        <w:rPr>
          <w:rFonts w:ascii="Arial" w:eastAsia="Times New Roman" w:hAnsi="Arial" w:cs="Arial"/>
          <w:bCs/>
          <w:sz w:val="24"/>
          <w:szCs w:val="20"/>
          <w:lang w:val="es-ES" w:eastAsia="zh-CN"/>
        </w:rPr>
      </w:pPr>
      <w:r w:rsidRPr="00890CBD">
        <w:rPr>
          <w:rFonts w:ascii="Arial" w:eastAsia="Times New Roman" w:hAnsi="Arial" w:cs="Arial"/>
          <w:bCs/>
          <w:sz w:val="24"/>
          <w:szCs w:val="20"/>
          <w:lang w:val="es-ES" w:eastAsia="zh-CN"/>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916F0C" w:rsidRPr="00890CBD" w:rsidRDefault="00916F0C" w:rsidP="00890CBD">
      <w:pPr>
        <w:suppressAutoHyphens/>
        <w:spacing w:after="0" w:line="360" w:lineRule="auto"/>
        <w:ind w:left="567"/>
        <w:jc w:val="both"/>
        <w:rPr>
          <w:rFonts w:ascii="Arial" w:eastAsia="Times New Roman" w:hAnsi="Arial" w:cs="Arial"/>
          <w:bCs/>
          <w:sz w:val="24"/>
          <w:szCs w:val="20"/>
          <w:lang w:val="es-ES" w:eastAsia="zh-CN"/>
        </w:rPr>
      </w:pPr>
    </w:p>
    <w:p w:rsidR="00916F0C" w:rsidRPr="00890CBD" w:rsidRDefault="00916F0C" w:rsidP="00890CBD">
      <w:pPr>
        <w:suppressAutoHyphens/>
        <w:spacing w:after="0" w:line="360" w:lineRule="auto"/>
        <w:jc w:val="both"/>
        <w:rPr>
          <w:rFonts w:ascii="Arial" w:eastAsia="Times New Roman" w:hAnsi="Arial" w:cs="Arial"/>
          <w:bCs/>
          <w:sz w:val="24"/>
          <w:szCs w:val="20"/>
          <w:lang w:val="es-ES" w:eastAsia="zh-CN"/>
        </w:rPr>
      </w:pPr>
      <w:r w:rsidRPr="00890CBD">
        <w:rPr>
          <w:rFonts w:ascii="Arial" w:eastAsia="Times New Roman" w:hAnsi="Arial" w:cs="Arial"/>
          <w:bCs/>
          <w:sz w:val="24"/>
          <w:szCs w:val="20"/>
          <w:lang w:val="es-ES" w:eastAsia="zh-CN"/>
        </w:rPr>
        <w:t>El Tribunal de Cuentas se comunicó con el Directorio en relación, entre otros asuntos, al alcance y la oportunidad de los procedimientos de auditoría, los hallazgos significativos de auditoría incluidos, en caso de corresponder, y las deficiencias significativas en el control interno que se identificaron en el transcurso de la auditoría.</w:t>
      </w:r>
    </w:p>
    <w:p w:rsidR="00916F0C" w:rsidRPr="00890CBD" w:rsidRDefault="00916F0C" w:rsidP="00890CBD">
      <w:pPr>
        <w:suppressAutoHyphens/>
        <w:spacing w:after="0" w:line="360" w:lineRule="auto"/>
        <w:jc w:val="both"/>
        <w:rPr>
          <w:rFonts w:ascii="Arial" w:eastAsia="Times New Roman" w:hAnsi="Arial" w:cs="Arial"/>
          <w:bCs/>
          <w:sz w:val="24"/>
          <w:szCs w:val="20"/>
          <w:highlight w:val="yellow"/>
          <w:lang w:val="es-ES" w:eastAsia="zh-CN"/>
        </w:rPr>
      </w:pPr>
    </w:p>
    <w:p w:rsidR="00916F0C" w:rsidRPr="00890CBD" w:rsidRDefault="00916F0C" w:rsidP="00890CBD">
      <w:pPr>
        <w:suppressAutoHyphens/>
        <w:spacing w:after="0" w:line="360" w:lineRule="auto"/>
        <w:jc w:val="both"/>
        <w:rPr>
          <w:rFonts w:ascii="Arial" w:eastAsia="Times New Roman" w:hAnsi="Arial" w:cs="Arial"/>
          <w:b/>
          <w:bCs/>
          <w:sz w:val="24"/>
          <w:szCs w:val="20"/>
          <w:lang w:val="es-ES" w:eastAsia="zh-CN"/>
        </w:rPr>
      </w:pPr>
      <w:r w:rsidRPr="00890CBD">
        <w:rPr>
          <w:rFonts w:ascii="Arial" w:eastAsia="Times New Roman" w:hAnsi="Arial" w:cs="Arial"/>
          <w:b/>
          <w:bCs/>
          <w:sz w:val="24"/>
          <w:szCs w:val="20"/>
          <w:lang w:val="es-ES" w:eastAsia="zh-CN"/>
        </w:rPr>
        <w:t>Informe de cumplimiento de la normativa vigente</w:t>
      </w:r>
    </w:p>
    <w:p w:rsidR="00916F0C" w:rsidRPr="00890CBD" w:rsidRDefault="00916F0C" w:rsidP="00890CBD">
      <w:pPr>
        <w:suppressAutoHyphens/>
        <w:spacing w:after="0" w:line="360" w:lineRule="auto"/>
        <w:jc w:val="both"/>
        <w:rPr>
          <w:rFonts w:ascii="Arial" w:eastAsia="Times New Roman" w:hAnsi="Arial" w:cs="Arial"/>
          <w:bCs/>
          <w:sz w:val="24"/>
          <w:szCs w:val="20"/>
          <w:lang w:val="es-ES" w:eastAsia="zh-CN"/>
        </w:rPr>
      </w:pPr>
      <w:r w:rsidRPr="00890CBD">
        <w:rPr>
          <w:rFonts w:ascii="Arial" w:eastAsia="Times New Roman" w:hAnsi="Arial" w:cs="Arial"/>
          <w:bCs/>
          <w:sz w:val="24"/>
          <w:szCs w:val="20"/>
          <w:lang w:val="es-ES" w:eastAsia="zh-CN"/>
        </w:rPr>
        <w:t>Respecto al incumplimiento mencionado en el párrafo Opinión respecto al cumplimiento de la normativa legal aplicable, corresponde señalar lo siguiente:</w:t>
      </w:r>
    </w:p>
    <w:p w:rsidR="00916F0C" w:rsidRPr="00890CBD" w:rsidRDefault="00916F0C" w:rsidP="00916F0C">
      <w:pPr>
        <w:pStyle w:val="Prrafodelista"/>
        <w:numPr>
          <w:ilvl w:val="0"/>
          <w:numId w:val="3"/>
        </w:numPr>
        <w:suppressAutoHyphens/>
        <w:spacing w:after="0" w:line="360" w:lineRule="auto"/>
        <w:jc w:val="both"/>
        <w:rPr>
          <w:rFonts w:ascii="Arial" w:eastAsia="Times New Roman" w:hAnsi="Arial" w:cs="Arial"/>
          <w:bCs/>
          <w:sz w:val="24"/>
          <w:szCs w:val="20"/>
          <w:lang w:val="es-ES" w:eastAsia="zh-CN"/>
        </w:rPr>
      </w:pPr>
      <w:r w:rsidRPr="00890CBD">
        <w:rPr>
          <w:rFonts w:ascii="Arial" w:eastAsia="Times New Roman" w:hAnsi="Arial" w:cs="Arial"/>
          <w:sz w:val="24"/>
          <w:szCs w:val="24"/>
          <w:lang w:val="es-ES" w:eastAsia="es-UY"/>
        </w:rPr>
        <w:t>Numeral 1.10 de la Ordenanza N° 89 y la Resolución del Tribunal de Cuentas N° 36/17: el Organismo no presentó los Estados Financieros dentro de los 90 días.</w:t>
      </w:r>
    </w:p>
    <w:p w:rsidR="00916F0C" w:rsidRDefault="00916F0C" w:rsidP="00890CBD">
      <w:pPr>
        <w:tabs>
          <w:tab w:val="left" w:pos="900"/>
        </w:tabs>
        <w:suppressAutoHyphens/>
        <w:spacing w:after="0" w:line="360" w:lineRule="auto"/>
        <w:jc w:val="right"/>
        <w:rPr>
          <w:rFonts w:ascii="Arial" w:eastAsia="Times New Roman" w:hAnsi="Arial" w:cs="Arial"/>
          <w:sz w:val="24"/>
          <w:szCs w:val="24"/>
          <w:lang w:val="es-ES" w:eastAsia="zh-CN"/>
        </w:rPr>
      </w:pPr>
      <w:r w:rsidRPr="00890CBD">
        <w:rPr>
          <w:rFonts w:ascii="Arial" w:eastAsia="Times New Roman" w:hAnsi="Arial" w:cs="Arial"/>
          <w:sz w:val="24"/>
          <w:szCs w:val="24"/>
          <w:lang w:val="es-ES" w:eastAsia="zh-CN"/>
        </w:rPr>
        <w:t>Mo</w:t>
      </w:r>
      <w:r w:rsidR="00EE6883">
        <w:rPr>
          <w:rFonts w:ascii="Arial" w:eastAsia="Times New Roman" w:hAnsi="Arial" w:cs="Arial"/>
          <w:sz w:val="24"/>
          <w:szCs w:val="24"/>
          <w:lang w:val="es-ES" w:eastAsia="zh-CN"/>
        </w:rPr>
        <w:t>ntevideo, 05 de octubre de 2018</w:t>
      </w:r>
    </w:p>
    <w:p w:rsidR="00916F0C" w:rsidRDefault="00916F0C" w:rsidP="00890CBD">
      <w:pPr>
        <w:tabs>
          <w:tab w:val="left" w:pos="900"/>
        </w:tabs>
        <w:suppressAutoHyphens/>
        <w:spacing w:after="0" w:line="360" w:lineRule="auto"/>
        <w:jc w:val="right"/>
        <w:rPr>
          <w:rFonts w:ascii="Arial" w:eastAsia="Times New Roman" w:hAnsi="Arial" w:cs="Arial"/>
          <w:sz w:val="24"/>
          <w:szCs w:val="24"/>
          <w:lang w:val="es-ES" w:eastAsia="zh-CN"/>
        </w:rPr>
      </w:pPr>
    </w:p>
    <w:p w:rsidR="00916F0C" w:rsidRDefault="00916F0C" w:rsidP="00890CBD">
      <w:pPr>
        <w:tabs>
          <w:tab w:val="left" w:pos="900"/>
        </w:tabs>
        <w:suppressAutoHyphens/>
        <w:spacing w:after="0" w:line="360" w:lineRule="auto"/>
        <w:jc w:val="right"/>
        <w:rPr>
          <w:rFonts w:ascii="Arial" w:eastAsia="Times New Roman" w:hAnsi="Arial" w:cs="Arial"/>
          <w:sz w:val="24"/>
          <w:szCs w:val="24"/>
          <w:lang w:val="es-ES" w:eastAsia="zh-CN"/>
        </w:rPr>
      </w:pPr>
    </w:p>
    <w:p w:rsidR="00916F0C" w:rsidRDefault="00916F0C" w:rsidP="00890CBD">
      <w:pPr>
        <w:tabs>
          <w:tab w:val="left" w:pos="900"/>
        </w:tabs>
        <w:suppressAutoHyphens/>
        <w:spacing w:after="0" w:line="360" w:lineRule="auto"/>
        <w:jc w:val="right"/>
        <w:rPr>
          <w:rFonts w:ascii="Arial" w:eastAsia="Times New Roman" w:hAnsi="Arial" w:cs="Arial"/>
          <w:sz w:val="24"/>
          <w:szCs w:val="24"/>
          <w:lang w:val="es-ES" w:eastAsia="zh-CN"/>
        </w:rPr>
      </w:pPr>
    </w:p>
    <w:p w:rsidR="00916F0C" w:rsidRDefault="00916F0C" w:rsidP="00890CBD">
      <w:pPr>
        <w:tabs>
          <w:tab w:val="left" w:pos="900"/>
        </w:tabs>
        <w:suppressAutoHyphens/>
        <w:spacing w:after="0" w:line="360" w:lineRule="auto"/>
        <w:jc w:val="right"/>
        <w:rPr>
          <w:rFonts w:ascii="Arial" w:eastAsia="Times New Roman" w:hAnsi="Arial" w:cs="Arial"/>
          <w:sz w:val="24"/>
          <w:szCs w:val="24"/>
          <w:lang w:val="es-ES" w:eastAsia="zh-CN"/>
        </w:rPr>
      </w:pPr>
    </w:p>
    <w:p w:rsidR="00916F0C" w:rsidRDefault="00916F0C" w:rsidP="00890CBD">
      <w:pPr>
        <w:tabs>
          <w:tab w:val="left" w:pos="900"/>
        </w:tabs>
        <w:suppressAutoHyphens/>
        <w:spacing w:after="0" w:line="360" w:lineRule="auto"/>
        <w:jc w:val="right"/>
        <w:rPr>
          <w:rFonts w:ascii="Arial" w:eastAsia="Times New Roman" w:hAnsi="Arial" w:cs="Arial"/>
          <w:sz w:val="24"/>
          <w:szCs w:val="24"/>
          <w:lang w:val="es-ES" w:eastAsia="zh-CN"/>
        </w:rPr>
      </w:pPr>
    </w:p>
    <w:p w:rsidR="00916F0C" w:rsidRDefault="00916F0C" w:rsidP="00890CBD">
      <w:pPr>
        <w:tabs>
          <w:tab w:val="left" w:pos="900"/>
        </w:tabs>
        <w:suppressAutoHyphens/>
        <w:spacing w:after="0" w:line="360" w:lineRule="auto"/>
        <w:ind w:hanging="426"/>
      </w:pPr>
      <w:proofErr w:type="gramStart"/>
      <w:r>
        <w:rPr>
          <w:rFonts w:ascii="Arial" w:eastAsia="Times New Roman" w:hAnsi="Arial" w:cs="Arial"/>
          <w:sz w:val="24"/>
          <w:szCs w:val="24"/>
          <w:lang w:val="es-ES" w:eastAsia="zh-CN"/>
        </w:rPr>
        <w:t>dc</w:t>
      </w:r>
      <w:proofErr w:type="gramEnd"/>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EE6883" w:rsidRDefault="00EE6883" w:rsidP="000A0F02">
      <w:pPr>
        <w:spacing w:after="0" w:line="360" w:lineRule="auto"/>
      </w:pPr>
    </w:p>
    <w:p w:rsidR="00EE6883" w:rsidRDefault="00EE6883" w:rsidP="000A0F02">
      <w:pPr>
        <w:spacing w:after="0" w:line="360" w:lineRule="auto"/>
      </w:pPr>
    </w:p>
    <w:p w:rsidR="00916F0C" w:rsidRPr="00202303" w:rsidRDefault="00916F0C" w:rsidP="00202303">
      <w:pPr>
        <w:suppressAutoHyphens/>
        <w:spacing w:after="0" w:line="360" w:lineRule="auto"/>
        <w:jc w:val="center"/>
        <w:rPr>
          <w:rFonts w:ascii="Arial" w:eastAsia="Times New Roman" w:hAnsi="Arial" w:cs="Arial"/>
          <w:b/>
          <w:bCs/>
          <w:sz w:val="24"/>
          <w:szCs w:val="24"/>
          <w:lang w:val="es-ES" w:eastAsia="zh-CN"/>
        </w:rPr>
      </w:pPr>
      <w:r w:rsidRPr="00202303">
        <w:rPr>
          <w:rFonts w:ascii="Arial" w:eastAsia="Times New Roman" w:hAnsi="Arial" w:cs="Arial"/>
          <w:b/>
          <w:bCs/>
          <w:sz w:val="24"/>
          <w:szCs w:val="24"/>
          <w:lang w:val="es-ES" w:eastAsia="zh-CN"/>
        </w:rPr>
        <w:t>DICTAMEN</w:t>
      </w:r>
    </w:p>
    <w:p w:rsidR="00916F0C" w:rsidRPr="00202303" w:rsidRDefault="00916F0C" w:rsidP="00202303">
      <w:pPr>
        <w:keepNext/>
        <w:widowControl w:val="0"/>
        <w:spacing w:after="0" w:line="240" w:lineRule="auto"/>
        <w:jc w:val="center"/>
        <w:outlineLvl w:val="7"/>
        <w:rPr>
          <w:rFonts w:ascii="Arial" w:eastAsia="Times New Roman" w:hAnsi="Arial" w:cs="Arial"/>
          <w:b/>
          <w:bCs/>
          <w:sz w:val="24"/>
          <w:szCs w:val="24"/>
          <w:lang w:val="es-ES_tradnl" w:eastAsia="es-ES"/>
        </w:rPr>
      </w:pPr>
    </w:p>
    <w:p w:rsidR="00916F0C" w:rsidRPr="00202303" w:rsidRDefault="00916F0C" w:rsidP="00202303">
      <w:pPr>
        <w:suppressAutoHyphens/>
        <w:autoSpaceDE w:val="0"/>
        <w:autoSpaceDN w:val="0"/>
        <w:adjustRightInd w:val="0"/>
        <w:spacing w:after="0" w:line="360" w:lineRule="auto"/>
        <w:rPr>
          <w:rFonts w:ascii="Arial" w:eastAsia="Times New Roman" w:hAnsi="Arial" w:cs="Arial"/>
          <w:b/>
          <w:bCs/>
          <w:sz w:val="24"/>
          <w:szCs w:val="24"/>
          <w:lang w:val="es-ES" w:eastAsia="zh-CN"/>
        </w:rPr>
      </w:pPr>
      <w:r w:rsidRPr="00202303">
        <w:rPr>
          <w:rFonts w:ascii="Arial" w:eastAsia="Times New Roman" w:hAnsi="Arial" w:cs="Arial"/>
          <w:b/>
          <w:bCs/>
          <w:sz w:val="24"/>
          <w:szCs w:val="24"/>
          <w:lang w:eastAsia="es-UY"/>
        </w:rPr>
        <w:t>Opinión sin salvedades</w:t>
      </w:r>
    </w:p>
    <w:p w:rsidR="00916F0C" w:rsidRPr="00202303" w:rsidRDefault="00916F0C" w:rsidP="00202303">
      <w:pPr>
        <w:suppressAutoHyphens/>
        <w:spacing w:after="0" w:line="360" w:lineRule="auto"/>
        <w:jc w:val="both"/>
        <w:rPr>
          <w:rFonts w:ascii="Arial" w:eastAsia="Times New Roman" w:hAnsi="Arial" w:cs="Arial"/>
          <w:sz w:val="24"/>
          <w:szCs w:val="24"/>
          <w:lang w:val="es-ES" w:eastAsia="zh-CN"/>
        </w:rPr>
      </w:pPr>
      <w:r w:rsidRPr="00202303">
        <w:rPr>
          <w:rFonts w:ascii="Arial" w:eastAsia="Times New Roman" w:hAnsi="Arial" w:cs="Arial"/>
          <w:sz w:val="24"/>
          <w:szCs w:val="24"/>
          <w:lang w:val="es-ES" w:eastAsia="zh-CN"/>
        </w:rPr>
        <w:t>El Tribunal de Cuentas ha auditado el Balance de Ejecución Presupuestal del Banco de Previsión Social (BPS), por el ejercicio finalizado al 31/12/2017</w:t>
      </w:r>
      <w:r w:rsidRPr="00202303">
        <w:rPr>
          <w:rFonts w:ascii="Arial" w:eastAsia="Times New Roman" w:hAnsi="Arial" w:cs="Arial"/>
          <w:spacing w:val="-3"/>
          <w:sz w:val="24"/>
          <w:szCs w:val="24"/>
          <w:lang w:val="es-ES_tradnl" w:eastAsia="zh-CN"/>
        </w:rPr>
        <w:t xml:space="preserve">, </w:t>
      </w:r>
      <w:r w:rsidRPr="00202303">
        <w:rPr>
          <w:rFonts w:ascii="Arial" w:eastAsia="Times New Roman" w:hAnsi="Arial" w:cs="Arial"/>
          <w:sz w:val="24"/>
          <w:szCs w:val="24"/>
          <w:lang w:val="es-ES" w:eastAsia="zh-CN"/>
        </w:rPr>
        <w:t>los Anexos y las notas explicativas a dicho estado.</w:t>
      </w:r>
    </w:p>
    <w:p w:rsidR="00916F0C" w:rsidRPr="00202303" w:rsidRDefault="00916F0C" w:rsidP="00202303">
      <w:pPr>
        <w:suppressAutoHyphens/>
        <w:spacing w:after="0" w:line="360" w:lineRule="auto"/>
        <w:jc w:val="both"/>
        <w:rPr>
          <w:rFonts w:ascii="Arial" w:eastAsia="Times New Roman" w:hAnsi="Arial" w:cs="Arial"/>
          <w:sz w:val="24"/>
          <w:szCs w:val="24"/>
          <w:lang w:val="es-ES" w:eastAsia="zh-CN"/>
        </w:rPr>
      </w:pPr>
      <w:r w:rsidRPr="00202303">
        <w:rPr>
          <w:rFonts w:ascii="Arial" w:eastAsia="Times New Roman" w:hAnsi="Arial" w:cs="Arial"/>
          <w:sz w:val="24"/>
          <w:szCs w:val="24"/>
          <w:lang w:val="es-ES" w:eastAsia="zh-CN"/>
        </w:rPr>
        <w:t>En opinión del Tribunal de Cuentas, el estado referido precedentemente, presenta razonablemente, en todos sus aspectos importantes, la ejecución presupuestal del BPS correspondiente al</w:t>
      </w:r>
      <w:r>
        <w:rPr>
          <w:rFonts w:ascii="Arial" w:eastAsia="Times New Roman" w:hAnsi="Arial" w:cs="Arial"/>
          <w:sz w:val="24"/>
          <w:szCs w:val="24"/>
          <w:lang w:val="es-ES" w:eastAsia="zh-CN"/>
        </w:rPr>
        <w:t xml:space="preserve"> E</w:t>
      </w:r>
      <w:r w:rsidRPr="00202303">
        <w:rPr>
          <w:rFonts w:ascii="Arial" w:eastAsia="Times New Roman" w:hAnsi="Arial" w:cs="Arial"/>
          <w:sz w:val="24"/>
          <w:szCs w:val="24"/>
          <w:lang w:val="es-ES" w:eastAsia="zh-CN"/>
        </w:rPr>
        <w:t xml:space="preserve">jercicio finalizado al 31/12/2017, de acuerdo con las normas establecidas en el TOCAF, en </w:t>
      </w:r>
      <w:r>
        <w:rPr>
          <w:rFonts w:ascii="Arial" w:eastAsia="Times New Roman" w:hAnsi="Arial" w:cs="Arial"/>
          <w:sz w:val="24"/>
          <w:szCs w:val="24"/>
          <w:lang w:val="es-ES" w:eastAsia="zh-CN"/>
        </w:rPr>
        <w:t>el Presupuesto vigente para el E</w:t>
      </w:r>
      <w:r w:rsidRPr="00202303">
        <w:rPr>
          <w:rFonts w:ascii="Arial" w:eastAsia="Times New Roman" w:hAnsi="Arial" w:cs="Arial"/>
          <w:sz w:val="24"/>
          <w:szCs w:val="24"/>
          <w:lang w:val="es-ES" w:eastAsia="zh-CN"/>
        </w:rPr>
        <w:t>jercicio 2017 y en la Ordenanza N°</w:t>
      </w:r>
      <w:r>
        <w:rPr>
          <w:rFonts w:ascii="Arial" w:eastAsia="Times New Roman" w:hAnsi="Arial" w:cs="Arial"/>
          <w:sz w:val="24"/>
          <w:szCs w:val="24"/>
          <w:lang w:val="es-ES" w:eastAsia="zh-CN"/>
        </w:rPr>
        <w:t xml:space="preserve"> </w:t>
      </w:r>
      <w:r w:rsidRPr="00202303">
        <w:rPr>
          <w:rFonts w:ascii="Arial" w:eastAsia="Times New Roman" w:hAnsi="Arial" w:cs="Arial"/>
          <w:sz w:val="24"/>
          <w:szCs w:val="24"/>
          <w:lang w:val="es-ES" w:eastAsia="zh-CN"/>
        </w:rPr>
        <w:t>75 de fecha 16/09/1998 del Tribunal de Cuentas.</w:t>
      </w:r>
    </w:p>
    <w:p w:rsidR="00916F0C" w:rsidRPr="00EE6883" w:rsidRDefault="00916F0C" w:rsidP="00202303">
      <w:pPr>
        <w:suppressAutoHyphens/>
        <w:spacing w:after="0" w:line="240" w:lineRule="auto"/>
        <w:rPr>
          <w:rFonts w:ascii="Arial" w:eastAsia="Times New Roman" w:hAnsi="Arial" w:cs="Arial"/>
          <w:sz w:val="24"/>
          <w:szCs w:val="24"/>
          <w:lang w:val="es-ES" w:eastAsia="zh-CN"/>
        </w:rPr>
      </w:pPr>
    </w:p>
    <w:p w:rsidR="00916F0C" w:rsidRPr="00202303" w:rsidRDefault="00916F0C" w:rsidP="00202303">
      <w:pPr>
        <w:suppressAutoHyphens/>
        <w:autoSpaceDE w:val="0"/>
        <w:autoSpaceDN w:val="0"/>
        <w:adjustRightInd w:val="0"/>
        <w:spacing w:after="0" w:line="360" w:lineRule="auto"/>
        <w:rPr>
          <w:rFonts w:ascii="Arial" w:eastAsia="Times New Roman" w:hAnsi="Arial" w:cs="Arial"/>
          <w:b/>
          <w:bCs/>
          <w:sz w:val="24"/>
          <w:szCs w:val="24"/>
          <w:lang w:eastAsia="es-UY"/>
        </w:rPr>
      </w:pPr>
      <w:r w:rsidRPr="00202303">
        <w:rPr>
          <w:rFonts w:ascii="Arial" w:eastAsia="Times New Roman" w:hAnsi="Arial" w:cs="Arial"/>
          <w:b/>
          <w:bCs/>
          <w:sz w:val="24"/>
          <w:szCs w:val="24"/>
          <w:lang w:eastAsia="es-UY"/>
        </w:rPr>
        <w:t>Opinión respecto al cumplimiento de la normativa legal aplicable</w:t>
      </w:r>
    </w:p>
    <w:p w:rsidR="00916F0C" w:rsidRPr="00202303" w:rsidRDefault="00916F0C" w:rsidP="00202303">
      <w:pPr>
        <w:suppressAutoHyphens/>
        <w:autoSpaceDE w:val="0"/>
        <w:autoSpaceDN w:val="0"/>
        <w:adjustRightInd w:val="0"/>
        <w:spacing w:after="0" w:line="360" w:lineRule="auto"/>
        <w:rPr>
          <w:rFonts w:ascii="Arial" w:eastAsia="Times New Roman" w:hAnsi="Arial" w:cs="Arial"/>
          <w:sz w:val="24"/>
          <w:szCs w:val="24"/>
          <w:lang w:val="es-ES" w:eastAsia="zh-CN"/>
        </w:rPr>
      </w:pPr>
      <w:r w:rsidRPr="00202303">
        <w:rPr>
          <w:rFonts w:ascii="Arial" w:eastAsia="Times New Roman" w:hAnsi="Arial" w:cs="Arial"/>
          <w:sz w:val="24"/>
          <w:szCs w:val="24"/>
          <w:lang w:val="es-ES" w:eastAsia="zh-CN"/>
        </w:rPr>
        <w:t>En el curso de la auditoría se han constatado los siguientes incumplimientos:</w:t>
      </w:r>
    </w:p>
    <w:p w:rsidR="00916F0C" w:rsidRPr="00202303" w:rsidRDefault="00916F0C" w:rsidP="00916F0C">
      <w:pPr>
        <w:numPr>
          <w:ilvl w:val="0"/>
          <w:numId w:val="4"/>
        </w:numPr>
        <w:suppressAutoHyphens/>
        <w:autoSpaceDE w:val="0"/>
        <w:autoSpaceDN w:val="0"/>
        <w:adjustRightInd w:val="0"/>
        <w:spacing w:after="0" w:line="360" w:lineRule="auto"/>
        <w:ind w:left="851" w:hanging="425"/>
        <w:rPr>
          <w:rFonts w:ascii="Arial" w:eastAsia="Times New Roman" w:hAnsi="Arial" w:cs="Arial"/>
          <w:sz w:val="24"/>
          <w:szCs w:val="24"/>
          <w:lang w:val="es-ES" w:eastAsia="zh-CN"/>
        </w:rPr>
      </w:pPr>
      <w:r w:rsidRPr="00202303">
        <w:rPr>
          <w:rFonts w:ascii="Arial" w:eastAsia="Times New Roman" w:hAnsi="Arial" w:cs="Arial"/>
          <w:sz w:val="24"/>
          <w:szCs w:val="24"/>
          <w:lang w:val="es-ES" w:eastAsia="es-UY"/>
        </w:rPr>
        <w:t>Artículo N° 15 del TOCAF</w:t>
      </w:r>
    </w:p>
    <w:p w:rsidR="00916F0C" w:rsidRPr="00202303" w:rsidRDefault="00916F0C" w:rsidP="00916F0C">
      <w:pPr>
        <w:numPr>
          <w:ilvl w:val="0"/>
          <w:numId w:val="4"/>
        </w:numPr>
        <w:suppressAutoHyphens/>
        <w:spacing w:after="0" w:line="360" w:lineRule="auto"/>
        <w:ind w:left="851"/>
        <w:jc w:val="both"/>
        <w:rPr>
          <w:rFonts w:ascii="Arial" w:eastAsia="Times New Roman" w:hAnsi="Arial" w:cs="Arial"/>
          <w:sz w:val="24"/>
          <w:szCs w:val="24"/>
          <w:lang w:val="es-ES" w:eastAsia="es-UY"/>
        </w:rPr>
      </w:pPr>
      <w:r w:rsidRPr="00202303">
        <w:rPr>
          <w:rFonts w:ascii="Arial" w:eastAsia="Times New Roman" w:hAnsi="Arial" w:cs="Arial"/>
          <w:sz w:val="24"/>
          <w:szCs w:val="24"/>
          <w:lang w:val="es-ES" w:eastAsia="es-UY"/>
        </w:rPr>
        <w:t>Artículo N° 57 del Presupuesto 2017 Decreto</w:t>
      </w:r>
      <w:r w:rsidR="00EE6883">
        <w:rPr>
          <w:rFonts w:ascii="Arial" w:eastAsia="Times New Roman" w:hAnsi="Arial" w:cs="Arial"/>
          <w:sz w:val="24"/>
          <w:szCs w:val="24"/>
          <w:lang w:val="es-ES" w:eastAsia="es-UY"/>
        </w:rPr>
        <w:t xml:space="preserve"> N° 23/017 del       01/02/2017</w:t>
      </w:r>
    </w:p>
    <w:p w:rsidR="00916F0C" w:rsidRPr="00202303" w:rsidRDefault="00916F0C" w:rsidP="00916F0C">
      <w:pPr>
        <w:numPr>
          <w:ilvl w:val="0"/>
          <w:numId w:val="4"/>
        </w:numPr>
        <w:suppressAutoHyphens/>
        <w:spacing w:after="0" w:line="360" w:lineRule="auto"/>
        <w:ind w:left="851" w:hanging="284"/>
        <w:jc w:val="both"/>
        <w:rPr>
          <w:rFonts w:ascii="Arial" w:eastAsia="Times New Roman" w:hAnsi="Arial" w:cs="Arial"/>
          <w:sz w:val="24"/>
          <w:szCs w:val="24"/>
          <w:lang w:val="es-ES" w:eastAsia="es-UY"/>
        </w:rPr>
      </w:pPr>
      <w:r w:rsidRPr="00202303">
        <w:rPr>
          <w:rFonts w:ascii="Arial" w:eastAsia="Times New Roman" w:hAnsi="Arial" w:cs="Arial"/>
          <w:sz w:val="24"/>
          <w:szCs w:val="24"/>
          <w:lang w:val="es-ES" w:eastAsia="es-UY"/>
        </w:rPr>
        <w:t>Ordenanza N° 85</w:t>
      </w:r>
    </w:p>
    <w:p w:rsidR="00916F0C" w:rsidRPr="00202303" w:rsidRDefault="00916F0C" w:rsidP="00202303">
      <w:pPr>
        <w:suppressAutoHyphens/>
        <w:autoSpaceDE w:val="0"/>
        <w:autoSpaceDN w:val="0"/>
        <w:adjustRightInd w:val="0"/>
        <w:spacing w:after="0" w:line="360" w:lineRule="auto"/>
        <w:rPr>
          <w:rFonts w:ascii="Arial" w:eastAsia="Times New Roman" w:hAnsi="Arial" w:cs="Arial"/>
          <w:sz w:val="24"/>
          <w:szCs w:val="24"/>
          <w:lang w:val="es-ES" w:eastAsia="zh-CN"/>
        </w:rPr>
      </w:pPr>
    </w:p>
    <w:p w:rsidR="00916F0C" w:rsidRPr="00202303" w:rsidRDefault="00916F0C" w:rsidP="00202303">
      <w:pPr>
        <w:suppressAutoHyphens/>
        <w:spacing w:after="0" w:line="360" w:lineRule="auto"/>
        <w:rPr>
          <w:rFonts w:ascii="Arial" w:eastAsia="Calibri" w:hAnsi="Arial" w:cs="Arial"/>
          <w:b/>
          <w:sz w:val="24"/>
          <w:szCs w:val="24"/>
          <w:lang w:val="es-ES"/>
        </w:rPr>
      </w:pPr>
      <w:r w:rsidRPr="00202303">
        <w:rPr>
          <w:rFonts w:ascii="Arial" w:eastAsia="Calibri" w:hAnsi="Arial" w:cs="Arial"/>
          <w:b/>
          <w:sz w:val="24"/>
          <w:szCs w:val="24"/>
          <w:lang w:val="es-ES"/>
        </w:rPr>
        <w:t>Bases para la Opinión sin salvedades</w:t>
      </w:r>
    </w:p>
    <w:p w:rsidR="00916F0C" w:rsidRPr="00202303" w:rsidRDefault="00916F0C" w:rsidP="00202303">
      <w:pPr>
        <w:suppressAutoHyphens/>
        <w:spacing w:after="0" w:line="360" w:lineRule="auto"/>
        <w:jc w:val="both"/>
        <w:rPr>
          <w:rFonts w:ascii="Arial" w:eastAsia="Calibri" w:hAnsi="Arial" w:cs="Arial"/>
          <w:sz w:val="24"/>
          <w:szCs w:val="24"/>
          <w:lang w:val="es-ES"/>
        </w:rPr>
      </w:pPr>
      <w:r w:rsidRPr="00202303">
        <w:rPr>
          <w:rFonts w:ascii="Arial" w:eastAsia="Calibri" w:hAnsi="Arial" w:cs="Arial"/>
          <w:sz w:val="24"/>
          <w:szCs w:val="24"/>
          <w:lang w:val="es-ES"/>
        </w:rPr>
        <w:t>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del Balance de Ejecución Presupuestal. Este Tribunal es independiente del BPS y ha cumplido con las disposiciones de su Código de Ética, elaborado en concordancia con el Código de Ética de la INTOSAI. Se considera que la evidencia de auditoría obtenida es suficiente y adecuada para proporcionar una base razon</w:t>
      </w:r>
      <w:r w:rsidR="00EE6883">
        <w:rPr>
          <w:rFonts w:ascii="Arial" w:eastAsia="Calibri" w:hAnsi="Arial" w:cs="Arial"/>
          <w:sz w:val="24"/>
          <w:szCs w:val="24"/>
          <w:lang w:val="es-ES"/>
        </w:rPr>
        <w:t>able para sustentar la opinión.</w:t>
      </w:r>
    </w:p>
    <w:p w:rsidR="00916F0C" w:rsidRDefault="00916F0C" w:rsidP="00202303">
      <w:pPr>
        <w:suppressAutoHyphens/>
        <w:spacing w:after="0" w:line="360" w:lineRule="auto"/>
        <w:jc w:val="both"/>
        <w:rPr>
          <w:rFonts w:ascii="Arial" w:eastAsia="Calibri" w:hAnsi="Arial" w:cs="Arial"/>
          <w:b/>
          <w:sz w:val="24"/>
          <w:szCs w:val="24"/>
          <w:lang w:val="es-ES"/>
        </w:rPr>
      </w:pPr>
    </w:p>
    <w:p w:rsidR="00916F0C" w:rsidRPr="00202303" w:rsidRDefault="00916F0C" w:rsidP="00202303">
      <w:pPr>
        <w:suppressAutoHyphens/>
        <w:spacing w:after="0" w:line="360" w:lineRule="auto"/>
        <w:jc w:val="both"/>
        <w:rPr>
          <w:rFonts w:ascii="Arial" w:eastAsia="Calibri" w:hAnsi="Arial" w:cs="Arial"/>
          <w:b/>
          <w:sz w:val="24"/>
          <w:szCs w:val="24"/>
          <w:lang w:val="es-ES"/>
        </w:rPr>
      </w:pPr>
      <w:r w:rsidRPr="00202303">
        <w:rPr>
          <w:rFonts w:ascii="Arial" w:eastAsia="Calibri" w:hAnsi="Arial" w:cs="Arial"/>
          <w:b/>
          <w:sz w:val="24"/>
          <w:szCs w:val="24"/>
          <w:lang w:val="es-ES"/>
        </w:rPr>
        <w:t>Responsabilidad del Directorio en relación con el Ba</w:t>
      </w:r>
      <w:r w:rsidR="00EE6883">
        <w:rPr>
          <w:rFonts w:ascii="Arial" w:eastAsia="Calibri" w:hAnsi="Arial" w:cs="Arial"/>
          <w:b/>
          <w:sz w:val="24"/>
          <w:szCs w:val="24"/>
          <w:lang w:val="es-ES"/>
        </w:rPr>
        <w:t>lance de Ejecución Presupuestal</w:t>
      </w:r>
    </w:p>
    <w:p w:rsidR="00916F0C" w:rsidRPr="00202303" w:rsidRDefault="00916F0C" w:rsidP="00202303">
      <w:pPr>
        <w:suppressAutoHyphens/>
        <w:spacing w:after="0" w:line="360" w:lineRule="auto"/>
        <w:jc w:val="both"/>
        <w:rPr>
          <w:rFonts w:ascii="Arial" w:eastAsia="Calibri" w:hAnsi="Arial" w:cs="Arial"/>
          <w:sz w:val="24"/>
          <w:szCs w:val="24"/>
          <w:lang w:val="es-ES"/>
        </w:rPr>
      </w:pPr>
      <w:r w:rsidRPr="00202303">
        <w:rPr>
          <w:rFonts w:ascii="Arial" w:eastAsia="Calibri" w:hAnsi="Arial" w:cs="Arial"/>
          <w:sz w:val="24"/>
          <w:szCs w:val="24"/>
          <w:lang w:val="es-ES"/>
        </w:rPr>
        <w:t xml:space="preserve">El Directorio del BPS es responsable por la preparación y presentación razonable del Balance de Ejecución Presupuestal de acuerdo con las normas establecidas en el TOCAF, en </w:t>
      </w:r>
      <w:r>
        <w:rPr>
          <w:rFonts w:ascii="Arial" w:eastAsia="Calibri" w:hAnsi="Arial" w:cs="Arial"/>
          <w:sz w:val="24"/>
          <w:szCs w:val="24"/>
          <w:lang w:val="es-ES"/>
        </w:rPr>
        <w:t>el Presupuesto vigente para el E</w:t>
      </w:r>
      <w:r w:rsidRPr="00202303">
        <w:rPr>
          <w:rFonts w:ascii="Arial" w:eastAsia="Calibri" w:hAnsi="Arial" w:cs="Arial"/>
          <w:sz w:val="24"/>
          <w:szCs w:val="24"/>
          <w:lang w:val="es-ES"/>
        </w:rPr>
        <w:t>jer</w:t>
      </w:r>
      <w:r>
        <w:rPr>
          <w:rFonts w:ascii="Arial" w:eastAsia="Calibri" w:hAnsi="Arial" w:cs="Arial"/>
          <w:sz w:val="24"/>
          <w:szCs w:val="24"/>
          <w:lang w:val="es-ES"/>
        </w:rPr>
        <w:t>cicio 2017 y en la Ordenanza N°</w:t>
      </w:r>
      <w:r w:rsidRPr="00202303">
        <w:rPr>
          <w:rFonts w:ascii="Arial" w:eastAsia="Calibri" w:hAnsi="Arial" w:cs="Arial"/>
          <w:sz w:val="24"/>
          <w:szCs w:val="24"/>
          <w:lang w:val="es-ES"/>
        </w:rPr>
        <w:t xml:space="preserve"> 75, y del control interno que la administración de la entidad consideró necesario para permitir la preparación de estados libres de errores significativos ya sea debido a fraude o error.</w:t>
      </w:r>
    </w:p>
    <w:p w:rsidR="00916F0C" w:rsidRPr="00202303" w:rsidRDefault="00916F0C" w:rsidP="00202303">
      <w:pPr>
        <w:suppressAutoHyphens/>
        <w:spacing w:after="0" w:line="360" w:lineRule="auto"/>
        <w:jc w:val="both"/>
        <w:rPr>
          <w:rFonts w:ascii="Arial" w:eastAsia="Calibri" w:hAnsi="Arial" w:cs="Arial"/>
          <w:sz w:val="24"/>
          <w:szCs w:val="24"/>
          <w:lang w:val="es-ES"/>
        </w:rPr>
      </w:pPr>
      <w:r w:rsidRPr="00202303">
        <w:rPr>
          <w:rFonts w:ascii="Arial" w:eastAsia="Calibri" w:hAnsi="Arial" w:cs="Arial"/>
          <w:sz w:val="24"/>
          <w:szCs w:val="24"/>
          <w:lang w:val="es-ES"/>
        </w:rPr>
        <w:t>El Directorio es responsable de supervisar el proceso de preparación del Balance de Ejecución Presupuestal del BPS.</w:t>
      </w:r>
    </w:p>
    <w:p w:rsidR="00916F0C" w:rsidRDefault="00916F0C" w:rsidP="00202303">
      <w:pPr>
        <w:suppressAutoHyphens/>
        <w:spacing w:after="0" w:line="360" w:lineRule="auto"/>
        <w:rPr>
          <w:rFonts w:ascii="Arial" w:eastAsia="Calibri" w:hAnsi="Arial" w:cs="Arial"/>
          <w:b/>
          <w:sz w:val="24"/>
          <w:szCs w:val="24"/>
          <w:lang w:val="es-ES"/>
        </w:rPr>
      </w:pPr>
    </w:p>
    <w:p w:rsidR="00916F0C" w:rsidRPr="00202303" w:rsidRDefault="00916F0C" w:rsidP="00202303">
      <w:pPr>
        <w:suppressAutoHyphens/>
        <w:spacing w:after="0" w:line="360" w:lineRule="auto"/>
        <w:jc w:val="both"/>
        <w:rPr>
          <w:rFonts w:ascii="Arial" w:eastAsia="Calibri" w:hAnsi="Arial" w:cs="Arial"/>
          <w:b/>
          <w:sz w:val="24"/>
          <w:szCs w:val="24"/>
          <w:lang w:val="es-ES"/>
        </w:rPr>
      </w:pPr>
      <w:r w:rsidRPr="00202303">
        <w:rPr>
          <w:rFonts w:ascii="Arial" w:eastAsia="Calibri" w:hAnsi="Arial" w:cs="Arial"/>
          <w:b/>
          <w:sz w:val="24"/>
          <w:szCs w:val="24"/>
          <w:lang w:val="es-ES"/>
        </w:rPr>
        <w:t>Responsabilidad del Tribunal de Cuentas por la auditoría del Ba</w:t>
      </w:r>
      <w:r w:rsidR="00EE6883">
        <w:rPr>
          <w:rFonts w:ascii="Arial" w:eastAsia="Calibri" w:hAnsi="Arial" w:cs="Arial"/>
          <w:b/>
          <w:sz w:val="24"/>
          <w:szCs w:val="24"/>
          <w:lang w:val="es-ES"/>
        </w:rPr>
        <w:t>lance de Ejecución Presupuestal</w:t>
      </w:r>
    </w:p>
    <w:p w:rsidR="00916F0C" w:rsidRPr="00202303" w:rsidRDefault="00916F0C" w:rsidP="00202303">
      <w:pPr>
        <w:suppressAutoHyphens/>
        <w:spacing w:after="0" w:line="360" w:lineRule="auto"/>
        <w:jc w:val="both"/>
        <w:rPr>
          <w:rFonts w:ascii="Arial" w:eastAsia="Calibri" w:hAnsi="Arial" w:cs="Arial"/>
          <w:sz w:val="24"/>
          <w:szCs w:val="24"/>
          <w:lang w:val="es-ES"/>
        </w:rPr>
      </w:pPr>
      <w:r w:rsidRPr="00202303">
        <w:rPr>
          <w:rFonts w:ascii="Arial" w:eastAsia="Calibri" w:hAnsi="Arial" w:cs="Arial"/>
          <w:sz w:val="24"/>
          <w:szCs w:val="24"/>
          <w:lang w:val="es-ES"/>
        </w:rPr>
        <w:t>El objetivo de la auditoría consiste en obtener una seguridad razonable acerca de que el Balance de Ejecución Presupuestal en su conjunto está libre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del estado. Como parte de una auditoría de acuerdo con las ISSAI referidas en la sección Bases para la Opinión, el Tribunal de Cuentas aplica su juicio profesional y mantiene el escepticismo profesional durante el proceso de auditoría. Asimismo:</w:t>
      </w:r>
    </w:p>
    <w:p w:rsidR="00916F0C" w:rsidRPr="00202303" w:rsidRDefault="00916F0C" w:rsidP="00916F0C">
      <w:pPr>
        <w:numPr>
          <w:ilvl w:val="0"/>
          <w:numId w:val="5"/>
        </w:numPr>
        <w:tabs>
          <w:tab w:val="left" w:pos="284"/>
        </w:tabs>
        <w:suppressAutoHyphens/>
        <w:spacing w:after="0" w:line="360" w:lineRule="auto"/>
        <w:contextualSpacing/>
        <w:jc w:val="both"/>
        <w:rPr>
          <w:rFonts w:ascii="Arial" w:eastAsia="Calibri" w:hAnsi="Arial" w:cs="Arial"/>
          <w:sz w:val="24"/>
          <w:szCs w:val="24"/>
          <w:lang w:val="es-ES"/>
        </w:rPr>
      </w:pPr>
      <w:r w:rsidRPr="00202303">
        <w:rPr>
          <w:rFonts w:ascii="Arial" w:eastAsia="Calibri" w:hAnsi="Arial" w:cs="Arial"/>
          <w:sz w:val="24"/>
          <w:szCs w:val="24"/>
          <w:lang w:val="es-ES"/>
        </w:rPr>
        <w:t>Identifica y evalúa el riesgo de que existan errores significativos en el Balance de Ejecución Presupuestal,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EE6883">
        <w:rPr>
          <w:rFonts w:ascii="Arial" w:eastAsia="Calibri" w:hAnsi="Arial" w:cs="Arial"/>
          <w:sz w:val="24"/>
          <w:szCs w:val="24"/>
          <w:lang w:val="es-ES"/>
        </w:rPr>
        <w:t>artamientos de control interno.</w:t>
      </w:r>
    </w:p>
    <w:p w:rsidR="00916F0C" w:rsidRPr="00202303" w:rsidRDefault="00916F0C" w:rsidP="00916F0C">
      <w:pPr>
        <w:numPr>
          <w:ilvl w:val="0"/>
          <w:numId w:val="5"/>
        </w:numPr>
        <w:tabs>
          <w:tab w:val="left" w:pos="284"/>
        </w:tabs>
        <w:suppressAutoHyphens/>
        <w:spacing w:after="0" w:line="360" w:lineRule="auto"/>
        <w:contextualSpacing/>
        <w:jc w:val="both"/>
        <w:rPr>
          <w:rFonts w:ascii="Arial" w:eastAsia="Calibri" w:hAnsi="Arial" w:cs="Arial"/>
          <w:sz w:val="24"/>
          <w:szCs w:val="24"/>
          <w:lang w:val="es-ES"/>
        </w:rPr>
      </w:pPr>
      <w:r w:rsidRPr="00202303">
        <w:rPr>
          <w:rFonts w:ascii="Arial" w:eastAsia="Calibri" w:hAnsi="Arial" w:cs="Arial"/>
          <w:sz w:val="24"/>
          <w:szCs w:val="24"/>
          <w:lang w:val="es-ES"/>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916F0C" w:rsidRPr="00202303" w:rsidRDefault="00916F0C" w:rsidP="00916F0C">
      <w:pPr>
        <w:numPr>
          <w:ilvl w:val="0"/>
          <w:numId w:val="5"/>
        </w:numPr>
        <w:tabs>
          <w:tab w:val="left" w:pos="284"/>
        </w:tabs>
        <w:suppressAutoHyphens/>
        <w:spacing w:after="0" w:line="360" w:lineRule="auto"/>
        <w:contextualSpacing/>
        <w:jc w:val="both"/>
        <w:rPr>
          <w:rFonts w:ascii="Arial" w:eastAsia="Calibri" w:hAnsi="Arial" w:cs="Arial"/>
          <w:sz w:val="24"/>
          <w:szCs w:val="24"/>
          <w:lang w:val="es-ES"/>
        </w:rPr>
      </w:pPr>
      <w:r w:rsidRPr="00202303">
        <w:rPr>
          <w:rFonts w:ascii="Arial" w:eastAsia="Calibri" w:hAnsi="Arial" w:cs="Arial"/>
          <w:sz w:val="24"/>
          <w:szCs w:val="24"/>
          <w:lang w:val="es-ES"/>
        </w:rPr>
        <w:t>Evalúa la presentación general, la estructura y contenido del Balance de Ejecución Presupuestal, incluyendo las revelaciones y si el estado mencionado representa las transacciones y eventos subyacentes de un modo que se logre una representación fiel de los mismos.</w:t>
      </w:r>
    </w:p>
    <w:p w:rsidR="00916F0C" w:rsidRPr="00202303" w:rsidRDefault="00916F0C" w:rsidP="00202303">
      <w:pPr>
        <w:suppressAutoHyphens/>
        <w:spacing w:after="0" w:line="360" w:lineRule="auto"/>
        <w:jc w:val="both"/>
        <w:rPr>
          <w:rFonts w:ascii="Arial" w:eastAsia="Calibri" w:hAnsi="Arial" w:cs="Arial"/>
          <w:sz w:val="24"/>
          <w:szCs w:val="24"/>
          <w:lang w:val="es-ES"/>
        </w:rPr>
      </w:pPr>
      <w:r w:rsidRPr="00202303">
        <w:rPr>
          <w:rFonts w:ascii="Arial" w:eastAsia="Calibri" w:hAnsi="Arial" w:cs="Arial"/>
          <w:sz w:val="24"/>
          <w:szCs w:val="24"/>
          <w:lang w:val="es-ES"/>
        </w:rPr>
        <w:t xml:space="preserve">El Tribunal de Cuentas se comunicó con el Directorio, en relación, entre otros asuntos, al alcance y la oportunidad de los procedimientos de auditoría, los hallazgos significativos de auditoría incluidos, en caso de corresponder, y las deficiencias significativas en el control interno que se identificaron en </w:t>
      </w:r>
      <w:r w:rsidR="00EE6883">
        <w:rPr>
          <w:rFonts w:ascii="Arial" w:eastAsia="Calibri" w:hAnsi="Arial" w:cs="Arial"/>
          <w:sz w:val="24"/>
          <w:szCs w:val="24"/>
          <w:lang w:val="es-ES"/>
        </w:rPr>
        <w:t>el transcurso de la auditoría.</w:t>
      </w:r>
    </w:p>
    <w:p w:rsidR="00916F0C" w:rsidRDefault="00916F0C" w:rsidP="00202303">
      <w:pPr>
        <w:suppressAutoHyphens/>
        <w:spacing w:after="0" w:line="360" w:lineRule="auto"/>
        <w:rPr>
          <w:rFonts w:ascii="Arial" w:eastAsia="Calibri" w:hAnsi="Arial" w:cs="Arial"/>
          <w:b/>
          <w:sz w:val="24"/>
          <w:szCs w:val="24"/>
          <w:lang w:val="es-ES"/>
        </w:rPr>
      </w:pPr>
    </w:p>
    <w:p w:rsidR="00916F0C" w:rsidRPr="00202303" w:rsidRDefault="00916F0C" w:rsidP="00202303">
      <w:pPr>
        <w:suppressAutoHyphens/>
        <w:spacing w:after="0" w:line="360" w:lineRule="auto"/>
        <w:rPr>
          <w:rFonts w:ascii="Arial" w:eastAsia="Calibri" w:hAnsi="Arial" w:cs="Arial"/>
          <w:b/>
          <w:sz w:val="24"/>
          <w:szCs w:val="24"/>
          <w:lang w:val="es-ES"/>
        </w:rPr>
      </w:pPr>
      <w:r w:rsidRPr="00202303">
        <w:rPr>
          <w:rFonts w:ascii="Arial" w:eastAsia="Calibri" w:hAnsi="Arial" w:cs="Arial"/>
          <w:b/>
          <w:sz w:val="24"/>
          <w:szCs w:val="24"/>
          <w:lang w:val="es-ES"/>
        </w:rPr>
        <w:t>Informe de cumplimiento de la normativa vigente</w:t>
      </w:r>
    </w:p>
    <w:p w:rsidR="00916F0C" w:rsidRPr="00202303" w:rsidRDefault="00916F0C" w:rsidP="00202303">
      <w:pPr>
        <w:suppressAutoHyphens/>
        <w:spacing w:after="0" w:line="360" w:lineRule="auto"/>
        <w:rPr>
          <w:rFonts w:ascii="Arial" w:eastAsia="Calibri" w:hAnsi="Arial" w:cs="Arial"/>
          <w:sz w:val="24"/>
          <w:szCs w:val="24"/>
          <w:lang w:val="es-ES"/>
        </w:rPr>
      </w:pPr>
      <w:r w:rsidRPr="00202303">
        <w:rPr>
          <w:rFonts w:ascii="Arial" w:eastAsia="Calibri" w:hAnsi="Arial" w:cs="Arial"/>
          <w:sz w:val="24"/>
          <w:szCs w:val="24"/>
          <w:lang w:val="es-ES"/>
        </w:rPr>
        <w:t>Respecto a los incumplimientos mencionados en el párrafo Opinión respecto al cumplimiento de la normativa legal aplicable, corresponde señalar lo siguiente:</w:t>
      </w:r>
    </w:p>
    <w:p w:rsidR="00916F0C" w:rsidRPr="00202303" w:rsidRDefault="00916F0C" w:rsidP="00916F0C">
      <w:pPr>
        <w:numPr>
          <w:ilvl w:val="0"/>
          <w:numId w:val="6"/>
        </w:numPr>
        <w:suppressAutoHyphens/>
        <w:spacing w:after="0" w:line="360" w:lineRule="auto"/>
        <w:jc w:val="both"/>
        <w:rPr>
          <w:rFonts w:ascii="Arial" w:eastAsia="Times New Roman" w:hAnsi="Arial" w:cs="Arial"/>
          <w:sz w:val="24"/>
          <w:szCs w:val="24"/>
          <w:lang w:val="es-ES" w:eastAsia="es-UY"/>
        </w:rPr>
      </w:pPr>
      <w:r w:rsidRPr="00202303">
        <w:rPr>
          <w:rFonts w:ascii="Arial" w:eastAsia="Times New Roman" w:hAnsi="Arial" w:cs="Arial"/>
          <w:b/>
          <w:sz w:val="24"/>
          <w:szCs w:val="24"/>
          <w:lang w:val="es-ES" w:eastAsia="es-UY"/>
        </w:rPr>
        <w:t>Artículo N° 15 del TOCAF</w:t>
      </w:r>
      <w:r w:rsidRPr="00202303">
        <w:rPr>
          <w:rFonts w:ascii="Arial" w:eastAsia="Times New Roman" w:hAnsi="Arial" w:cs="Arial"/>
          <w:sz w:val="24"/>
          <w:szCs w:val="24"/>
          <w:lang w:val="es-ES" w:eastAsia="es-UY"/>
        </w:rPr>
        <w:t xml:space="preserve"> (falta de disponibilidad): se comprometieron gastos sin crédito disponible por un total de $ 1:513.419.</w:t>
      </w:r>
    </w:p>
    <w:p w:rsidR="00916F0C" w:rsidRPr="00202303" w:rsidRDefault="00916F0C" w:rsidP="00916F0C">
      <w:pPr>
        <w:numPr>
          <w:ilvl w:val="0"/>
          <w:numId w:val="6"/>
        </w:numPr>
        <w:suppressAutoHyphens/>
        <w:spacing w:after="0" w:line="360" w:lineRule="auto"/>
        <w:jc w:val="both"/>
        <w:rPr>
          <w:rFonts w:ascii="Arial" w:eastAsia="Times New Roman" w:hAnsi="Arial" w:cs="Arial"/>
          <w:sz w:val="24"/>
          <w:szCs w:val="24"/>
          <w:lang w:val="es-ES" w:eastAsia="es-UY"/>
        </w:rPr>
      </w:pPr>
      <w:r w:rsidRPr="00202303">
        <w:rPr>
          <w:rFonts w:ascii="Arial" w:eastAsia="Times New Roman" w:hAnsi="Arial" w:cs="Arial"/>
          <w:b/>
          <w:sz w:val="24"/>
          <w:szCs w:val="24"/>
          <w:lang w:val="es-ES" w:eastAsia="es-UY"/>
        </w:rPr>
        <w:t>Artículo N° 57 del Presupuesto 2017</w:t>
      </w:r>
      <w:r w:rsidRPr="00202303">
        <w:rPr>
          <w:rFonts w:ascii="Arial" w:eastAsia="Times New Roman" w:hAnsi="Arial" w:cs="Arial"/>
          <w:sz w:val="24"/>
          <w:szCs w:val="24"/>
          <w:lang w:val="es-ES" w:eastAsia="es-UY"/>
        </w:rPr>
        <w:t xml:space="preserve"> (Decreto N° 23/017 del  1/02/2017)</w:t>
      </w:r>
    </w:p>
    <w:p w:rsidR="00916F0C" w:rsidRPr="00202303" w:rsidRDefault="00916F0C" w:rsidP="00916F0C">
      <w:pPr>
        <w:numPr>
          <w:ilvl w:val="1"/>
          <w:numId w:val="6"/>
        </w:numPr>
        <w:suppressAutoHyphens/>
        <w:spacing w:after="0" w:line="360" w:lineRule="auto"/>
        <w:jc w:val="both"/>
        <w:rPr>
          <w:rFonts w:ascii="Arial" w:eastAsia="Times New Roman" w:hAnsi="Arial" w:cs="Arial"/>
          <w:sz w:val="24"/>
          <w:szCs w:val="24"/>
          <w:lang w:val="es-ES" w:eastAsia="zh-CN"/>
        </w:rPr>
      </w:pPr>
      <w:r w:rsidRPr="00202303">
        <w:rPr>
          <w:rFonts w:ascii="Arial" w:eastAsia="Times New Roman" w:hAnsi="Arial" w:cs="Arial"/>
          <w:sz w:val="24"/>
          <w:szCs w:val="24"/>
          <w:lang w:val="es-ES" w:eastAsia="zh-CN"/>
        </w:rPr>
        <w:t>Existen adecuaciones q</w:t>
      </w:r>
      <w:r>
        <w:rPr>
          <w:rFonts w:ascii="Arial" w:eastAsia="Times New Roman" w:hAnsi="Arial" w:cs="Arial"/>
          <w:sz w:val="24"/>
          <w:szCs w:val="24"/>
          <w:lang w:val="es-ES" w:eastAsia="zh-CN"/>
        </w:rPr>
        <w:t>ue fueron realizadas fuera del E</w:t>
      </w:r>
      <w:r w:rsidRPr="00202303">
        <w:rPr>
          <w:rFonts w:ascii="Arial" w:eastAsia="Times New Roman" w:hAnsi="Arial" w:cs="Arial"/>
          <w:sz w:val="24"/>
          <w:szCs w:val="24"/>
          <w:lang w:val="es-ES" w:eastAsia="zh-CN"/>
        </w:rPr>
        <w:t>jercicio correspondiente.</w:t>
      </w:r>
    </w:p>
    <w:p w:rsidR="00916F0C" w:rsidRPr="00202303" w:rsidRDefault="00916F0C" w:rsidP="00916F0C">
      <w:pPr>
        <w:numPr>
          <w:ilvl w:val="1"/>
          <w:numId w:val="6"/>
        </w:numPr>
        <w:suppressAutoHyphens/>
        <w:spacing w:after="0" w:line="360" w:lineRule="auto"/>
        <w:jc w:val="both"/>
        <w:rPr>
          <w:rFonts w:ascii="Arial" w:eastAsia="Times New Roman" w:hAnsi="Arial" w:cs="Arial"/>
          <w:sz w:val="24"/>
          <w:szCs w:val="24"/>
          <w:lang w:val="es-ES" w:eastAsia="zh-CN"/>
        </w:rPr>
      </w:pPr>
      <w:r w:rsidRPr="00202303">
        <w:rPr>
          <w:rFonts w:ascii="Arial" w:eastAsia="Times New Roman" w:hAnsi="Arial" w:cs="Arial"/>
          <w:sz w:val="24"/>
          <w:szCs w:val="24"/>
          <w:lang w:val="es-ES" w:eastAsia="zh-CN"/>
        </w:rPr>
        <w:t xml:space="preserve">Se realizaron adecuaciones </w:t>
      </w:r>
      <w:r>
        <w:rPr>
          <w:rFonts w:ascii="Arial" w:eastAsia="Times New Roman" w:hAnsi="Arial" w:cs="Arial"/>
          <w:sz w:val="24"/>
          <w:szCs w:val="24"/>
          <w:lang w:val="es-ES" w:eastAsia="zh-CN"/>
        </w:rPr>
        <w:t>sobre el rubro 578036 – Multas A</w:t>
      </w:r>
      <w:r w:rsidRPr="00202303">
        <w:rPr>
          <w:rFonts w:ascii="Arial" w:eastAsia="Times New Roman" w:hAnsi="Arial" w:cs="Arial"/>
          <w:sz w:val="24"/>
          <w:szCs w:val="24"/>
          <w:lang w:val="es-ES" w:eastAsia="zh-CN"/>
        </w:rPr>
        <w:t>rtículo 10, el cual no figura como partida Presupuestal correspondiente al Presupuesto Operativo, de Operaciones Fi</w:t>
      </w:r>
      <w:r>
        <w:rPr>
          <w:rFonts w:ascii="Arial" w:eastAsia="Times New Roman" w:hAnsi="Arial" w:cs="Arial"/>
          <w:sz w:val="24"/>
          <w:szCs w:val="24"/>
          <w:lang w:val="es-ES" w:eastAsia="zh-CN"/>
        </w:rPr>
        <w:t>nancieras y de Inversiones del E</w:t>
      </w:r>
      <w:r w:rsidRPr="00202303">
        <w:rPr>
          <w:rFonts w:ascii="Arial" w:eastAsia="Times New Roman" w:hAnsi="Arial" w:cs="Arial"/>
          <w:sz w:val="24"/>
          <w:szCs w:val="24"/>
          <w:lang w:val="es-ES" w:eastAsia="zh-CN"/>
        </w:rPr>
        <w:t>jercicio 2017.</w:t>
      </w:r>
    </w:p>
    <w:p w:rsidR="00916F0C" w:rsidRPr="00202303" w:rsidRDefault="00916F0C" w:rsidP="00916F0C">
      <w:pPr>
        <w:numPr>
          <w:ilvl w:val="1"/>
          <w:numId w:val="6"/>
        </w:numPr>
        <w:suppressAutoHyphens/>
        <w:spacing w:after="0" w:line="360" w:lineRule="auto"/>
        <w:jc w:val="both"/>
        <w:rPr>
          <w:rFonts w:ascii="Arial" w:eastAsia="Times New Roman" w:hAnsi="Arial" w:cs="Arial"/>
          <w:sz w:val="24"/>
          <w:szCs w:val="24"/>
          <w:lang w:val="es-ES" w:eastAsia="zh-CN"/>
        </w:rPr>
      </w:pPr>
      <w:r w:rsidRPr="00202303">
        <w:rPr>
          <w:rFonts w:ascii="Arial" w:eastAsia="Times New Roman" w:hAnsi="Arial" w:cs="Arial"/>
          <w:sz w:val="24"/>
          <w:szCs w:val="24"/>
          <w:lang w:val="es-ES" w:eastAsia="zh-CN"/>
        </w:rPr>
        <w:t>No se incluyen en la Nota 1.2 todos los rubros relativos a las adecuaciones.</w:t>
      </w:r>
    </w:p>
    <w:p w:rsidR="00916F0C" w:rsidRPr="00202303" w:rsidRDefault="00916F0C" w:rsidP="00916F0C">
      <w:pPr>
        <w:numPr>
          <w:ilvl w:val="0"/>
          <w:numId w:val="6"/>
        </w:numPr>
        <w:suppressAutoHyphens/>
        <w:autoSpaceDE w:val="0"/>
        <w:autoSpaceDN w:val="0"/>
        <w:adjustRightInd w:val="0"/>
        <w:spacing w:after="0" w:line="360" w:lineRule="auto"/>
        <w:jc w:val="both"/>
        <w:rPr>
          <w:rFonts w:ascii="Arial" w:eastAsia="Times New Roman" w:hAnsi="Arial" w:cs="Arial"/>
          <w:sz w:val="24"/>
          <w:szCs w:val="24"/>
          <w:lang w:val="es-ES" w:eastAsia="zh-CN"/>
        </w:rPr>
      </w:pPr>
      <w:r w:rsidRPr="00202303">
        <w:rPr>
          <w:rFonts w:ascii="Arial" w:eastAsia="Times New Roman" w:hAnsi="Arial" w:cs="Arial"/>
          <w:sz w:val="24"/>
          <w:szCs w:val="24"/>
          <w:lang w:val="es-ES" w:eastAsia="zh-CN"/>
        </w:rPr>
        <w:t xml:space="preserve">  </w:t>
      </w:r>
      <w:r w:rsidRPr="00202303">
        <w:rPr>
          <w:rFonts w:ascii="Arial" w:eastAsia="Times New Roman" w:hAnsi="Arial" w:cs="Arial"/>
          <w:b/>
          <w:sz w:val="24"/>
          <w:szCs w:val="24"/>
          <w:lang w:val="es-ES" w:eastAsia="zh-CN"/>
        </w:rPr>
        <w:t>Ordenanza N° 85:</w:t>
      </w:r>
      <w:r w:rsidRPr="00202303">
        <w:rPr>
          <w:rFonts w:ascii="Arial" w:eastAsia="Times New Roman" w:hAnsi="Arial" w:cs="Arial"/>
          <w:sz w:val="24"/>
          <w:szCs w:val="24"/>
          <w:lang w:val="es-ES" w:eastAsia="zh-CN"/>
        </w:rPr>
        <w:t xml:space="preserve"> no se informó al Tribunal el listado de sentencias a cuyo respecto el Organismo hubiera tomado la decisión de iniciar o no la correspondiente acción de repetición.</w:t>
      </w:r>
    </w:p>
    <w:p w:rsidR="00916F0C" w:rsidRPr="00202303" w:rsidRDefault="00916F0C" w:rsidP="00202303">
      <w:pPr>
        <w:spacing w:line="360" w:lineRule="auto"/>
        <w:ind w:left="360"/>
        <w:jc w:val="right"/>
        <w:rPr>
          <w:rFonts w:ascii="Arial" w:eastAsia="Times New Roman" w:hAnsi="Arial" w:cs="Arial"/>
          <w:bCs/>
          <w:sz w:val="24"/>
          <w:szCs w:val="24"/>
          <w:lang w:eastAsia="es-ES"/>
        </w:rPr>
      </w:pPr>
      <w:r w:rsidRPr="00202303">
        <w:rPr>
          <w:rFonts w:ascii="Arial" w:eastAsia="Times New Roman" w:hAnsi="Arial" w:cs="Arial"/>
          <w:bCs/>
          <w:sz w:val="24"/>
          <w:szCs w:val="24"/>
          <w:lang w:eastAsia="es-ES"/>
        </w:rPr>
        <w:t>Montevideo, 05 de octubre de 20</w:t>
      </w:r>
      <w:r w:rsidR="00EE6883">
        <w:rPr>
          <w:rFonts w:ascii="Arial" w:eastAsia="Times New Roman" w:hAnsi="Arial" w:cs="Arial"/>
          <w:bCs/>
          <w:sz w:val="24"/>
          <w:szCs w:val="24"/>
          <w:lang w:eastAsia="es-ES"/>
        </w:rPr>
        <w:t>17</w:t>
      </w:r>
    </w:p>
    <w:p w:rsidR="00916F0C" w:rsidRDefault="00916F0C" w:rsidP="00202303">
      <w:pPr>
        <w:widowControl w:val="0"/>
        <w:tabs>
          <w:tab w:val="left" w:pos="-720"/>
        </w:tabs>
        <w:spacing w:after="0" w:line="360" w:lineRule="auto"/>
        <w:jc w:val="both"/>
        <w:rPr>
          <w:rFonts w:ascii="Arial" w:eastAsia="Times New Roman" w:hAnsi="Arial" w:cs="Arial"/>
          <w:spacing w:val="-3"/>
          <w:sz w:val="24"/>
          <w:szCs w:val="24"/>
          <w:lang w:val="es-ES_tradnl" w:eastAsia="es-ES"/>
        </w:rPr>
      </w:pPr>
    </w:p>
    <w:p w:rsidR="00916F0C" w:rsidRDefault="00916F0C" w:rsidP="00202303">
      <w:pPr>
        <w:widowControl w:val="0"/>
        <w:tabs>
          <w:tab w:val="left" w:pos="-720"/>
        </w:tabs>
        <w:spacing w:after="0" w:line="360" w:lineRule="auto"/>
        <w:jc w:val="both"/>
        <w:rPr>
          <w:rFonts w:ascii="Arial" w:eastAsia="Times New Roman" w:hAnsi="Arial" w:cs="Arial"/>
          <w:spacing w:val="-3"/>
          <w:sz w:val="24"/>
          <w:szCs w:val="24"/>
          <w:lang w:val="es-ES_tradnl" w:eastAsia="es-ES"/>
        </w:rPr>
      </w:pPr>
    </w:p>
    <w:p w:rsidR="00916F0C" w:rsidRDefault="00916F0C" w:rsidP="00202303">
      <w:pPr>
        <w:widowControl w:val="0"/>
        <w:tabs>
          <w:tab w:val="left" w:pos="-720"/>
        </w:tabs>
        <w:spacing w:after="0" w:line="360" w:lineRule="auto"/>
        <w:jc w:val="both"/>
        <w:rPr>
          <w:rFonts w:ascii="Arial" w:eastAsia="Times New Roman" w:hAnsi="Arial" w:cs="Arial"/>
          <w:spacing w:val="-3"/>
          <w:sz w:val="24"/>
          <w:szCs w:val="24"/>
          <w:lang w:val="es-ES_tradnl" w:eastAsia="es-ES"/>
        </w:rPr>
      </w:pPr>
    </w:p>
    <w:p w:rsidR="00916F0C" w:rsidRDefault="00916F0C" w:rsidP="00202303">
      <w:pPr>
        <w:widowControl w:val="0"/>
        <w:tabs>
          <w:tab w:val="left" w:pos="-720"/>
        </w:tabs>
        <w:spacing w:after="0" w:line="360" w:lineRule="auto"/>
        <w:jc w:val="both"/>
        <w:rPr>
          <w:rFonts w:ascii="Arial" w:eastAsia="Times New Roman" w:hAnsi="Arial" w:cs="Arial"/>
          <w:spacing w:val="-3"/>
          <w:sz w:val="24"/>
          <w:szCs w:val="24"/>
          <w:lang w:val="es-ES_tradnl" w:eastAsia="es-ES"/>
        </w:rPr>
      </w:pPr>
    </w:p>
    <w:p w:rsidR="00916F0C" w:rsidRDefault="00916F0C" w:rsidP="00202303">
      <w:pPr>
        <w:widowControl w:val="0"/>
        <w:tabs>
          <w:tab w:val="left" w:pos="-720"/>
        </w:tabs>
        <w:spacing w:after="0" w:line="360" w:lineRule="auto"/>
        <w:ind w:hanging="284"/>
        <w:jc w:val="both"/>
      </w:pPr>
      <w:proofErr w:type="gramStart"/>
      <w:r>
        <w:rPr>
          <w:rFonts w:ascii="Arial" w:eastAsia="Times New Roman" w:hAnsi="Arial" w:cs="Arial"/>
          <w:spacing w:val="-3"/>
          <w:sz w:val="24"/>
          <w:szCs w:val="24"/>
          <w:lang w:val="es-ES_tradnl" w:eastAsia="es-ES"/>
        </w:rPr>
        <w:t>dc</w:t>
      </w:r>
      <w:proofErr w:type="gramEnd"/>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Pr="00AB2559" w:rsidRDefault="00916F0C" w:rsidP="00AB2559">
      <w:pPr>
        <w:widowControl w:val="0"/>
        <w:tabs>
          <w:tab w:val="left" w:pos="-720"/>
        </w:tabs>
        <w:spacing w:after="240" w:line="360" w:lineRule="auto"/>
        <w:jc w:val="center"/>
        <w:rPr>
          <w:rFonts w:ascii="Arial" w:eastAsia="Times New Roman" w:hAnsi="Arial" w:cs="Arial"/>
          <w:b/>
          <w:spacing w:val="-3"/>
          <w:sz w:val="24"/>
          <w:szCs w:val="24"/>
          <w:lang w:val="es-ES_tradnl" w:eastAsia="es-ES"/>
        </w:rPr>
      </w:pPr>
      <w:r w:rsidRPr="00AB2559">
        <w:rPr>
          <w:rFonts w:ascii="Arial" w:eastAsia="Times New Roman" w:hAnsi="Arial" w:cs="Arial"/>
          <w:b/>
          <w:spacing w:val="-3"/>
          <w:sz w:val="24"/>
          <w:szCs w:val="24"/>
          <w:lang w:val="es-ES_tradnl" w:eastAsia="es-ES"/>
        </w:rPr>
        <w:t>INFORME A LA ADMINISTRACION</w:t>
      </w:r>
    </w:p>
    <w:p w:rsidR="00916F0C" w:rsidRPr="00AB2559" w:rsidRDefault="00916F0C" w:rsidP="00AB2559">
      <w:pPr>
        <w:widowControl w:val="0"/>
        <w:tabs>
          <w:tab w:val="left" w:pos="-720"/>
        </w:tabs>
        <w:spacing w:after="0" w:line="360" w:lineRule="auto"/>
        <w:jc w:val="both"/>
        <w:rPr>
          <w:rFonts w:ascii="Arial" w:eastAsia="Times New Roman" w:hAnsi="Arial" w:cs="Arial"/>
          <w:spacing w:val="-3"/>
          <w:sz w:val="24"/>
          <w:szCs w:val="24"/>
          <w:lang w:val="es-ES_tradnl" w:eastAsia="es-ES"/>
        </w:rPr>
      </w:pPr>
      <w:r w:rsidRPr="00AB2559">
        <w:rPr>
          <w:rFonts w:ascii="Arial" w:eastAsia="Times New Roman" w:hAnsi="Arial" w:cs="Arial"/>
          <w:spacing w:val="-3"/>
          <w:sz w:val="24"/>
          <w:szCs w:val="24"/>
          <w:lang w:val="es-ES_tradnl" w:eastAsia="es-ES"/>
        </w:rPr>
        <w:t>El Tribunal de Cuentas ha examinado los estados financieros individuales así como el Balance de Ejecución Presupuestal del Banco de Previsión Social (BPS) por el ejercicio finalizado al 31/12/2017 y ha emitido sus Dictámenes.</w:t>
      </w:r>
    </w:p>
    <w:p w:rsidR="00916F0C" w:rsidRPr="00AB2559" w:rsidRDefault="00916F0C" w:rsidP="00AB2559">
      <w:pPr>
        <w:widowControl w:val="0"/>
        <w:tabs>
          <w:tab w:val="left" w:pos="0"/>
        </w:tabs>
        <w:suppressAutoHyphens/>
        <w:spacing w:after="0" w:line="360" w:lineRule="auto"/>
        <w:jc w:val="both"/>
        <w:rPr>
          <w:rFonts w:ascii="Arial" w:eastAsia="Times New Roman" w:hAnsi="Arial" w:cs="Arial"/>
          <w:sz w:val="24"/>
          <w:szCs w:val="24"/>
          <w:lang w:val="es-ES" w:eastAsia="zh-CN"/>
        </w:rPr>
      </w:pPr>
      <w:r w:rsidRPr="00AB2559">
        <w:rPr>
          <w:rFonts w:ascii="Arial" w:eastAsia="Times New Roman" w:hAnsi="Arial" w:cs="Arial"/>
          <w:sz w:val="24"/>
          <w:szCs w:val="24"/>
          <w:lang w:val="es-ES" w:eastAsia="zh-CN"/>
        </w:rPr>
        <w:t xml:space="preserve">Este informe contiene consideraciones relativas a la evaluación de control interno. Se incluyen además comentarios que se ha entendido pertinente exponer relacionados con la presentación de los estados. También se agregan las principales recomendaciones que </w:t>
      </w:r>
      <w:proofErr w:type="gramStart"/>
      <w:r w:rsidRPr="00AB2559">
        <w:rPr>
          <w:rFonts w:ascii="Arial" w:eastAsia="Times New Roman" w:hAnsi="Arial" w:cs="Arial"/>
          <w:sz w:val="24"/>
          <w:szCs w:val="24"/>
          <w:lang w:val="es-ES" w:eastAsia="zh-CN"/>
        </w:rPr>
        <w:t>deberá</w:t>
      </w:r>
      <w:proofErr w:type="gramEnd"/>
      <w:r w:rsidRPr="00AB2559">
        <w:rPr>
          <w:rFonts w:ascii="Arial" w:eastAsia="Times New Roman" w:hAnsi="Arial" w:cs="Arial"/>
          <w:sz w:val="24"/>
          <w:szCs w:val="24"/>
          <w:lang w:val="es-ES" w:eastAsia="zh-CN"/>
        </w:rPr>
        <w:t xml:space="preserve"> atender el Organismo y una evaluación del cumplimiento de las recomendaciones presentadas en</w:t>
      </w:r>
      <w:r>
        <w:rPr>
          <w:rFonts w:ascii="Arial" w:eastAsia="Times New Roman" w:hAnsi="Arial" w:cs="Arial"/>
          <w:sz w:val="24"/>
          <w:szCs w:val="24"/>
          <w:lang w:val="es-ES" w:eastAsia="zh-CN"/>
        </w:rPr>
        <w:t xml:space="preserve"> los informes de auditoría del E</w:t>
      </w:r>
      <w:r w:rsidRPr="00AB2559">
        <w:rPr>
          <w:rFonts w:ascii="Arial" w:eastAsia="Times New Roman" w:hAnsi="Arial" w:cs="Arial"/>
          <w:sz w:val="24"/>
          <w:szCs w:val="24"/>
          <w:lang w:val="es-ES" w:eastAsia="zh-CN"/>
        </w:rPr>
        <w:t>jercicio anterior.</w:t>
      </w:r>
    </w:p>
    <w:p w:rsidR="00916F0C" w:rsidRPr="00AB2559" w:rsidRDefault="00916F0C" w:rsidP="00AB2559">
      <w:pPr>
        <w:widowControl w:val="0"/>
        <w:tabs>
          <w:tab w:val="left" w:pos="0"/>
        </w:tabs>
        <w:suppressAutoHyphens/>
        <w:spacing w:after="0" w:line="360" w:lineRule="auto"/>
        <w:jc w:val="both"/>
        <w:rPr>
          <w:rFonts w:ascii="Arial" w:eastAsia="Times New Roman" w:hAnsi="Arial" w:cs="Arial"/>
          <w:sz w:val="24"/>
          <w:szCs w:val="24"/>
          <w:highlight w:val="yellow"/>
          <w:lang w:val="es-ES" w:eastAsia="zh-CN"/>
        </w:rPr>
      </w:pPr>
    </w:p>
    <w:p w:rsidR="00916F0C" w:rsidRPr="00AB2559" w:rsidRDefault="00916F0C" w:rsidP="00AB2559">
      <w:pPr>
        <w:widowControl w:val="0"/>
        <w:tabs>
          <w:tab w:val="left" w:pos="0"/>
        </w:tabs>
        <w:suppressAutoHyphens/>
        <w:spacing w:after="0" w:line="360" w:lineRule="auto"/>
        <w:jc w:val="both"/>
        <w:rPr>
          <w:rFonts w:ascii="Times New Roman" w:eastAsia="Times New Roman" w:hAnsi="Times New Roman" w:cs="Arial"/>
          <w:sz w:val="24"/>
          <w:szCs w:val="24"/>
          <w:lang w:val="es-ES" w:eastAsia="zh-CN"/>
        </w:rPr>
      </w:pPr>
      <w:r w:rsidRPr="00AB2559">
        <w:rPr>
          <w:rFonts w:ascii="Arial" w:eastAsia="Times New Roman" w:hAnsi="Arial" w:cs="Arial"/>
          <w:b/>
          <w:sz w:val="24"/>
          <w:szCs w:val="24"/>
          <w:lang w:val="es-ES" w:eastAsia="zh-CN"/>
        </w:rPr>
        <w:t>Presentación de Estados Financieros</w:t>
      </w:r>
    </w:p>
    <w:p w:rsidR="00916F0C" w:rsidRPr="00AB2559" w:rsidRDefault="00916F0C" w:rsidP="00AB2559">
      <w:pPr>
        <w:widowControl w:val="0"/>
        <w:suppressAutoHyphens/>
        <w:spacing w:after="0" w:line="360" w:lineRule="auto"/>
        <w:jc w:val="both"/>
        <w:rPr>
          <w:rFonts w:ascii="Arial" w:eastAsia="Times New Roman" w:hAnsi="Arial" w:cs="Arial"/>
          <w:sz w:val="24"/>
          <w:szCs w:val="24"/>
          <w:lang w:val="es-ES" w:eastAsia="zh-CN"/>
        </w:rPr>
      </w:pPr>
      <w:r w:rsidRPr="00AB2559">
        <w:rPr>
          <w:rFonts w:ascii="Arial" w:eastAsia="Times New Roman" w:hAnsi="Arial" w:cs="Arial"/>
          <w:sz w:val="24"/>
          <w:szCs w:val="24"/>
          <w:lang w:val="es-ES" w:eastAsia="zh-CN"/>
        </w:rPr>
        <w:t>Los estados financieros individuales del BPS correspondi</w:t>
      </w:r>
      <w:r>
        <w:rPr>
          <w:rFonts w:ascii="Arial" w:eastAsia="Times New Roman" w:hAnsi="Arial" w:cs="Arial"/>
          <w:sz w:val="24"/>
          <w:szCs w:val="24"/>
          <w:lang w:val="es-ES" w:eastAsia="zh-CN"/>
        </w:rPr>
        <w:t>entes al E</w:t>
      </w:r>
      <w:r w:rsidRPr="00AB2559">
        <w:rPr>
          <w:rFonts w:ascii="Arial" w:eastAsia="Times New Roman" w:hAnsi="Arial" w:cs="Arial"/>
          <w:sz w:val="24"/>
          <w:szCs w:val="24"/>
          <w:lang w:val="es-ES" w:eastAsia="zh-CN"/>
        </w:rPr>
        <w:t>jercicio finalizado el 31/12/2017, fueron aprobados por</w:t>
      </w:r>
      <w:r>
        <w:rPr>
          <w:rFonts w:ascii="Arial" w:eastAsia="Times New Roman" w:hAnsi="Arial" w:cs="Arial"/>
          <w:sz w:val="24"/>
          <w:szCs w:val="24"/>
          <w:lang w:val="es-ES" w:eastAsia="zh-CN"/>
        </w:rPr>
        <w:t xml:space="preserve"> Resolución de Directorio de N°</w:t>
      </w:r>
      <w:r w:rsidRPr="00AB2559">
        <w:rPr>
          <w:rFonts w:ascii="Arial" w:eastAsia="Times New Roman" w:hAnsi="Arial" w:cs="Arial"/>
          <w:sz w:val="24"/>
          <w:szCs w:val="24"/>
          <w:lang w:val="es-ES" w:eastAsia="zh-CN"/>
        </w:rPr>
        <w:t>9-13/2018 de fecha 04/04/2018. Los mismos ingresaron para su examen a este Tribunal con fecha 16/04/2018, fuera del plazo de 90 días establecido por la Ordenanza N° 89 y la Resolución del Tribunal de Cuentas N° 36/17.</w:t>
      </w:r>
    </w:p>
    <w:p w:rsidR="00916F0C" w:rsidRPr="00AB2559" w:rsidRDefault="00916F0C" w:rsidP="00AB2559">
      <w:pPr>
        <w:widowControl w:val="0"/>
        <w:suppressAutoHyphens/>
        <w:spacing w:after="0" w:line="360" w:lineRule="auto"/>
        <w:jc w:val="both"/>
        <w:rPr>
          <w:rFonts w:ascii="Arial" w:eastAsia="Times New Roman" w:hAnsi="Arial" w:cs="Arial"/>
          <w:spacing w:val="-3"/>
          <w:sz w:val="24"/>
          <w:szCs w:val="24"/>
          <w:lang w:val="es-ES_tradnl" w:eastAsia="es-ES"/>
        </w:rPr>
      </w:pPr>
      <w:r w:rsidRPr="00AB2559">
        <w:rPr>
          <w:rFonts w:ascii="Arial" w:eastAsia="Times New Roman" w:hAnsi="Arial" w:cs="Arial"/>
          <w:spacing w:val="-3"/>
          <w:sz w:val="24"/>
          <w:szCs w:val="24"/>
          <w:lang w:val="es-ES_tradnl" w:eastAsia="es-ES"/>
        </w:rPr>
        <w:t xml:space="preserve">Salvo por lo expuesto anteriormente, dichos estados </w:t>
      </w:r>
      <w:r>
        <w:rPr>
          <w:rFonts w:ascii="Arial" w:eastAsia="Times New Roman" w:hAnsi="Arial" w:cs="Arial"/>
          <w:spacing w:val="-3"/>
          <w:sz w:val="24"/>
          <w:szCs w:val="24"/>
          <w:lang w:val="es-ES_tradnl" w:eastAsia="es-ES"/>
        </w:rPr>
        <w:t>se presentan de acuerdo con</w:t>
      </w:r>
      <w:r w:rsidRPr="00AB2559">
        <w:rPr>
          <w:rFonts w:ascii="Arial" w:eastAsia="Times New Roman" w:hAnsi="Arial" w:cs="Arial"/>
          <w:spacing w:val="-3"/>
          <w:sz w:val="24"/>
          <w:szCs w:val="24"/>
          <w:lang w:val="es-ES_tradnl" w:eastAsia="es-ES"/>
        </w:rPr>
        <w:t xml:space="preserve"> los criterios establecidos por la Ordenanza N° 89.</w:t>
      </w:r>
    </w:p>
    <w:p w:rsidR="00916F0C" w:rsidRPr="00AB2559" w:rsidRDefault="00916F0C" w:rsidP="00AB2559">
      <w:pPr>
        <w:widowControl w:val="0"/>
        <w:suppressAutoHyphens/>
        <w:spacing w:after="0" w:line="360" w:lineRule="auto"/>
        <w:jc w:val="both"/>
        <w:rPr>
          <w:rFonts w:ascii="Arial" w:eastAsia="Times New Roman" w:hAnsi="Arial" w:cs="Arial"/>
          <w:spacing w:val="-3"/>
          <w:sz w:val="24"/>
          <w:szCs w:val="24"/>
          <w:lang w:val="es-ES_tradnl" w:eastAsia="es-ES"/>
        </w:rPr>
      </w:pPr>
      <w:r w:rsidRPr="00AB2559">
        <w:rPr>
          <w:rFonts w:ascii="Arial" w:eastAsia="Times New Roman" w:hAnsi="Arial" w:cs="Arial"/>
          <w:spacing w:val="-3"/>
          <w:sz w:val="24"/>
          <w:szCs w:val="24"/>
          <w:lang w:val="es-ES_tradnl" w:eastAsia="es-ES"/>
        </w:rPr>
        <w:t>El Balance de</w:t>
      </w:r>
      <w:r>
        <w:rPr>
          <w:rFonts w:ascii="Arial" w:eastAsia="Times New Roman" w:hAnsi="Arial" w:cs="Arial"/>
          <w:spacing w:val="-3"/>
          <w:sz w:val="24"/>
          <w:szCs w:val="24"/>
          <w:lang w:val="es-ES_tradnl" w:eastAsia="es-ES"/>
        </w:rPr>
        <w:t xml:space="preserve"> Ejecución Presupuestal por el E</w:t>
      </w:r>
      <w:r w:rsidRPr="00AB2559">
        <w:rPr>
          <w:rFonts w:ascii="Arial" w:eastAsia="Times New Roman" w:hAnsi="Arial" w:cs="Arial"/>
          <w:spacing w:val="-3"/>
          <w:sz w:val="24"/>
          <w:szCs w:val="24"/>
          <w:lang w:val="es-ES_tradnl" w:eastAsia="es-ES"/>
        </w:rPr>
        <w:t xml:space="preserve">jercicio finalizado el 31/12/2017, fue aprobado por Resolución de Directorio N° 12-11/2018 de fecha 25/04/2018 y remitidos para su examen a este Tribunal con fecha 02/05/2018. El mismo se presenta </w:t>
      </w:r>
      <w:r w:rsidRPr="00AB2559">
        <w:rPr>
          <w:rFonts w:ascii="Arial" w:eastAsia="Times New Roman" w:hAnsi="Arial" w:cs="Arial"/>
          <w:sz w:val="24"/>
          <w:szCs w:val="24"/>
          <w:lang w:val="es-ES" w:eastAsia="zh-CN"/>
        </w:rPr>
        <w:t>de acuerdo con las normas establecidas en el TOCAF, en el Presupuesto vigente para</w:t>
      </w:r>
      <w:r>
        <w:rPr>
          <w:rFonts w:ascii="Arial" w:eastAsia="Times New Roman" w:hAnsi="Arial" w:cs="Arial"/>
          <w:sz w:val="24"/>
          <w:szCs w:val="24"/>
          <w:lang w:val="es-ES" w:eastAsia="zh-CN"/>
        </w:rPr>
        <w:t xml:space="preserve"> el E</w:t>
      </w:r>
      <w:r w:rsidRPr="00AB2559">
        <w:rPr>
          <w:rFonts w:ascii="Arial" w:eastAsia="Times New Roman" w:hAnsi="Arial" w:cs="Arial"/>
          <w:sz w:val="24"/>
          <w:szCs w:val="24"/>
          <w:lang w:val="es-ES" w:eastAsia="zh-CN"/>
        </w:rPr>
        <w:t>jercicio 2017 y en la Ordenanza N° 75 de fecha 16/09/1998 del Tribunal de Cuentas.</w:t>
      </w:r>
    </w:p>
    <w:p w:rsidR="00916F0C" w:rsidRPr="00AB2559" w:rsidRDefault="00916F0C" w:rsidP="00AB2559">
      <w:pPr>
        <w:widowControl w:val="0"/>
        <w:suppressAutoHyphens/>
        <w:spacing w:after="0" w:line="360" w:lineRule="auto"/>
        <w:jc w:val="both"/>
        <w:rPr>
          <w:rFonts w:ascii="Arial" w:eastAsia="Times New Roman" w:hAnsi="Arial" w:cs="Arial"/>
          <w:sz w:val="24"/>
          <w:szCs w:val="24"/>
          <w:lang w:val="es-ES" w:eastAsia="zh-CN"/>
        </w:rPr>
      </w:pPr>
    </w:p>
    <w:p w:rsidR="00916F0C" w:rsidRPr="00AB2559" w:rsidRDefault="00916F0C" w:rsidP="00AB2559">
      <w:pPr>
        <w:tabs>
          <w:tab w:val="left" w:pos="0"/>
        </w:tabs>
        <w:spacing w:after="0" w:line="360" w:lineRule="auto"/>
        <w:jc w:val="both"/>
        <w:rPr>
          <w:rFonts w:ascii="Arial" w:eastAsia="Times New Roman" w:hAnsi="Arial" w:cs="Arial"/>
          <w:b/>
          <w:sz w:val="24"/>
          <w:szCs w:val="24"/>
          <w:lang w:val="es-ES" w:eastAsia="zh-CN"/>
        </w:rPr>
      </w:pPr>
    </w:p>
    <w:p w:rsidR="00916F0C" w:rsidRPr="00AB2559" w:rsidRDefault="00916F0C" w:rsidP="00AB2559">
      <w:pPr>
        <w:tabs>
          <w:tab w:val="left" w:pos="0"/>
        </w:tabs>
        <w:spacing w:after="0" w:line="360" w:lineRule="auto"/>
        <w:jc w:val="both"/>
        <w:rPr>
          <w:rFonts w:ascii="Arial" w:eastAsia="Times New Roman" w:hAnsi="Arial" w:cs="Arial"/>
          <w:b/>
          <w:sz w:val="24"/>
          <w:szCs w:val="24"/>
          <w:lang w:val="es-ES" w:eastAsia="zh-CN"/>
        </w:rPr>
      </w:pPr>
    </w:p>
    <w:p w:rsidR="00916F0C" w:rsidRPr="00AB2559" w:rsidRDefault="00916F0C" w:rsidP="00AB2559">
      <w:pPr>
        <w:tabs>
          <w:tab w:val="left" w:pos="0"/>
        </w:tabs>
        <w:spacing w:after="0" w:line="360" w:lineRule="auto"/>
        <w:jc w:val="both"/>
        <w:rPr>
          <w:rFonts w:ascii="Arial" w:eastAsia="Times New Roman" w:hAnsi="Arial" w:cs="Arial"/>
          <w:b/>
          <w:sz w:val="24"/>
          <w:szCs w:val="24"/>
          <w:lang w:val="es-ES" w:eastAsia="zh-CN"/>
        </w:rPr>
      </w:pPr>
      <w:r w:rsidRPr="00AB2559">
        <w:rPr>
          <w:rFonts w:ascii="Arial" w:eastAsia="Times New Roman" w:hAnsi="Arial" w:cs="Arial"/>
          <w:b/>
          <w:sz w:val="24"/>
          <w:szCs w:val="24"/>
          <w:lang w:val="es-ES" w:eastAsia="zh-CN"/>
        </w:rPr>
        <w:t>Evaluación del control interno</w:t>
      </w:r>
    </w:p>
    <w:p w:rsidR="00916F0C" w:rsidRPr="00AB2559" w:rsidRDefault="00916F0C" w:rsidP="00AB2559">
      <w:pPr>
        <w:suppressAutoHyphens/>
        <w:spacing w:after="120" w:line="360" w:lineRule="auto"/>
        <w:ind w:left="283"/>
        <w:rPr>
          <w:rFonts w:ascii="Arial" w:eastAsia="Times New Roman" w:hAnsi="Arial" w:cs="Arial"/>
          <w:sz w:val="24"/>
          <w:szCs w:val="24"/>
          <w:lang w:val="es-ES" w:eastAsia="zh-CN"/>
        </w:rPr>
      </w:pPr>
      <w:r w:rsidRPr="00AB2559">
        <w:rPr>
          <w:rFonts w:ascii="Arial" w:eastAsia="Times New Roman" w:hAnsi="Arial" w:cs="Arial"/>
          <w:sz w:val="24"/>
          <w:szCs w:val="24"/>
          <w:lang w:val="es-ES" w:eastAsia="zh-CN"/>
        </w:rPr>
        <w:t>El examen de los aspectos de control interno relevantes para la preparación y presentación razonables de los estados financieros, permitió consta</w:t>
      </w:r>
      <w:r w:rsidR="00EE6883">
        <w:rPr>
          <w:rFonts w:ascii="Arial" w:eastAsia="Times New Roman" w:hAnsi="Arial" w:cs="Arial"/>
          <w:sz w:val="24"/>
          <w:szCs w:val="24"/>
          <w:lang w:val="es-ES" w:eastAsia="zh-CN"/>
        </w:rPr>
        <w:t>tar las siguientes debilidades:</w:t>
      </w:r>
    </w:p>
    <w:p w:rsidR="00916F0C" w:rsidRPr="00AB2559" w:rsidRDefault="00916F0C" w:rsidP="00916F0C">
      <w:pPr>
        <w:numPr>
          <w:ilvl w:val="0"/>
          <w:numId w:val="8"/>
        </w:numPr>
        <w:suppressAutoHyphens/>
        <w:spacing w:after="0" w:line="360" w:lineRule="auto"/>
        <w:jc w:val="both"/>
        <w:rPr>
          <w:rFonts w:ascii="Arial" w:eastAsia="Times New Roman" w:hAnsi="Arial" w:cs="Arial"/>
          <w:sz w:val="24"/>
          <w:szCs w:val="24"/>
          <w:lang w:val="es-ES" w:eastAsia="zh-CN"/>
        </w:rPr>
      </w:pPr>
      <w:r w:rsidRPr="00AB2559">
        <w:rPr>
          <w:rFonts w:ascii="Arial" w:eastAsia="Times New Roman" w:hAnsi="Arial" w:cs="Arial"/>
          <w:sz w:val="24"/>
          <w:szCs w:val="24"/>
          <w:lang w:val="es-ES" w:eastAsia="zh-CN"/>
        </w:rPr>
        <w:t>Si bien el sistema de informático de la Asesoría Tributaria y Recaudación (ATYR) y el sistema informático contable se relacionan a través d</w:t>
      </w:r>
      <w:r>
        <w:rPr>
          <w:rFonts w:ascii="Arial" w:eastAsia="Times New Roman" w:hAnsi="Arial" w:cs="Arial"/>
          <w:sz w:val="24"/>
          <w:szCs w:val="24"/>
          <w:lang w:val="es-ES" w:eastAsia="zh-CN"/>
        </w:rPr>
        <w:t xml:space="preserve">e una </w:t>
      </w:r>
      <w:proofErr w:type="spellStart"/>
      <w:r>
        <w:rPr>
          <w:rFonts w:ascii="Arial" w:eastAsia="Times New Roman" w:hAnsi="Arial" w:cs="Arial"/>
          <w:sz w:val="24"/>
          <w:szCs w:val="24"/>
          <w:lang w:val="es-ES" w:eastAsia="zh-CN"/>
        </w:rPr>
        <w:t>interfase</w:t>
      </w:r>
      <w:proofErr w:type="spellEnd"/>
      <w:r>
        <w:rPr>
          <w:rFonts w:ascii="Arial" w:eastAsia="Times New Roman" w:hAnsi="Arial" w:cs="Arial"/>
          <w:sz w:val="24"/>
          <w:szCs w:val="24"/>
          <w:lang w:val="es-ES" w:eastAsia="zh-CN"/>
        </w:rPr>
        <w:t>, al cierre del E</w:t>
      </w:r>
      <w:r w:rsidRPr="00AB2559">
        <w:rPr>
          <w:rFonts w:ascii="Arial" w:eastAsia="Times New Roman" w:hAnsi="Arial" w:cs="Arial"/>
          <w:sz w:val="24"/>
          <w:szCs w:val="24"/>
          <w:lang w:val="es-ES" w:eastAsia="zh-CN"/>
        </w:rPr>
        <w:t>jercicio la transferencia de datos a efectos de registrar los ajustes de cie</w:t>
      </w:r>
      <w:r w:rsidR="00EE6883">
        <w:rPr>
          <w:rFonts w:ascii="Arial" w:eastAsia="Times New Roman" w:hAnsi="Arial" w:cs="Arial"/>
          <w:sz w:val="24"/>
          <w:szCs w:val="24"/>
          <w:lang w:val="es-ES" w:eastAsia="zh-CN"/>
        </w:rPr>
        <w:t>rre se realiza de forma manual.</w:t>
      </w:r>
    </w:p>
    <w:p w:rsidR="00916F0C" w:rsidRPr="00AB2559" w:rsidRDefault="00916F0C" w:rsidP="00AB2559">
      <w:pPr>
        <w:suppressAutoHyphens/>
        <w:spacing w:after="120" w:line="360" w:lineRule="auto"/>
        <w:ind w:left="720"/>
        <w:jc w:val="both"/>
        <w:rPr>
          <w:rFonts w:ascii="Arial" w:eastAsia="Times New Roman" w:hAnsi="Arial" w:cs="Arial"/>
          <w:sz w:val="24"/>
          <w:szCs w:val="24"/>
          <w:lang w:val="es-ES" w:eastAsia="zh-CN"/>
        </w:rPr>
      </w:pPr>
      <w:r w:rsidRPr="00AB2559">
        <w:rPr>
          <w:rFonts w:ascii="Arial" w:eastAsia="Times New Roman" w:hAnsi="Arial" w:cs="Arial"/>
          <w:sz w:val="24"/>
          <w:szCs w:val="24"/>
          <w:lang w:val="es-ES" w:eastAsia="zh-CN"/>
        </w:rPr>
        <w:t>Al 31/12/2017 el saldo de los rubros correspondientes a Créditos y Documentos a Cobrar a Empresas y Organismos Públicos asciende a $ 17.749:067.278 en el corto y largo plazo, netos de previsiones. Si bien los mismos se consideran razonables, no se verifican controles a efectos que la Gerencia de Finanzas y la Dirección Técnica de ATYR aseguren que todos los créditos y documentos a cobrar de empresas y Organismos Públicos correspondientes al</w:t>
      </w:r>
      <w:r>
        <w:rPr>
          <w:rFonts w:ascii="Arial" w:eastAsia="Times New Roman" w:hAnsi="Arial" w:cs="Arial"/>
          <w:sz w:val="24"/>
          <w:szCs w:val="24"/>
          <w:lang w:val="es-ES" w:eastAsia="zh-CN"/>
        </w:rPr>
        <w:t xml:space="preserve"> mes de cierre de E</w:t>
      </w:r>
      <w:r w:rsidRPr="00AB2559">
        <w:rPr>
          <w:rFonts w:ascii="Arial" w:eastAsia="Times New Roman" w:hAnsi="Arial" w:cs="Arial"/>
          <w:sz w:val="24"/>
          <w:szCs w:val="24"/>
          <w:lang w:val="es-ES" w:eastAsia="zh-CN"/>
        </w:rPr>
        <w:t>jercicio sean consideradas en la elaboración de los Estados Financieros.</w:t>
      </w:r>
    </w:p>
    <w:p w:rsidR="00916F0C" w:rsidRPr="00AB2559" w:rsidRDefault="00916F0C" w:rsidP="00916F0C">
      <w:pPr>
        <w:numPr>
          <w:ilvl w:val="0"/>
          <w:numId w:val="8"/>
        </w:numPr>
        <w:suppressAutoHyphens/>
        <w:spacing w:after="0" w:line="360" w:lineRule="auto"/>
        <w:jc w:val="both"/>
        <w:rPr>
          <w:rFonts w:ascii="Arial" w:eastAsia="Times New Roman" w:hAnsi="Arial" w:cs="Arial"/>
          <w:sz w:val="24"/>
          <w:szCs w:val="24"/>
          <w:lang w:val="es-ES" w:eastAsia="zh-CN"/>
        </w:rPr>
      </w:pPr>
      <w:r w:rsidRPr="00AB2559">
        <w:rPr>
          <w:rFonts w:ascii="Arial" w:eastAsia="Times New Roman" w:hAnsi="Arial" w:cs="Arial"/>
          <w:sz w:val="24"/>
          <w:szCs w:val="24"/>
          <w:lang w:val="es-ES" w:eastAsia="zh-CN"/>
        </w:rPr>
        <w:t xml:space="preserve">Los saldos que figuran en las notas 7 y 8 a los Estados Financieros, no coinciden con los expuestos en el Estado de Situación Patrimonial. En la nota 7, las contribuciones por aportes civiles figuran por </w:t>
      </w:r>
      <w:r>
        <w:rPr>
          <w:rFonts w:ascii="Arial" w:eastAsia="Times New Roman" w:hAnsi="Arial" w:cs="Arial"/>
          <w:sz w:val="24"/>
          <w:szCs w:val="24"/>
          <w:lang w:val="es-ES" w:eastAsia="zh-CN"/>
        </w:rPr>
        <w:t>$ 4.178:</w:t>
      </w:r>
      <w:r w:rsidRPr="00AB2559">
        <w:rPr>
          <w:rFonts w:ascii="Arial" w:eastAsia="Times New Roman" w:hAnsi="Arial" w:cs="Arial"/>
          <w:sz w:val="24"/>
          <w:szCs w:val="24"/>
          <w:lang w:val="es-ES" w:eastAsia="zh-CN"/>
        </w:rPr>
        <w:t>210.264 mientras que en el Estado de Situación Patrimonial se exponen por</w:t>
      </w:r>
      <w:r>
        <w:rPr>
          <w:rFonts w:ascii="Arial" w:eastAsia="Times New Roman" w:hAnsi="Arial" w:cs="Arial"/>
          <w:sz w:val="24"/>
          <w:szCs w:val="24"/>
          <w:lang w:val="es-ES" w:eastAsia="zh-CN"/>
        </w:rPr>
        <w:t xml:space="preserve"> $ 4.870:</w:t>
      </w:r>
      <w:r w:rsidRPr="00AB2559">
        <w:rPr>
          <w:rFonts w:ascii="Arial" w:eastAsia="Times New Roman" w:hAnsi="Arial" w:cs="Arial"/>
          <w:sz w:val="24"/>
          <w:szCs w:val="24"/>
          <w:lang w:val="es-ES" w:eastAsia="zh-CN"/>
        </w:rPr>
        <w:t>276.281. En la nota 8 surge una diferencia en el rubro Empresas Deudoras por Multas Art.10; mientras que en el Estado de Situación Patrimonial e</w:t>
      </w:r>
      <w:r>
        <w:rPr>
          <w:rFonts w:ascii="Arial" w:eastAsia="Times New Roman" w:hAnsi="Arial" w:cs="Arial"/>
          <w:sz w:val="24"/>
          <w:szCs w:val="24"/>
          <w:lang w:val="es-ES" w:eastAsia="zh-CN"/>
        </w:rPr>
        <w:t>l importe de este rubro es $ 39:184.469,97, en la nota es $ 42:</w:t>
      </w:r>
      <w:r w:rsidRPr="00AB2559">
        <w:rPr>
          <w:rFonts w:ascii="Arial" w:eastAsia="Times New Roman" w:hAnsi="Arial" w:cs="Arial"/>
          <w:sz w:val="24"/>
          <w:szCs w:val="24"/>
          <w:lang w:val="es-ES" w:eastAsia="zh-CN"/>
        </w:rPr>
        <w:t>741.671. Los saldos correctos corresponden a los que se exponen en los Estados.</w:t>
      </w:r>
    </w:p>
    <w:p w:rsidR="00916F0C" w:rsidRPr="00AB2559" w:rsidRDefault="00916F0C" w:rsidP="00916F0C">
      <w:pPr>
        <w:numPr>
          <w:ilvl w:val="0"/>
          <w:numId w:val="8"/>
        </w:numPr>
        <w:suppressAutoHyphens/>
        <w:spacing w:after="0" w:line="360" w:lineRule="auto"/>
        <w:jc w:val="both"/>
        <w:rPr>
          <w:rFonts w:ascii="Arial" w:eastAsia="Times New Roman" w:hAnsi="Arial" w:cs="Arial"/>
          <w:sz w:val="24"/>
          <w:szCs w:val="24"/>
          <w:lang w:val="es-ES" w:eastAsia="zh-CN"/>
        </w:rPr>
      </w:pPr>
      <w:r w:rsidRPr="00AB2559">
        <w:rPr>
          <w:rFonts w:ascii="Arial" w:eastAsia="Times New Roman" w:hAnsi="Arial" w:cs="Arial"/>
          <w:sz w:val="24"/>
          <w:szCs w:val="24"/>
          <w:lang w:val="es-ES" w:eastAsia="zh-CN"/>
        </w:rPr>
        <w:t>El saldo de la</w:t>
      </w:r>
      <w:r w:rsidRPr="00AB2559">
        <w:rPr>
          <w:rFonts w:ascii="Arial" w:eastAsia="Times New Roman" w:hAnsi="Arial" w:cs="Arial"/>
          <w:bCs/>
          <w:sz w:val="24"/>
          <w:szCs w:val="24"/>
          <w:lang w:val="es-ES" w:eastAsia="zh-CN"/>
        </w:rPr>
        <w:t xml:space="preserve"> Previsión Deudores Incobrables Préstamo Pasivos </w:t>
      </w:r>
      <w:r w:rsidRPr="00AB2559">
        <w:rPr>
          <w:rFonts w:ascii="Arial" w:eastAsia="Times New Roman" w:hAnsi="Arial" w:cs="Arial"/>
          <w:sz w:val="24"/>
          <w:szCs w:val="24"/>
          <w:lang w:val="es-ES" w:eastAsia="zh-CN"/>
        </w:rPr>
        <w:t>se expone por $</w:t>
      </w:r>
      <w:r>
        <w:rPr>
          <w:rFonts w:ascii="Arial" w:eastAsia="Times New Roman" w:hAnsi="Arial" w:cs="Arial"/>
          <w:sz w:val="24"/>
          <w:szCs w:val="24"/>
          <w:lang w:val="es-ES" w:eastAsia="zh-CN"/>
        </w:rPr>
        <w:t>163:</w:t>
      </w:r>
      <w:r w:rsidRPr="00AB2559">
        <w:rPr>
          <w:rFonts w:ascii="Arial" w:eastAsia="Times New Roman" w:hAnsi="Arial" w:cs="Arial"/>
          <w:sz w:val="24"/>
          <w:szCs w:val="24"/>
          <w:lang w:val="es-ES" w:eastAsia="zh-CN"/>
        </w:rPr>
        <w:t>903.497,14 acreedor en los estados financieros, cuando debió ser $</w:t>
      </w:r>
      <w:r>
        <w:rPr>
          <w:rFonts w:ascii="Arial" w:eastAsia="Times New Roman" w:hAnsi="Arial" w:cs="Arial"/>
          <w:sz w:val="24"/>
          <w:szCs w:val="24"/>
          <w:lang w:val="es-ES" w:eastAsia="zh-CN"/>
        </w:rPr>
        <w:t xml:space="preserve"> 125:</w:t>
      </w:r>
      <w:r w:rsidRPr="00AB2559">
        <w:rPr>
          <w:rFonts w:ascii="Arial" w:eastAsia="Times New Roman" w:hAnsi="Arial" w:cs="Arial"/>
          <w:sz w:val="24"/>
          <w:szCs w:val="24"/>
          <w:lang w:val="es-ES" w:eastAsia="zh-CN"/>
        </w:rPr>
        <w:t>050.723.94.</w:t>
      </w:r>
    </w:p>
    <w:p w:rsidR="00916F0C" w:rsidRPr="00AB2559" w:rsidRDefault="00916F0C" w:rsidP="00916F0C">
      <w:pPr>
        <w:numPr>
          <w:ilvl w:val="0"/>
          <w:numId w:val="7"/>
        </w:numPr>
        <w:suppressAutoHyphens/>
        <w:spacing w:after="0" w:line="360" w:lineRule="auto"/>
        <w:jc w:val="both"/>
        <w:rPr>
          <w:rFonts w:ascii="Arial" w:eastAsia="Times New Roman" w:hAnsi="Arial" w:cs="Arial"/>
          <w:sz w:val="24"/>
          <w:szCs w:val="24"/>
          <w:lang w:val="es-ES" w:eastAsia="zh-CN"/>
        </w:rPr>
      </w:pPr>
      <w:r w:rsidRPr="00AB2559">
        <w:rPr>
          <w:rFonts w:ascii="Arial" w:eastAsia="Times New Roman" w:hAnsi="Arial" w:cs="Arial"/>
          <w:sz w:val="24"/>
          <w:szCs w:val="24"/>
          <w:lang w:val="es-ES" w:eastAsia="zh-CN"/>
        </w:rPr>
        <w:t xml:space="preserve">El sistema informático no permite separar el FONASA, FRL, BSE en los créditos documentados de Convenios de Facilidades de pagos, Deudores por avalúos, y Declaraciones Juradas de No Pago, por lo que no es posible obtener </w:t>
      </w:r>
      <w:r w:rsidRPr="00AB2559">
        <w:rPr>
          <w:rFonts w:ascii="Arial" w:eastAsia="Calibri" w:hAnsi="Arial" w:cs="Arial"/>
          <w:bCs/>
          <w:color w:val="00000A"/>
          <w:sz w:val="24"/>
          <w:szCs w:val="24"/>
          <w:lang w:val="es-ES"/>
        </w:rPr>
        <w:t xml:space="preserve">dichos importes para exponerlos por </w:t>
      </w:r>
      <w:r w:rsidRPr="00AB2559">
        <w:rPr>
          <w:rFonts w:ascii="Arial" w:eastAsia="Times New Roman" w:hAnsi="Arial" w:cs="Arial"/>
          <w:sz w:val="24"/>
          <w:szCs w:val="24"/>
          <w:lang w:val="es-ES" w:eastAsia="zh-CN"/>
        </w:rPr>
        <w:t>separado</w:t>
      </w:r>
      <w:r w:rsidRPr="00AB2559">
        <w:rPr>
          <w:rFonts w:ascii="Arial" w:eastAsia="Calibri" w:hAnsi="Arial" w:cs="Arial"/>
          <w:bCs/>
          <w:color w:val="00000A"/>
          <w:sz w:val="24"/>
          <w:szCs w:val="24"/>
          <w:lang w:val="es-ES"/>
        </w:rPr>
        <w:t xml:space="preserve"> en los </w:t>
      </w:r>
      <w:r w:rsidRPr="00AB2559">
        <w:rPr>
          <w:rFonts w:ascii="Arial" w:eastAsia="Times New Roman" w:hAnsi="Arial" w:cs="Arial"/>
          <w:sz w:val="24"/>
          <w:szCs w:val="24"/>
          <w:lang w:val="es-ES" w:eastAsia="zh-CN"/>
        </w:rPr>
        <w:t>estados</w:t>
      </w:r>
      <w:r w:rsidRPr="00AB2559">
        <w:rPr>
          <w:rFonts w:ascii="Arial" w:eastAsia="Calibri" w:hAnsi="Arial" w:cs="Arial"/>
          <w:bCs/>
          <w:color w:val="00000A"/>
          <w:sz w:val="24"/>
          <w:szCs w:val="24"/>
          <w:lang w:val="es-ES"/>
        </w:rPr>
        <w:t xml:space="preserve"> </w:t>
      </w:r>
      <w:r w:rsidRPr="00AB2559">
        <w:rPr>
          <w:rFonts w:ascii="Arial" w:eastAsia="Times New Roman" w:hAnsi="Arial" w:cs="Arial"/>
          <w:sz w:val="24"/>
          <w:szCs w:val="24"/>
          <w:lang w:val="es-ES" w:eastAsia="zh-CN"/>
        </w:rPr>
        <w:t>financieros. Los mismos se exponen dentro de los rubros “Convenios de facilidades de pago”, “Deudores por Avalúos” y “Declaraciones Juradas de No Pago”, y no en un rubro separado.</w:t>
      </w:r>
    </w:p>
    <w:p w:rsidR="00916F0C" w:rsidRPr="00AB2559" w:rsidRDefault="00916F0C" w:rsidP="00916F0C">
      <w:pPr>
        <w:numPr>
          <w:ilvl w:val="0"/>
          <w:numId w:val="7"/>
        </w:numPr>
        <w:suppressAutoHyphens/>
        <w:spacing w:after="0" w:line="360" w:lineRule="auto"/>
        <w:jc w:val="both"/>
        <w:rPr>
          <w:rFonts w:ascii="Arial" w:eastAsia="Times New Roman" w:hAnsi="Arial" w:cs="Arial"/>
          <w:sz w:val="24"/>
          <w:szCs w:val="24"/>
          <w:lang w:val="es-ES" w:eastAsia="zh-CN"/>
        </w:rPr>
      </w:pPr>
      <w:r w:rsidRPr="00AB2559">
        <w:rPr>
          <w:rFonts w:ascii="Arial" w:eastAsia="Times New Roman" w:hAnsi="Arial" w:cs="Arial"/>
          <w:sz w:val="24"/>
          <w:szCs w:val="24"/>
          <w:lang w:val="es-ES" w:eastAsia="zh-CN"/>
        </w:rPr>
        <w:t>La recaudación de fondos de terceros no se expone de forma separada en el Estado de Resultados.</w:t>
      </w:r>
    </w:p>
    <w:p w:rsidR="00916F0C" w:rsidRPr="00AB2559" w:rsidRDefault="00916F0C" w:rsidP="00916F0C">
      <w:pPr>
        <w:numPr>
          <w:ilvl w:val="0"/>
          <w:numId w:val="7"/>
        </w:numPr>
        <w:suppressAutoHyphens/>
        <w:spacing w:after="0" w:line="360" w:lineRule="auto"/>
        <w:jc w:val="both"/>
        <w:rPr>
          <w:rFonts w:ascii="Arial" w:eastAsia="Times New Roman" w:hAnsi="Arial" w:cs="Arial"/>
          <w:sz w:val="24"/>
          <w:szCs w:val="24"/>
          <w:lang w:val="es-ES" w:eastAsia="zh-CN"/>
        </w:rPr>
      </w:pPr>
      <w:r w:rsidRPr="00AB2559">
        <w:rPr>
          <w:rFonts w:ascii="Arial" w:eastAsia="Calibri" w:hAnsi="Arial" w:cs="Arial"/>
          <w:bCs/>
          <w:color w:val="00000A"/>
          <w:sz w:val="24"/>
          <w:szCs w:val="24"/>
          <w:lang w:val="es-ES"/>
        </w:rPr>
        <w:t>La deuda de convenios de facilid</w:t>
      </w:r>
      <w:r>
        <w:rPr>
          <w:rFonts w:ascii="Arial" w:eastAsia="Calibri" w:hAnsi="Arial" w:cs="Arial"/>
          <w:bCs/>
          <w:color w:val="00000A"/>
          <w:sz w:val="24"/>
          <w:szCs w:val="24"/>
          <w:lang w:val="es-ES"/>
        </w:rPr>
        <w:t>ades de pagos, que asciende a $</w:t>
      </w:r>
      <w:r w:rsidRPr="00AB2559">
        <w:rPr>
          <w:rFonts w:ascii="Arial" w:eastAsia="Calibri" w:hAnsi="Arial" w:cs="Arial"/>
          <w:bCs/>
          <w:color w:val="00000A"/>
          <w:sz w:val="24"/>
          <w:szCs w:val="24"/>
          <w:lang w:val="es-ES"/>
        </w:rPr>
        <w:t xml:space="preserve">677:467.164 neta de previsiones en el corto plazo, y a $ 807:460.367 neta de previsiones en el largo plazo, no se encuentra actualizada, ya que no se calcularon los recargos </w:t>
      </w:r>
      <w:r>
        <w:rPr>
          <w:rFonts w:ascii="Arial" w:eastAsia="Calibri" w:hAnsi="Arial" w:cs="Arial"/>
          <w:bCs/>
          <w:color w:val="00000A"/>
          <w:sz w:val="24"/>
          <w:szCs w:val="24"/>
          <w:lang w:val="es-ES"/>
        </w:rPr>
        <w:t>y multas a fecha de cierre del E</w:t>
      </w:r>
      <w:r w:rsidR="00EE6883">
        <w:rPr>
          <w:rFonts w:ascii="Arial" w:eastAsia="Calibri" w:hAnsi="Arial" w:cs="Arial"/>
          <w:bCs/>
          <w:color w:val="00000A"/>
          <w:sz w:val="24"/>
          <w:szCs w:val="24"/>
          <w:lang w:val="es-ES"/>
        </w:rPr>
        <w:t>jercicio.</w:t>
      </w:r>
    </w:p>
    <w:p w:rsidR="00916F0C" w:rsidRPr="00AB2559" w:rsidRDefault="00916F0C" w:rsidP="00916F0C">
      <w:pPr>
        <w:numPr>
          <w:ilvl w:val="0"/>
          <w:numId w:val="7"/>
        </w:numPr>
        <w:suppressAutoHyphens/>
        <w:spacing w:after="0" w:line="360" w:lineRule="auto"/>
        <w:jc w:val="both"/>
        <w:rPr>
          <w:rFonts w:ascii="Arial" w:eastAsia="Times New Roman" w:hAnsi="Arial" w:cs="Arial"/>
          <w:sz w:val="24"/>
          <w:szCs w:val="24"/>
          <w:lang w:val="es-ES" w:eastAsia="zh-CN"/>
        </w:rPr>
      </w:pPr>
      <w:r w:rsidRPr="00AB2559">
        <w:rPr>
          <w:rFonts w:ascii="Arial" w:eastAsia="Times New Roman" w:hAnsi="Arial" w:cs="Arial"/>
          <w:sz w:val="24"/>
          <w:szCs w:val="24"/>
          <w:lang w:val="es-ES" w:eastAsia="zh-CN"/>
        </w:rPr>
        <w:t>No se contabilizaron los recargos correspondientes a los deudores por avalúos devengados al 31/12/2017.</w:t>
      </w:r>
    </w:p>
    <w:p w:rsidR="00916F0C" w:rsidRPr="00AB2559" w:rsidRDefault="00916F0C" w:rsidP="00916F0C">
      <w:pPr>
        <w:numPr>
          <w:ilvl w:val="0"/>
          <w:numId w:val="7"/>
        </w:numPr>
        <w:suppressAutoHyphens/>
        <w:spacing w:after="0" w:line="360" w:lineRule="auto"/>
        <w:jc w:val="both"/>
        <w:rPr>
          <w:rFonts w:ascii="Arial" w:eastAsia="Times New Roman" w:hAnsi="Arial" w:cs="Arial"/>
          <w:b/>
          <w:sz w:val="24"/>
          <w:szCs w:val="24"/>
          <w:lang w:val="es-ES" w:eastAsia="zh-CN"/>
        </w:rPr>
      </w:pPr>
      <w:r w:rsidRPr="00AB2559">
        <w:rPr>
          <w:rFonts w:ascii="Arial" w:eastAsia="Times New Roman" w:hAnsi="Arial" w:cs="Arial"/>
          <w:color w:val="000000"/>
          <w:sz w:val="24"/>
          <w:szCs w:val="24"/>
          <w:lang w:val="es-ES" w:eastAsia="zh-CN"/>
        </w:rPr>
        <w:t>Los informes de recepción de bienes y servicios son realizados solo en los casos de incumplimientos con la Orden de Compra. No se realizan controles de correlatividad numérica en estos informes de recepción.</w:t>
      </w:r>
    </w:p>
    <w:p w:rsidR="00916F0C" w:rsidRPr="00AB2559" w:rsidRDefault="00916F0C" w:rsidP="00916F0C">
      <w:pPr>
        <w:numPr>
          <w:ilvl w:val="0"/>
          <w:numId w:val="7"/>
        </w:numPr>
        <w:suppressAutoHyphens/>
        <w:spacing w:after="0" w:line="360" w:lineRule="auto"/>
        <w:jc w:val="both"/>
        <w:rPr>
          <w:rFonts w:ascii="Arial" w:eastAsia="Times New Roman" w:hAnsi="Arial" w:cs="Arial"/>
          <w:sz w:val="24"/>
          <w:szCs w:val="24"/>
          <w:lang w:val="es-ES" w:eastAsia="zh-CN"/>
        </w:rPr>
      </w:pPr>
      <w:r w:rsidRPr="00AB2559">
        <w:rPr>
          <w:rFonts w:ascii="Arial" w:eastAsia="Times New Roman" w:hAnsi="Arial" w:cs="Arial"/>
          <w:sz w:val="24"/>
          <w:szCs w:val="24"/>
          <w:lang w:val="es-ES" w:eastAsia="zh-CN"/>
        </w:rPr>
        <w:t>El saldo del rubro Afiliados Deudores Pagos Indebidos Prestaciones asciende a $ 323:586.811 al 31/12/2017. Si bien no resulta material en el total del Activo, corresponde señalar que no existen procedimientos de control definidos por el Ente a efectos de detectar posibles errores, tales como la confección de un inventario actualizado y la posterior conciliación con el mismo.</w:t>
      </w:r>
    </w:p>
    <w:p w:rsidR="00916F0C" w:rsidRPr="00AB2559" w:rsidRDefault="00916F0C" w:rsidP="00916F0C">
      <w:pPr>
        <w:numPr>
          <w:ilvl w:val="0"/>
          <w:numId w:val="7"/>
        </w:numPr>
        <w:suppressAutoHyphens/>
        <w:spacing w:after="0" w:line="360" w:lineRule="auto"/>
        <w:jc w:val="both"/>
        <w:rPr>
          <w:rFonts w:ascii="Arial" w:eastAsia="Times New Roman" w:hAnsi="Arial" w:cs="Arial"/>
          <w:sz w:val="24"/>
          <w:szCs w:val="24"/>
          <w:lang w:val="es-ES" w:eastAsia="zh-CN"/>
        </w:rPr>
      </w:pPr>
      <w:r w:rsidRPr="00AB2559">
        <w:rPr>
          <w:rFonts w:ascii="Arial" w:eastAsia="Times New Roman" w:hAnsi="Arial" w:cs="Arial"/>
          <w:sz w:val="24"/>
          <w:szCs w:val="24"/>
          <w:lang w:val="es-ES" w:eastAsia="zh-CN"/>
        </w:rPr>
        <w:t>No se realizan recuentos físicos de bienes de uso en el Organismo, a efectos de su comparación con inventarios y contabilidad.</w:t>
      </w:r>
    </w:p>
    <w:p w:rsidR="00916F0C" w:rsidRPr="00AB2559" w:rsidRDefault="00916F0C" w:rsidP="00916F0C">
      <w:pPr>
        <w:numPr>
          <w:ilvl w:val="0"/>
          <w:numId w:val="7"/>
        </w:numPr>
        <w:suppressAutoHyphens/>
        <w:spacing w:after="0" w:line="360" w:lineRule="auto"/>
        <w:jc w:val="both"/>
        <w:rPr>
          <w:rFonts w:ascii="Arial" w:eastAsia="Times New Roman" w:hAnsi="Arial" w:cs="Arial"/>
          <w:sz w:val="24"/>
          <w:szCs w:val="24"/>
          <w:lang w:val="es-ES" w:eastAsia="zh-CN"/>
        </w:rPr>
      </w:pPr>
      <w:r w:rsidRPr="00AB2559">
        <w:rPr>
          <w:rFonts w:ascii="Arial" w:eastAsia="Times New Roman" w:hAnsi="Arial" w:cs="Arial"/>
          <w:sz w:val="24"/>
          <w:szCs w:val="24"/>
          <w:lang w:val="es-ES" w:eastAsia="zh-CN"/>
        </w:rPr>
        <w:t xml:space="preserve">De acuerdo a lo señalado en la Nota 20, el criterio utilizado para el cálculo de la previsión para litigios es el promedio ponderado del total liquidado por sentencias judiciales de los últimos tres ejercicios. Si bien las asesorías jurídicas del Organismo elaboran informes sobre la situación de determinados juicios, los mismos no son considerados a efectos de estimar una previsión, ya que éstos no informan los montos y/o probabilidades para la totalidad de los juicios. Se conformó un grupo de trabajo con funcionarios de distintas gerencias, a efectos de prever el monto estimado que debería abonar el Organismo por dictámenes desfavorables, pero aún no se </w:t>
      </w:r>
      <w:r w:rsidRPr="00AB2559">
        <w:rPr>
          <w:rFonts w:ascii="Arial" w:eastAsia="Times New Roman" w:hAnsi="Arial" w:cs="Arial"/>
          <w:sz w:val="24"/>
          <w:szCs w:val="28"/>
          <w:lang w:val="es-ES" w:eastAsia="zh-CN"/>
        </w:rPr>
        <w:t>ha podido generar la información requerida para poder aplicar otro criterio para el cálculo de la previsión.</w:t>
      </w:r>
    </w:p>
    <w:p w:rsidR="00916F0C" w:rsidRPr="00AB2559" w:rsidRDefault="00916F0C" w:rsidP="00AB2559">
      <w:pPr>
        <w:spacing w:after="0" w:line="360" w:lineRule="auto"/>
        <w:ind w:left="720"/>
        <w:jc w:val="both"/>
        <w:rPr>
          <w:rFonts w:ascii="Arial" w:eastAsia="Times New Roman" w:hAnsi="Arial" w:cs="Arial"/>
          <w:b/>
          <w:sz w:val="24"/>
          <w:szCs w:val="24"/>
          <w:highlight w:val="green"/>
          <w:lang w:val="es-ES" w:eastAsia="zh-CN"/>
        </w:rPr>
      </w:pPr>
    </w:p>
    <w:p w:rsidR="00916F0C" w:rsidRPr="00AB2559" w:rsidRDefault="00262DD1" w:rsidP="00AB2559">
      <w:pPr>
        <w:suppressAutoHyphens/>
        <w:spacing w:after="0" w:line="360" w:lineRule="auto"/>
        <w:jc w:val="both"/>
        <w:rPr>
          <w:rFonts w:ascii="Arial" w:eastAsia="Times New Roman" w:hAnsi="Arial" w:cs="Arial"/>
          <w:sz w:val="24"/>
          <w:szCs w:val="24"/>
          <w:lang w:val="es-ES" w:eastAsia="zh-CN"/>
        </w:rPr>
      </w:pPr>
      <w:r>
        <w:rPr>
          <w:rFonts w:ascii="Arial" w:eastAsia="Times New Roman" w:hAnsi="Arial" w:cs="Arial"/>
          <w:b/>
          <w:bCs/>
          <w:spacing w:val="-3"/>
          <w:sz w:val="24"/>
          <w:szCs w:val="24"/>
          <w:lang w:val="es-ES" w:eastAsia="zh-CN"/>
        </w:rPr>
        <w:t>Recomendaciones</w:t>
      </w:r>
    </w:p>
    <w:p w:rsidR="00916F0C" w:rsidRPr="00AB2559" w:rsidRDefault="00916F0C" w:rsidP="00904660">
      <w:pPr>
        <w:widowControl w:val="0"/>
        <w:suppressAutoHyphens/>
        <w:spacing w:after="0" w:line="480" w:lineRule="auto"/>
        <w:ind w:left="284"/>
        <w:rPr>
          <w:rFonts w:ascii="Arial" w:eastAsia="Times New Roman" w:hAnsi="Arial" w:cs="Arial"/>
          <w:b/>
          <w:bCs/>
          <w:sz w:val="24"/>
          <w:szCs w:val="24"/>
          <w:lang w:val="es-ES" w:eastAsia="zh-CN"/>
        </w:rPr>
      </w:pPr>
      <w:r w:rsidRPr="00AB2559">
        <w:rPr>
          <w:rFonts w:ascii="Arial" w:eastAsia="Times New Roman" w:hAnsi="Arial" w:cs="Arial"/>
          <w:b/>
          <w:bCs/>
          <w:sz w:val="24"/>
          <w:szCs w:val="24"/>
          <w:lang w:val="es-ES" w:eastAsia="zh-CN"/>
        </w:rPr>
        <w:t xml:space="preserve">1) Recomendaciones de </w:t>
      </w:r>
      <w:r>
        <w:rPr>
          <w:rFonts w:ascii="Arial" w:eastAsia="Times New Roman" w:hAnsi="Arial" w:cs="Arial"/>
          <w:b/>
          <w:bCs/>
          <w:sz w:val="24"/>
          <w:szCs w:val="24"/>
          <w:lang w:val="es-ES" w:eastAsia="zh-CN"/>
        </w:rPr>
        <w:t>E</w:t>
      </w:r>
      <w:r w:rsidRPr="00AB2559">
        <w:rPr>
          <w:rFonts w:ascii="Arial" w:eastAsia="Times New Roman" w:hAnsi="Arial" w:cs="Arial"/>
          <w:b/>
          <w:bCs/>
          <w:sz w:val="24"/>
          <w:szCs w:val="24"/>
          <w:lang w:val="es-ES" w:eastAsia="zh-CN"/>
        </w:rPr>
        <w:t>jercicios anteriores</w:t>
      </w:r>
    </w:p>
    <w:p w:rsidR="00916F0C" w:rsidRPr="00AB2559" w:rsidRDefault="00262DD1" w:rsidP="00904660">
      <w:pPr>
        <w:widowControl w:val="0"/>
        <w:suppressAutoHyphens/>
        <w:spacing w:after="0" w:line="480" w:lineRule="auto"/>
        <w:ind w:left="284"/>
        <w:rPr>
          <w:rFonts w:ascii="Arial" w:eastAsia="Times New Roman" w:hAnsi="Arial" w:cs="Arial"/>
          <w:b/>
          <w:bCs/>
          <w:sz w:val="24"/>
          <w:szCs w:val="24"/>
          <w:lang w:val="es-ES" w:eastAsia="zh-CN"/>
        </w:rPr>
      </w:pPr>
      <w:r>
        <w:rPr>
          <w:rFonts w:ascii="Arial" w:eastAsia="Times New Roman" w:hAnsi="Arial" w:cs="Arial"/>
          <w:b/>
          <w:bCs/>
          <w:sz w:val="24"/>
          <w:szCs w:val="24"/>
          <w:lang w:val="es-ES" w:eastAsia="zh-CN"/>
        </w:rPr>
        <w:t>1.1) Cumplidas</w:t>
      </w:r>
    </w:p>
    <w:p w:rsidR="00916F0C" w:rsidRPr="00AB2559" w:rsidRDefault="00916F0C" w:rsidP="00916F0C">
      <w:pPr>
        <w:keepNext/>
        <w:widowControl w:val="0"/>
        <w:numPr>
          <w:ilvl w:val="0"/>
          <w:numId w:val="10"/>
        </w:numPr>
        <w:suppressAutoHyphens/>
        <w:spacing w:after="0" w:line="360" w:lineRule="auto"/>
        <w:jc w:val="both"/>
        <w:rPr>
          <w:rFonts w:ascii="Arial" w:eastAsia="Times New Roman" w:hAnsi="Arial" w:cs="Arial"/>
          <w:sz w:val="24"/>
          <w:szCs w:val="24"/>
          <w:lang w:val="es-ES" w:eastAsia="es-ES"/>
        </w:rPr>
      </w:pPr>
      <w:r w:rsidRPr="00AB2559">
        <w:rPr>
          <w:rFonts w:ascii="Arial" w:eastAsia="Times New Roman" w:hAnsi="Arial" w:cs="Arial"/>
          <w:sz w:val="24"/>
          <w:szCs w:val="24"/>
          <w:lang w:val="es-ES" w:eastAsia="es-ES"/>
        </w:rPr>
        <w:t>Se publicaron los estados financieros acompañados del Dictamen del Tribunal de Cuentas.</w:t>
      </w:r>
    </w:p>
    <w:p w:rsidR="00916F0C" w:rsidRPr="00AB2559" w:rsidRDefault="00916F0C" w:rsidP="00916F0C">
      <w:pPr>
        <w:keepNext/>
        <w:widowControl w:val="0"/>
        <w:numPr>
          <w:ilvl w:val="0"/>
          <w:numId w:val="10"/>
        </w:numPr>
        <w:suppressAutoHyphens/>
        <w:spacing w:after="0" w:line="360" w:lineRule="auto"/>
        <w:jc w:val="both"/>
        <w:rPr>
          <w:rFonts w:ascii="Arial" w:eastAsia="Times New Roman" w:hAnsi="Arial" w:cs="Arial"/>
          <w:sz w:val="24"/>
          <w:szCs w:val="24"/>
          <w:lang w:val="es-ES" w:eastAsia="es-ES"/>
        </w:rPr>
      </w:pPr>
      <w:r w:rsidRPr="00AB2559">
        <w:rPr>
          <w:rFonts w:ascii="Arial" w:eastAsia="Times New Roman" w:hAnsi="Arial" w:cs="Arial"/>
          <w:sz w:val="24"/>
          <w:szCs w:val="24"/>
          <w:lang w:val="es-ES" w:eastAsia="es-ES"/>
        </w:rPr>
        <w:t>Se elaboraron manuales de procedimiento de recaudación.</w:t>
      </w:r>
    </w:p>
    <w:p w:rsidR="00916F0C" w:rsidRDefault="00916F0C" w:rsidP="00916F0C">
      <w:pPr>
        <w:keepNext/>
        <w:widowControl w:val="0"/>
        <w:numPr>
          <w:ilvl w:val="0"/>
          <w:numId w:val="10"/>
        </w:numPr>
        <w:suppressAutoHyphens/>
        <w:spacing w:after="0" w:line="360" w:lineRule="auto"/>
        <w:jc w:val="both"/>
        <w:rPr>
          <w:rFonts w:ascii="Arial" w:eastAsia="Times New Roman" w:hAnsi="Arial" w:cs="Arial"/>
          <w:sz w:val="24"/>
          <w:szCs w:val="24"/>
          <w:lang w:val="es-ES" w:eastAsia="es-ES"/>
        </w:rPr>
      </w:pPr>
      <w:r w:rsidRPr="00AB2559">
        <w:rPr>
          <w:rFonts w:ascii="Arial" w:eastAsia="Times New Roman" w:hAnsi="Arial" w:cs="Arial"/>
          <w:sz w:val="24"/>
          <w:szCs w:val="24"/>
          <w:lang w:val="es-ES" w:eastAsia="es-ES"/>
        </w:rPr>
        <w:t>Se comunicaron al Tribunal de Cuentas todas las adecuaciones de los rubros no limitativos y las tra</w:t>
      </w:r>
      <w:r>
        <w:rPr>
          <w:rFonts w:ascii="Arial" w:eastAsia="Times New Roman" w:hAnsi="Arial" w:cs="Arial"/>
          <w:sz w:val="24"/>
          <w:szCs w:val="24"/>
          <w:lang w:val="es-ES" w:eastAsia="es-ES"/>
        </w:rPr>
        <w:t>sposiciones del E</w:t>
      </w:r>
      <w:r w:rsidRPr="00AB2559">
        <w:rPr>
          <w:rFonts w:ascii="Arial" w:eastAsia="Times New Roman" w:hAnsi="Arial" w:cs="Arial"/>
          <w:sz w:val="24"/>
          <w:szCs w:val="24"/>
          <w:lang w:val="es-ES" w:eastAsia="es-ES"/>
        </w:rPr>
        <w:t>jercicio.</w:t>
      </w:r>
    </w:p>
    <w:p w:rsidR="00916F0C" w:rsidRPr="00AB2559" w:rsidRDefault="00916F0C" w:rsidP="00904660">
      <w:pPr>
        <w:keepNext/>
        <w:widowControl w:val="0"/>
        <w:suppressAutoHyphens/>
        <w:spacing w:after="0" w:line="360" w:lineRule="auto"/>
        <w:ind w:left="720"/>
        <w:jc w:val="both"/>
        <w:rPr>
          <w:rFonts w:ascii="Arial" w:eastAsia="Times New Roman" w:hAnsi="Arial" w:cs="Arial"/>
          <w:sz w:val="24"/>
          <w:szCs w:val="24"/>
          <w:lang w:val="es-ES" w:eastAsia="es-ES"/>
        </w:rPr>
      </w:pPr>
    </w:p>
    <w:p w:rsidR="00916F0C" w:rsidRPr="00AB2559" w:rsidRDefault="00916F0C" w:rsidP="00AB2559">
      <w:pPr>
        <w:widowControl w:val="0"/>
        <w:suppressAutoHyphens/>
        <w:spacing w:after="120" w:line="480" w:lineRule="auto"/>
        <w:ind w:left="283"/>
        <w:rPr>
          <w:rFonts w:ascii="Arial" w:eastAsia="Times New Roman" w:hAnsi="Arial" w:cs="Arial"/>
          <w:b/>
          <w:bCs/>
          <w:sz w:val="24"/>
          <w:szCs w:val="24"/>
          <w:lang w:val="es-ES" w:eastAsia="zh-CN"/>
        </w:rPr>
      </w:pPr>
      <w:r w:rsidRPr="00AB2559">
        <w:rPr>
          <w:rFonts w:ascii="Arial" w:eastAsia="Times New Roman" w:hAnsi="Arial" w:cs="Arial"/>
          <w:b/>
          <w:bCs/>
          <w:sz w:val="24"/>
          <w:szCs w:val="24"/>
          <w:lang w:val="es-ES" w:eastAsia="zh-CN"/>
        </w:rPr>
        <w:t>1.2) No cumplidas</w:t>
      </w:r>
    </w:p>
    <w:p w:rsidR="00916F0C" w:rsidRDefault="00916F0C" w:rsidP="00916F0C">
      <w:pPr>
        <w:widowControl w:val="0"/>
        <w:numPr>
          <w:ilvl w:val="0"/>
          <w:numId w:val="9"/>
        </w:numPr>
        <w:suppressAutoHyphens/>
        <w:spacing w:after="0" w:line="360" w:lineRule="auto"/>
        <w:jc w:val="both"/>
        <w:rPr>
          <w:rFonts w:ascii="Arial" w:eastAsia="Times New Roman" w:hAnsi="Arial" w:cs="Arial"/>
          <w:sz w:val="24"/>
          <w:szCs w:val="24"/>
          <w:lang w:eastAsia="es-UY"/>
        </w:rPr>
      </w:pPr>
      <w:r w:rsidRPr="00AB2559">
        <w:rPr>
          <w:rFonts w:ascii="Arial" w:eastAsia="Times New Roman" w:hAnsi="Arial" w:cs="Arial"/>
          <w:sz w:val="24"/>
          <w:szCs w:val="24"/>
          <w:lang w:val="es-ES" w:eastAsia="zh-CN"/>
        </w:rPr>
        <w:t xml:space="preserve">Si bien el sistema informático de ATYR y el sistema informático contable se relacionan a través de una </w:t>
      </w:r>
      <w:proofErr w:type="spellStart"/>
      <w:r w:rsidRPr="00AB2559">
        <w:rPr>
          <w:rFonts w:ascii="Arial" w:eastAsia="Times New Roman" w:hAnsi="Arial" w:cs="Arial"/>
          <w:sz w:val="24"/>
          <w:szCs w:val="24"/>
          <w:lang w:val="es-ES" w:eastAsia="zh-CN"/>
        </w:rPr>
        <w:t>interfase</w:t>
      </w:r>
      <w:proofErr w:type="spellEnd"/>
      <w:r w:rsidRPr="00AB2559">
        <w:rPr>
          <w:rFonts w:ascii="Arial" w:eastAsia="Times New Roman" w:hAnsi="Arial" w:cs="Arial"/>
          <w:sz w:val="24"/>
          <w:szCs w:val="24"/>
          <w:lang w:val="es-ES" w:eastAsia="zh-CN"/>
        </w:rPr>
        <w:t>, no se verifican controles a efectos de que l</w:t>
      </w:r>
      <w:r w:rsidRPr="00AB2559">
        <w:rPr>
          <w:rFonts w:ascii="Arial" w:eastAsia="Times New Roman" w:hAnsi="Arial" w:cs="Arial"/>
          <w:sz w:val="24"/>
          <w:szCs w:val="24"/>
          <w:lang w:eastAsia="es-UY"/>
        </w:rPr>
        <w:t xml:space="preserve">a Gerencia de Finanzas y la </w:t>
      </w:r>
      <w:r w:rsidRPr="00AB2559">
        <w:rPr>
          <w:rFonts w:ascii="Arial" w:eastAsia="Times New Roman" w:hAnsi="Arial" w:cs="Arial"/>
          <w:sz w:val="24"/>
          <w:szCs w:val="24"/>
          <w:lang w:val="es-ES" w:eastAsia="zh-CN"/>
        </w:rPr>
        <w:t xml:space="preserve">Dirección Técnica de ATYR </w:t>
      </w:r>
      <w:r w:rsidRPr="00AB2559">
        <w:rPr>
          <w:rFonts w:ascii="Arial" w:eastAsia="Times New Roman" w:hAnsi="Arial" w:cs="Arial"/>
          <w:sz w:val="24"/>
          <w:szCs w:val="24"/>
          <w:lang w:eastAsia="es-UY"/>
        </w:rPr>
        <w:t>aseguren que todos los créditos y documentos a cobrar a empresas y Organismos Públicos corres</w:t>
      </w:r>
      <w:r>
        <w:rPr>
          <w:rFonts w:ascii="Arial" w:eastAsia="Times New Roman" w:hAnsi="Arial" w:cs="Arial"/>
          <w:sz w:val="24"/>
          <w:szCs w:val="24"/>
          <w:lang w:eastAsia="es-UY"/>
        </w:rPr>
        <w:t>pondientes al mes de cierre de E</w:t>
      </w:r>
      <w:r w:rsidRPr="00AB2559">
        <w:rPr>
          <w:rFonts w:ascii="Arial" w:eastAsia="Times New Roman" w:hAnsi="Arial" w:cs="Arial"/>
          <w:sz w:val="24"/>
          <w:szCs w:val="24"/>
          <w:lang w:eastAsia="es-UY"/>
        </w:rPr>
        <w:t>jercicio sean considerados en la elaboración de los Estados Financieros.</w:t>
      </w:r>
    </w:p>
    <w:p w:rsidR="00916F0C" w:rsidRPr="00AB2559" w:rsidRDefault="00916F0C" w:rsidP="00904660">
      <w:pPr>
        <w:widowControl w:val="0"/>
        <w:suppressAutoHyphens/>
        <w:spacing w:after="0" w:line="360" w:lineRule="auto"/>
        <w:jc w:val="both"/>
        <w:rPr>
          <w:rFonts w:ascii="Arial" w:eastAsia="Times New Roman" w:hAnsi="Arial" w:cs="Arial"/>
          <w:sz w:val="24"/>
          <w:szCs w:val="24"/>
          <w:lang w:eastAsia="es-UY"/>
        </w:rPr>
      </w:pPr>
    </w:p>
    <w:p w:rsidR="00916F0C" w:rsidRPr="00AB2559" w:rsidRDefault="00916F0C" w:rsidP="00916F0C">
      <w:pPr>
        <w:widowControl w:val="0"/>
        <w:numPr>
          <w:ilvl w:val="0"/>
          <w:numId w:val="9"/>
        </w:numPr>
        <w:suppressAutoHyphens/>
        <w:spacing w:after="0" w:line="360" w:lineRule="auto"/>
        <w:jc w:val="both"/>
        <w:rPr>
          <w:rFonts w:ascii="Arial" w:eastAsia="Times New Roman" w:hAnsi="Arial" w:cs="Arial"/>
          <w:sz w:val="24"/>
          <w:szCs w:val="24"/>
          <w:lang w:eastAsia="es-UY"/>
        </w:rPr>
      </w:pPr>
      <w:r w:rsidRPr="00AB2559">
        <w:rPr>
          <w:rFonts w:ascii="Arial" w:eastAsia="Times New Roman" w:hAnsi="Arial" w:cs="Arial"/>
          <w:sz w:val="24"/>
          <w:szCs w:val="24"/>
          <w:lang w:val="es-ES" w:eastAsia="zh-CN"/>
        </w:rPr>
        <w:t>No se calculan y con</w:t>
      </w:r>
      <w:r>
        <w:rPr>
          <w:rFonts w:ascii="Arial" w:eastAsia="Times New Roman" w:hAnsi="Arial" w:cs="Arial"/>
          <w:sz w:val="24"/>
          <w:szCs w:val="24"/>
          <w:lang w:val="es-ES" w:eastAsia="zh-CN"/>
        </w:rPr>
        <w:t>tabilizan a fecha de cierre de E</w:t>
      </w:r>
      <w:r w:rsidRPr="00AB2559">
        <w:rPr>
          <w:rFonts w:ascii="Arial" w:eastAsia="Times New Roman" w:hAnsi="Arial" w:cs="Arial"/>
          <w:sz w:val="24"/>
          <w:szCs w:val="24"/>
          <w:lang w:val="es-ES" w:eastAsia="zh-CN"/>
        </w:rPr>
        <w:t>jercicio los recargos de los convenios de facilidades de pago.</w:t>
      </w:r>
    </w:p>
    <w:p w:rsidR="00916F0C" w:rsidRPr="00AB2559" w:rsidRDefault="00916F0C" w:rsidP="00916F0C">
      <w:pPr>
        <w:widowControl w:val="0"/>
        <w:numPr>
          <w:ilvl w:val="0"/>
          <w:numId w:val="9"/>
        </w:numPr>
        <w:suppressAutoHyphens/>
        <w:spacing w:after="0" w:line="360" w:lineRule="auto"/>
        <w:jc w:val="both"/>
        <w:rPr>
          <w:rFonts w:ascii="Arial" w:eastAsia="Times New Roman" w:hAnsi="Arial" w:cs="Arial"/>
          <w:sz w:val="24"/>
          <w:szCs w:val="24"/>
          <w:lang w:eastAsia="es-UY"/>
        </w:rPr>
      </w:pPr>
      <w:r w:rsidRPr="00AB2559">
        <w:rPr>
          <w:rFonts w:ascii="Arial" w:eastAsia="Times New Roman" w:hAnsi="Arial" w:cs="Arial"/>
          <w:sz w:val="24"/>
          <w:szCs w:val="24"/>
          <w:lang w:val="es-ES" w:eastAsia="zh-CN"/>
        </w:rPr>
        <w:t>No se contabilizan los recargos correspondientes a lo</w:t>
      </w:r>
      <w:r>
        <w:rPr>
          <w:rFonts w:ascii="Arial" w:eastAsia="Times New Roman" w:hAnsi="Arial" w:cs="Arial"/>
          <w:sz w:val="24"/>
          <w:szCs w:val="24"/>
          <w:lang w:val="es-ES" w:eastAsia="zh-CN"/>
        </w:rPr>
        <w:t>s avalúos a fecha de cierre de E</w:t>
      </w:r>
      <w:r w:rsidRPr="00AB2559">
        <w:rPr>
          <w:rFonts w:ascii="Arial" w:eastAsia="Times New Roman" w:hAnsi="Arial" w:cs="Arial"/>
          <w:sz w:val="24"/>
          <w:szCs w:val="24"/>
          <w:lang w:val="es-ES" w:eastAsia="zh-CN"/>
        </w:rPr>
        <w:t>jercicio.</w:t>
      </w:r>
    </w:p>
    <w:p w:rsidR="00916F0C" w:rsidRPr="00AB2559" w:rsidRDefault="00916F0C" w:rsidP="00916F0C">
      <w:pPr>
        <w:widowControl w:val="0"/>
        <w:numPr>
          <w:ilvl w:val="0"/>
          <w:numId w:val="9"/>
        </w:numPr>
        <w:suppressAutoHyphens/>
        <w:spacing w:after="0" w:line="360" w:lineRule="auto"/>
        <w:jc w:val="both"/>
        <w:rPr>
          <w:rFonts w:ascii="Arial" w:eastAsia="Times New Roman" w:hAnsi="Arial" w:cs="Arial"/>
          <w:sz w:val="24"/>
          <w:szCs w:val="24"/>
          <w:lang w:eastAsia="es-UY"/>
        </w:rPr>
      </w:pPr>
      <w:r w:rsidRPr="00AB2559">
        <w:rPr>
          <w:rFonts w:ascii="Arial" w:eastAsia="Calibri" w:hAnsi="Arial" w:cs="Arial"/>
          <w:bCs/>
          <w:color w:val="00000A"/>
          <w:sz w:val="24"/>
          <w:szCs w:val="24"/>
          <w:lang w:val="es-ES"/>
        </w:rPr>
        <w:t>No se exponen por separado en el activo de los estados financieros el FONASA de los convenios de pagos y avalúos.</w:t>
      </w:r>
    </w:p>
    <w:p w:rsidR="00916F0C" w:rsidRPr="00AB2559" w:rsidRDefault="00916F0C" w:rsidP="00916F0C">
      <w:pPr>
        <w:widowControl w:val="0"/>
        <w:numPr>
          <w:ilvl w:val="0"/>
          <w:numId w:val="9"/>
        </w:numPr>
        <w:suppressAutoHyphens/>
        <w:spacing w:after="0" w:line="360" w:lineRule="auto"/>
        <w:jc w:val="both"/>
        <w:rPr>
          <w:rFonts w:ascii="Arial" w:eastAsia="Times New Roman" w:hAnsi="Arial" w:cs="Arial"/>
          <w:sz w:val="24"/>
          <w:szCs w:val="24"/>
          <w:lang w:eastAsia="es-UY"/>
        </w:rPr>
      </w:pPr>
      <w:r w:rsidRPr="00AB2559">
        <w:rPr>
          <w:rFonts w:ascii="Arial" w:eastAsia="Times New Roman" w:hAnsi="Arial" w:cs="Arial"/>
          <w:sz w:val="24"/>
          <w:szCs w:val="24"/>
          <w:lang w:val="es-ES" w:eastAsia="zh-CN"/>
        </w:rPr>
        <w:t>No se realizan informes de recepción de bienes o servicios en todas las compras, y no se controla la correlatividad numérica de los mismos</w:t>
      </w:r>
      <w:r>
        <w:rPr>
          <w:rFonts w:ascii="Arial" w:eastAsia="Times New Roman" w:hAnsi="Arial" w:cs="Arial"/>
          <w:sz w:val="24"/>
          <w:szCs w:val="24"/>
          <w:lang w:val="es-ES" w:eastAsia="zh-CN"/>
        </w:rPr>
        <w:t>.</w:t>
      </w:r>
    </w:p>
    <w:p w:rsidR="00916F0C" w:rsidRPr="00AB2559" w:rsidRDefault="00916F0C" w:rsidP="00916F0C">
      <w:pPr>
        <w:widowControl w:val="0"/>
        <w:numPr>
          <w:ilvl w:val="0"/>
          <w:numId w:val="9"/>
        </w:numPr>
        <w:suppressAutoHyphens/>
        <w:spacing w:after="0" w:line="360" w:lineRule="auto"/>
        <w:jc w:val="both"/>
        <w:rPr>
          <w:rFonts w:ascii="Arial" w:eastAsia="Times New Roman" w:hAnsi="Arial" w:cs="Arial"/>
          <w:sz w:val="24"/>
          <w:szCs w:val="24"/>
          <w:lang w:eastAsia="es-UY"/>
        </w:rPr>
      </w:pPr>
      <w:r w:rsidRPr="00AB2559">
        <w:rPr>
          <w:rFonts w:ascii="Arial" w:eastAsia="Times New Roman" w:hAnsi="Arial" w:cs="Arial"/>
          <w:sz w:val="24"/>
          <w:szCs w:val="24"/>
          <w:lang w:val="es-ES" w:eastAsia="zh-CN"/>
        </w:rPr>
        <w:t>No se establecen procedimientos de control con relación al rubro “Afiliados Deudores Pagos Indebidos Prestaciones”, a efectos de detectar posibles errores.</w:t>
      </w:r>
    </w:p>
    <w:p w:rsidR="00916F0C" w:rsidRPr="00AB2559" w:rsidRDefault="00916F0C" w:rsidP="00916F0C">
      <w:pPr>
        <w:widowControl w:val="0"/>
        <w:numPr>
          <w:ilvl w:val="0"/>
          <w:numId w:val="9"/>
        </w:numPr>
        <w:suppressAutoHyphens/>
        <w:spacing w:after="0" w:line="360" w:lineRule="auto"/>
        <w:jc w:val="both"/>
        <w:rPr>
          <w:rFonts w:ascii="Arial" w:eastAsia="Times New Roman" w:hAnsi="Arial" w:cs="Arial"/>
          <w:sz w:val="24"/>
          <w:szCs w:val="24"/>
          <w:lang w:eastAsia="es-UY"/>
        </w:rPr>
      </w:pPr>
      <w:r w:rsidRPr="00AB2559">
        <w:rPr>
          <w:rFonts w:ascii="Arial" w:eastAsia="Times New Roman" w:hAnsi="Arial" w:cs="Arial"/>
          <w:sz w:val="24"/>
          <w:szCs w:val="24"/>
          <w:lang w:val="es-ES" w:eastAsia="zh-CN"/>
        </w:rPr>
        <w:t>No se realizan recuentos físicos de bienes de uso.</w:t>
      </w:r>
    </w:p>
    <w:p w:rsidR="00916F0C" w:rsidRPr="00AB2559" w:rsidRDefault="00916F0C" w:rsidP="00916F0C">
      <w:pPr>
        <w:widowControl w:val="0"/>
        <w:numPr>
          <w:ilvl w:val="0"/>
          <w:numId w:val="9"/>
        </w:numPr>
        <w:suppressAutoHyphens/>
        <w:spacing w:after="0" w:line="360" w:lineRule="auto"/>
        <w:jc w:val="both"/>
        <w:rPr>
          <w:rFonts w:ascii="Arial" w:eastAsia="Times New Roman" w:hAnsi="Arial" w:cs="Arial"/>
          <w:sz w:val="24"/>
          <w:szCs w:val="24"/>
          <w:lang w:eastAsia="es-UY"/>
        </w:rPr>
      </w:pPr>
      <w:r w:rsidRPr="00AB2559">
        <w:rPr>
          <w:rFonts w:ascii="Arial" w:eastAsia="Times New Roman" w:hAnsi="Arial" w:cs="Arial"/>
          <w:bCs/>
          <w:sz w:val="24"/>
          <w:szCs w:val="24"/>
          <w:lang w:val="es-ES" w:eastAsia="zh-CN"/>
        </w:rPr>
        <w:t>No se obtiene información necesaria relativa a los juicios en trámite a efectos de determinar un procedimiento más adecuado para la estimación de las previsiones.</w:t>
      </w:r>
    </w:p>
    <w:p w:rsidR="00916F0C" w:rsidRPr="00AB2559" w:rsidRDefault="00916F0C" w:rsidP="00916F0C">
      <w:pPr>
        <w:widowControl w:val="0"/>
        <w:numPr>
          <w:ilvl w:val="0"/>
          <w:numId w:val="9"/>
        </w:numPr>
        <w:suppressAutoHyphens/>
        <w:spacing w:after="0" w:line="360" w:lineRule="auto"/>
        <w:jc w:val="both"/>
        <w:rPr>
          <w:rFonts w:ascii="Arial" w:eastAsia="Times New Roman" w:hAnsi="Arial" w:cs="Arial"/>
          <w:sz w:val="24"/>
          <w:szCs w:val="24"/>
          <w:lang w:eastAsia="es-UY"/>
        </w:rPr>
      </w:pPr>
      <w:r w:rsidRPr="00AB2559">
        <w:rPr>
          <w:rFonts w:ascii="Arial" w:eastAsia="Times New Roman" w:hAnsi="Arial" w:cs="Arial"/>
          <w:sz w:val="24"/>
          <w:szCs w:val="24"/>
          <w:lang w:val="es-ES" w:eastAsia="zh-CN"/>
        </w:rPr>
        <w:t>Se observaron gastos por falta de disponibil</w:t>
      </w:r>
      <w:r>
        <w:rPr>
          <w:rFonts w:ascii="Arial" w:eastAsia="Times New Roman" w:hAnsi="Arial" w:cs="Arial"/>
          <w:sz w:val="24"/>
          <w:szCs w:val="24"/>
          <w:lang w:val="es-ES" w:eastAsia="zh-CN"/>
        </w:rPr>
        <w:t>idad, no dando cumplimiento al A</w:t>
      </w:r>
      <w:r w:rsidRPr="00AB2559">
        <w:rPr>
          <w:rFonts w:ascii="Arial" w:eastAsia="Times New Roman" w:hAnsi="Arial" w:cs="Arial"/>
          <w:sz w:val="24"/>
          <w:szCs w:val="24"/>
          <w:lang w:val="es-ES" w:eastAsia="zh-CN"/>
        </w:rPr>
        <w:t>rtículo N° 15 del TOCAF.</w:t>
      </w:r>
    </w:p>
    <w:p w:rsidR="00916F0C" w:rsidRDefault="00916F0C" w:rsidP="00AB2559">
      <w:pPr>
        <w:widowControl w:val="0"/>
        <w:suppressAutoHyphens/>
        <w:spacing w:after="0" w:line="360" w:lineRule="auto"/>
        <w:jc w:val="both"/>
        <w:rPr>
          <w:rFonts w:ascii="Arial" w:eastAsia="Times New Roman" w:hAnsi="Arial" w:cs="Arial"/>
          <w:b/>
          <w:bCs/>
          <w:sz w:val="24"/>
          <w:szCs w:val="24"/>
          <w:lang w:val="es-ES" w:eastAsia="zh-CN"/>
        </w:rPr>
      </w:pPr>
    </w:p>
    <w:p w:rsidR="00916F0C" w:rsidRPr="00AB2559" w:rsidRDefault="00916F0C" w:rsidP="00AB2559">
      <w:pPr>
        <w:widowControl w:val="0"/>
        <w:suppressAutoHyphens/>
        <w:spacing w:after="0" w:line="360" w:lineRule="auto"/>
        <w:jc w:val="both"/>
        <w:rPr>
          <w:rFonts w:ascii="Arial" w:eastAsia="Times New Roman" w:hAnsi="Arial" w:cs="Arial"/>
          <w:sz w:val="24"/>
          <w:szCs w:val="24"/>
          <w:lang w:val="es-ES" w:eastAsia="zh-CN"/>
        </w:rPr>
      </w:pPr>
      <w:r w:rsidRPr="00AB2559">
        <w:rPr>
          <w:rFonts w:ascii="Arial" w:eastAsia="Times New Roman" w:hAnsi="Arial" w:cs="Arial"/>
          <w:b/>
          <w:bCs/>
          <w:sz w:val="24"/>
          <w:szCs w:val="24"/>
          <w:lang w:val="es-ES" w:eastAsia="zh-CN"/>
        </w:rPr>
        <w:t>2</w:t>
      </w:r>
      <w:r>
        <w:rPr>
          <w:rFonts w:ascii="Arial" w:eastAsia="Times New Roman" w:hAnsi="Arial" w:cs="Arial"/>
          <w:b/>
          <w:bCs/>
          <w:sz w:val="24"/>
          <w:szCs w:val="24"/>
          <w:lang w:val="es-ES" w:eastAsia="zh-CN"/>
        </w:rPr>
        <w:t>) Recomendaciones del presente E</w:t>
      </w:r>
      <w:r w:rsidR="00262DD1">
        <w:rPr>
          <w:rFonts w:ascii="Arial" w:eastAsia="Times New Roman" w:hAnsi="Arial" w:cs="Arial"/>
          <w:b/>
          <w:bCs/>
          <w:sz w:val="24"/>
          <w:szCs w:val="24"/>
          <w:lang w:val="es-ES" w:eastAsia="zh-CN"/>
        </w:rPr>
        <w:t>jercicio</w:t>
      </w:r>
    </w:p>
    <w:p w:rsidR="00916F0C" w:rsidRPr="00AB2559" w:rsidRDefault="00916F0C" w:rsidP="00AB2559">
      <w:pPr>
        <w:widowControl w:val="0"/>
        <w:suppressAutoHyphens/>
        <w:spacing w:after="0" w:line="360" w:lineRule="auto"/>
        <w:jc w:val="both"/>
        <w:rPr>
          <w:rFonts w:ascii="Arial" w:eastAsia="Times New Roman" w:hAnsi="Arial" w:cs="Arial"/>
          <w:sz w:val="24"/>
          <w:szCs w:val="24"/>
          <w:lang w:val="es-ES" w:eastAsia="zh-CN"/>
        </w:rPr>
      </w:pPr>
      <w:r w:rsidRPr="00AB2559">
        <w:rPr>
          <w:rFonts w:ascii="Arial" w:eastAsia="Times New Roman" w:hAnsi="Arial" w:cs="Arial"/>
          <w:sz w:val="24"/>
          <w:szCs w:val="24"/>
          <w:lang w:val="es-ES" w:eastAsia="zh-CN"/>
        </w:rPr>
        <w:t>Se reiteran las r</w:t>
      </w:r>
      <w:r>
        <w:rPr>
          <w:rFonts w:ascii="Arial" w:eastAsia="Times New Roman" w:hAnsi="Arial" w:cs="Arial"/>
          <w:sz w:val="24"/>
          <w:szCs w:val="24"/>
          <w:lang w:val="es-ES" w:eastAsia="zh-CN"/>
        </w:rPr>
        <w:t>ecomendaciones no cumplidas de E</w:t>
      </w:r>
      <w:r w:rsidRPr="00AB2559">
        <w:rPr>
          <w:rFonts w:ascii="Arial" w:eastAsia="Times New Roman" w:hAnsi="Arial" w:cs="Arial"/>
          <w:sz w:val="24"/>
          <w:szCs w:val="24"/>
          <w:lang w:val="es-ES" w:eastAsia="zh-CN"/>
        </w:rPr>
        <w:t>jercicios anteriores y se formulan las siguientes:</w:t>
      </w:r>
    </w:p>
    <w:p w:rsidR="00916F0C" w:rsidRPr="00AB2559" w:rsidRDefault="00916F0C" w:rsidP="00916F0C">
      <w:pPr>
        <w:numPr>
          <w:ilvl w:val="0"/>
          <w:numId w:val="11"/>
        </w:numPr>
        <w:suppressAutoHyphens/>
        <w:spacing w:after="0" w:line="360" w:lineRule="auto"/>
        <w:jc w:val="both"/>
        <w:rPr>
          <w:rFonts w:ascii="Arial" w:eastAsia="Times New Roman" w:hAnsi="Arial" w:cs="Arial"/>
          <w:sz w:val="24"/>
          <w:szCs w:val="24"/>
          <w:lang w:val="es-ES" w:eastAsia="zh-CN"/>
        </w:rPr>
      </w:pPr>
      <w:r w:rsidRPr="00AB2559">
        <w:rPr>
          <w:rFonts w:ascii="Arial" w:eastAsia="Times New Roman" w:hAnsi="Arial" w:cs="Arial"/>
          <w:sz w:val="24"/>
          <w:szCs w:val="24"/>
          <w:lang w:val="es-ES" w:eastAsia="zh-CN"/>
        </w:rPr>
        <w:t>Presentar los Estados Financieros, dentro del plazo establecido en</w:t>
      </w:r>
      <w:r w:rsidRPr="00AB2559">
        <w:rPr>
          <w:rFonts w:ascii="Arial" w:eastAsia="Times New Roman" w:hAnsi="Arial" w:cs="Arial"/>
          <w:b/>
          <w:sz w:val="24"/>
          <w:szCs w:val="24"/>
          <w:lang w:val="es-ES" w:eastAsia="zh-CN"/>
        </w:rPr>
        <w:t xml:space="preserve"> </w:t>
      </w:r>
      <w:r w:rsidRPr="00AB2559">
        <w:rPr>
          <w:rFonts w:ascii="Arial" w:eastAsia="Times New Roman" w:hAnsi="Arial" w:cs="Arial"/>
          <w:sz w:val="24"/>
          <w:szCs w:val="24"/>
          <w:lang w:val="es-ES" w:eastAsia="zh-CN"/>
        </w:rPr>
        <w:t>la Ordenanza N°</w:t>
      </w:r>
      <w:r>
        <w:rPr>
          <w:rFonts w:ascii="Arial" w:eastAsia="Times New Roman" w:hAnsi="Arial" w:cs="Arial"/>
          <w:sz w:val="24"/>
          <w:szCs w:val="24"/>
          <w:lang w:val="es-ES" w:eastAsia="zh-CN"/>
        </w:rPr>
        <w:t xml:space="preserve"> </w:t>
      </w:r>
      <w:r w:rsidRPr="00AB2559">
        <w:rPr>
          <w:rFonts w:ascii="Arial" w:eastAsia="Times New Roman" w:hAnsi="Arial" w:cs="Arial"/>
          <w:sz w:val="24"/>
          <w:szCs w:val="24"/>
          <w:lang w:val="es-ES" w:eastAsia="zh-CN"/>
        </w:rPr>
        <w:t>89 y la Resolución del Tribunal de Cuentas N° 36/17.</w:t>
      </w:r>
    </w:p>
    <w:p w:rsidR="00916F0C" w:rsidRPr="00AB2559" w:rsidRDefault="00916F0C" w:rsidP="00916F0C">
      <w:pPr>
        <w:numPr>
          <w:ilvl w:val="0"/>
          <w:numId w:val="11"/>
        </w:numPr>
        <w:suppressAutoHyphens/>
        <w:spacing w:after="0" w:line="360" w:lineRule="auto"/>
        <w:jc w:val="both"/>
        <w:rPr>
          <w:rFonts w:ascii="Arial" w:eastAsia="Times New Roman" w:hAnsi="Arial" w:cs="Arial"/>
          <w:sz w:val="24"/>
          <w:szCs w:val="24"/>
          <w:lang w:val="es-ES" w:eastAsia="zh-CN"/>
        </w:rPr>
      </w:pPr>
      <w:r w:rsidRPr="00AB2559">
        <w:rPr>
          <w:rFonts w:ascii="Arial" w:eastAsia="Times New Roman" w:hAnsi="Arial" w:cs="Arial"/>
          <w:sz w:val="24"/>
          <w:szCs w:val="24"/>
          <w:lang w:val="es-ES" w:eastAsia="zh-CN"/>
        </w:rPr>
        <w:t>Verificar que los saldos expuestos en las notas a los estados financieros sean consistentes con los estados que los componen.</w:t>
      </w:r>
    </w:p>
    <w:p w:rsidR="00916F0C" w:rsidRPr="00AB2559" w:rsidRDefault="00916F0C" w:rsidP="00916F0C">
      <w:pPr>
        <w:numPr>
          <w:ilvl w:val="0"/>
          <w:numId w:val="11"/>
        </w:numPr>
        <w:suppressAutoHyphens/>
        <w:spacing w:after="0" w:line="360" w:lineRule="auto"/>
        <w:jc w:val="both"/>
        <w:rPr>
          <w:rFonts w:ascii="Arial" w:eastAsia="Times New Roman" w:hAnsi="Arial" w:cs="Arial"/>
          <w:sz w:val="24"/>
          <w:szCs w:val="24"/>
          <w:lang w:val="es-ES" w:eastAsia="zh-CN"/>
        </w:rPr>
      </w:pPr>
      <w:r w:rsidRPr="00AB2559">
        <w:rPr>
          <w:rFonts w:ascii="Arial" w:eastAsia="Times New Roman" w:hAnsi="Arial" w:cs="Arial"/>
          <w:sz w:val="24"/>
          <w:szCs w:val="24"/>
          <w:lang w:val="es-ES" w:eastAsia="zh-CN"/>
        </w:rPr>
        <w:t>Realizar los ajustes necesarios para exponer el rubro “</w:t>
      </w:r>
      <w:r w:rsidRPr="00AB2559">
        <w:rPr>
          <w:rFonts w:ascii="Arial" w:eastAsia="Times New Roman" w:hAnsi="Arial" w:cs="Arial"/>
          <w:bCs/>
          <w:sz w:val="24"/>
          <w:szCs w:val="24"/>
          <w:lang w:val="es-ES" w:eastAsia="zh-CN"/>
        </w:rPr>
        <w:t>Previsión Deudores Incobrables Préstamo Pasivos” por el importe correcto</w:t>
      </w:r>
      <w:r w:rsidRPr="00AB2559">
        <w:rPr>
          <w:rFonts w:ascii="Arial" w:eastAsia="Times New Roman" w:hAnsi="Arial" w:cs="Arial"/>
          <w:sz w:val="24"/>
          <w:szCs w:val="24"/>
          <w:lang w:val="es-ES" w:eastAsia="zh-CN"/>
        </w:rPr>
        <w:t>.</w:t>
      </w:r>
    </w:p>
    <w:p w:rsidR="00916F0C" w:rsidRPr="00AB2559" w:rsidRDefault="00916F0C" w:rsidP="00916F0C">
      <w:pPr>
        <w:numPr>
          <w:ilvl w:val="0"/>
          <w:numId w:val="11"/>
        </w:numPr>
        <w:suppressAutoHyphens/>
        <w:spacing w:after="0" w:line="360" w:lineRule="auto"/>
        <w:jc w:val="both"/>
        <w:rPr>
          <w:rFonts w:ascii="Arial" w:eastAsia="Times New Roman" w:hAnsi="Arial" w:cs="Arial"/>
          <w:sz w:val="24"/>
          <w:szCs w:val="24"/>
          <w:lang w:val="es-ES" w:eastAsia="zh-CN"/>
        </w:rPr>
      </w:pPr>
      <w:r w:rsidRPr="00AB2559">
        <w:rPr>
          <w:rFonts w:ascii="Arial" w:eastAsia="Times New Roman" w:hAnsi="Arial" w:cs="Arial"/>
          <w:sz w:val="24"/>
          <w:szCs w:val="24"/>
          <w:lang w:val="es-ES" w:eastAsia="zh-CN"/>
        </w:rPr>
        <w:t>Exponer por separado, en el activo de los estados financieros, los fondos de terceros como “</w:t>
      </w:r>
      <w:proofErr w:type="spellStart"/>
      <w:r w:rsidRPr="00AB2559">
        <w:rPr>
          <w:rFonts w:ascii="Arial" w:eastAsia="Times New Roman" w:hAnsi="Arial" w:cs="Arial"/>
          <w:sz w:val="24"/>
          <w:szCs w:val="24"/>
          <w:lang w:val="es-ES" w:eastAsia="zh-CN"/>
        </w:rPr>
        <w:t>Fonasa</w:t>
      </w:r>
      <w:proofErr w:type="spellEnd"/>
      <w:r w:rsidRPr="00AB2559">
        <w:rPr>
          <w:rFonts w:ascii="Arial" w:eastAsia="Times New Roman" w:hAnsi="Arial" w:cs="Arial"/>
          <w:sz w:val="24"/>
          <w:szCs w:val="24"/>
          <w:lang w:val="es-ES" w:eastAsia="zh-CN"/>
        </w:rPr>
        <w:t>”, “FRL”, “BSE” de los Convenios de Facilidades de pagos, Deudores por avalúos, y Declaraciones Juradas de No Pago.</w:t>
      </w:r>
    </w:p>
    <w:p w:rsidR="00916F0C" w:rsidRPr="00AB2559" w:rsidRDefault="00916F0C" w:rsidP="00916F0C">
      <w:pPr>
        <w:numPr>
          <w:ilvl w:val="0"/>
          <w:numId w:val="11"/>
        </w:numPr>
        <w:suppressAutoHyphens/>
        <w:spacing w:after="0" w:line="360" w:lineRule="auto"/>
        <w:jc w:val="both"/>
        <w:rPr>
          <w:rFonts w:ascii="Arial" w:eastAsia="Times New Roman" w:hAnsi="Arial" w:cs="Arial"/>
          <w:sz w:val="24"/>
          <w:szCs w:val="24"/>
          <w:lang w:val="es-ES" w:eastAsia="zh-CN"/>
        </w:rPr>
      </w:pPr>
      <w:r w:rsidRPr="00AB2559">
        <w:rPr>
          <w:rFonts w:ascii="Arial" w:eastAsia="Times New Roman" w:hAnsi="Arial" w:cs="Arial"/>
          <w:sz w:val="24"/>
          <w:szCs w:val="24"/>
          <w:lang w:val="es-ES" w:eastAsia="zh-CN"/>
        </w:rPr>
        <w:t>Separar la recaudación de los fondos de terceros como “</w:t>
      </w:r>
      <w:proofErr w:type="spellStart"/>
      <w:r w:rsidRPr="00AB2559">
        <w:rPr>
          <w:rFonts w:ascii="Arial" w:eastAsia="Times New Roman" w:hAnsi="Arial" w:cs="Arial"/>
          <w:sz w:val="24"/>
          <w:szCs w:val="24"/>
          <w:lang w:val="es-ES" w:eastAsia="zh-CN"/>
        </w:rPr>
        <w:t>Fonasa</w:t>
      </w:r>
      <w:proofErr w:type="spellEnd"/>
      <w:r w:rsidRPr="00AB2559">
        <w:rPr>
          <w:rFonts w:ascii="Arial" w:eastAsia="Times New Roman" w:hAnsi="Arial" w:cs="Arial"/>
          <w:sz w:val="24"/>
          <w:szCs w:val="24"/>
          <w:lang w:val="es-ES" w:eastAsia="zh-CN"/>
        </w:rPr>
        <w:t>”, “FRL” y “BSE” en el Estado de Resultados.</w:t>
      </w:r>
    </w:p>
    <w:p w:rsidR="00916F0C" w:rsidRPr="00AB2559" w:rsidRDefault="00916F0C" w:rsidP="00916F0C">
      <w:pPr>
        <w:numPr>
          <w:ilvl w:val="0"/>
          <w:numId w:val="11"/>
        </w:numPr>
        <w:suppressAutoHyphens/>
        <w:spacing w:after="0" w:line="360" w:lineRule="auto"/>
        <w:jc w:val="both"/>
        <w:rPr>
          <w:rFonts w:ascii="Arial" w:eastAsia="Times New Roman" w:hAnsi="Arial" w:cs="Arial"/>
          <w:sz w:val="24"/>
          <w:szCs w:val="24"/>
          <w:lang w:val="es-ES" w:eastAsia="zh-CN"/>
        </w:rPr>
      </w:pPr>
      <w:r w:rsidRPr="00AB2559">
        <w:rPr>
          <w:rFonts w:ascii="Arial" w:eastAsia="Times New Roman" w:hAnsi="Arial" w:cs="Arial"/>
          <w:sz w:val="24"/>
          <w:szCs w:val="24"/>
          <w:lang w:val="es-ES" w:eastAsia="zh-CN"/>
        </w:rPr>
        <w:t>Realiz</w:t>
      </w:r>
      <w:r>
        <w:rPr>
          <w:rFonts w:ascii="Arial" w:eastAsia="Times New Roman" w:hAnsi="Arial" w:cs="Arial"/>
          <w:sz w:val="24"/>
          <w:szCs w:val="24"/>
          <w:lang w:val="es-ES" w:eastAsia="zh-CN"/>
        </w:rPr>
        <w:t>ar las adecuaciones dentro del E</w:t>
      </w:r>
      <w:r w:rsidRPr="00AB2559">
        <w:rPr>
          <w:rFonts w:ascii="Arial" w:eastAsia="Times New Roman" w:hAnsi="Arial" w:cs="Arial"/>
          <w:sz w:val="24"/>
          <w:szCs w:val="24"/>
          <w:lang w:val="es-ES" w:eastAsia="zh-CN"/>
        </w:rPr>
        <w:t>jercicio correspondiente.</w:t>
      </w:r>
    </w:p>
    <w:p w:rsidR="00916F0C" w:rsidRPr="00AB2559" w:rsidRDefault="00916F0C" w:rsidP="00916F0C">
      <w:pPr>
        <w:numPr>
          <w:ilvl w:val="0"/>
          <w:numId w:val="11"/>
        </w:numPr>
        <w:suppressAutoHyphens/>
        <w:spacing w:after="0" w:line="360" w:lineRule="auto"/>
        <w:jc w:val="both"/>
        <w:rPr>
          <w:rFonts w:ascii="Arial" w:eastAsia="Times New Roman" w:hAnsi="Arial" w:cs="Arial"/>
          <w:sz w:val="24"/>
          <w:szCs w:val="24"/>
          <w:lang w:val="es-ES" w:eastAsia="zh-CN"/>
        </w:rPr>
      </w:pPr>
      <w:r w:rsidRPr="00AB2559">
        <w:rPr>
          <w:rFonts w:ascii="Arial" w:eastAsia="Times New Roman" w:hAnsi="Arial" w:cs="Arial"/>
          <w:sz w:val="24"/>
          <w:szCs w:val="24"/>
          <w:lang w:val="es-ES" w:eastAsia="zh-CN"/>
        </w:rPr>
        <w:t>No realizar adecuaciones sobre rubros no presupuestales.</w:t>
      </w:r>
    </w:p>
    <w:p w:rsidR="00916F0C" w:rsidRPr="00AB2559" w:rsidRDefault="00916F0C" w:rsidP="00916F0C">
      <w:pPr>
        <w:numPr>
          <w:ilvl w:val="0"/>
          <w:numId w:val="11"/>
        </w:numPr>
        <w:suppressAutoHyphens/>
        <w:spacing w:after="0" w:line="360" w:lineRule="auto"/>
        <w:jc w:val="both"/>
        <w:rPr>
          <w:rFonts w:ascii="Arial" w:eastAsia="Times New Roman" w:hAnsi="Arial" w:cs="Arial"/>
          <w:sz w:val="24"/>
          <w:szCs w:val="24"/>
          <w:lang w:val="es-ES" w:eastAsia="zh-CN"/>
        </w:rPr>
      </w:pPr>
      <w:r w:rsidRPr="00AB2559">
        <w:rPr>
          <w:rFonts w:ascii="Arial" w:eastAsia="Times New Roman" w:hAnsi="Arial" w:cs="Arial"/>
          <w:sz w:val="24"/>
          <w:szCs w:val="24"/>
          <w:lang w:val="es-ES" w:eastAsia="zh-CN"/>
        </w:rPr>
        <w:t xml:space="preserve">Incluir en notas todos los rubros relativos a las adecuaciones realizadas por </w:t>
      </w:r>
      <w:r>
        <w:rPr>
          <w:rFonts w:ascii="Arial" w:eastAsia="Times New Roman" w:hAnsi="Arial" w:cs="Arial"/>
          <w:sz w:val="24"/>
          <w:szCs w:val="24"/>
          <w:lang w:val="es-ES" w:eastAsia="zh-CN"/>
        </w:rPr>
        <w:t>A</w:t>
      </w:r>
      <w:r w:rsidRPr="00AB2559">
        <w:rPr>
          <w:rFonts w:ascii="Arial" w:eastAsia="Times New Roman" w:hAnsi="Arial" w:cs="Arial"/>
          <w:sz w:val="24"/>
          <w:szCs w:val="24"/>
          <w:lang w:val="es-ES" w:eastAsia="zh-CN"/>
        </w:rPr>
        <w:t>rticulo N° 57 del Presupuesto 2017.</w:t>
      </w:r>
    </w:p>
    <w:p w:rsidR="00916F0C" w:rsidRPr="00AB2559" w:rsidRDefault="00916F0C" w:rsidP="00916F0C">
      <w:pPr>
        <w:numPr>
          <w:ilvl w:val="0"/>
          <w:numId w:val="11"/>
        </w:numPr>
        <w:suppressAutoHyphens/>
        <w:spacing w:after="0" w:line="360" w:lineRule="auto"/>
        <w:jc w:val="both"/>
        <w:rPr>
          <w:rFonts w:ascii="Arial" w:eastAsia="Times New Roman" w:hAnsi="Arial" w:cs="Arial"/>
          <w:sz w:val="24"/>
          <w:szCs w:val="24"/>
          <w:lang w:val="es-ES" w:eastAsia="zh-CN"/>
        </w:rPr>
      </w:pPr>
      <w:r w:rsidRPr="00AB2559">
        <w:rPr>
          <w:rFonts w:ascii="Arial" w:eastAsia="Times New Roman" w:hAnsi="Arial" w:cs="Arial"/>
          <w:sz w:val="24"/>
          <w:szCs w:val="24"/>
          <w:lang w:val="es-ES" w:eastAsia="zh-CN"/>
        </w:rPr>
        <w:t xml:space="preserve">Dar cumplimiento a lo establecido en la Ordenanza N° 85 </w:t>
      </w:r>
      <w:r>
        <w:rPr>
          <w:rFonts w:ascii="Arial" w:eastAsia="Times New Roman" w:hAnsi="Arial" w:cs="Arial"/>
          <w:sz w:val="24"/>
          <w:szCs w:val="24"/>
          <w:lang w:val="es-ES" w:eastAsia="zh-CN"/>
        </w:rPr>
        <w:t xml:space="preserve">comunicando la totalidad de las </w:t>
      </w:r>
      <w:r w:rsidRPr="00AB2559">
        <w:rPr>
          <w:rFonts w:ascii="Arial" w:eastAsia="Times New Roman" w:hAnsi="Arial" w:cs="Arial"/>
          <w:sz w:val="24"/>
          <w:szCs w:val="24"/>
          <w:lang w:val="es-ES" w:eastAsia="zh-CN"/>
        </w:rPr>
        <w:t>sentencias</w:t>
      </w:r>
      <w:r>
        <w:rPr>
          <w:rFonts w:ascii="Arial" w:eastAsia="Times New Roman" w:hAnsi="Arial" w:cs="Arial"/>
          <w:sz w:val="24"/>
          <w:szCs w:val="24"/>
          <w:lang w:val="es-ES" w:eastAsia="zh-CN"/>
        </w:rPr>
        <w:t xml:space="preserve"> condenatorias al pago de indemnizaciones por Responsabilidad Civil al Tribunal de Cuentas</w:t>
      </w:r>
      <w:r w:rsidRPr="00AB2559">
        <w:rPr>
          <w:rFonts w:ascii="Arial" w:eastAsia="Times New Roman" w:hAnsi="Arial" w:cs="Arial"/>
          <w:sz w:val="24"/>
          <w:szCs w:val="24"/>
          <w:lang w:val="es-ES" w:eastAsia="zh-CN"/>
        </w:rPr>
        <w:t>.</w:t>
      </w:r>
    </w:p>
    <w:p w:rsidR="00916F0C" w:rsidRPr="00AB2559" w:rsidRDefault="00916F0C" w:rsidP="00AB2559">
      <w:pPr>
        <w:widowControl w:val="0"/>
        <w:suppressAutoHyphens/>
        <w:spacing w:after="0" w:line="360" w:lineRule="auto"/>
        <w:jc w:val="right"/>
        <w:rPr>
          <w:rFonts w:ascii="Arial" w:eastAsia="Times New Roman" w:hAnsi="Arial" w:cs="Arial"/>
          <w:sz w:val="24"/>
          <w:szCs w:val="24"/>
          <w:lang w:val="es-MX" w:eastAsia="zh-CN"/>
        </w:rPr>
      </w:pPr>
      <w:r w:rsidRPr="00AB2559">
        <w:rPr>
          <w:rFonts w:ascii="Arial" w:eastAsia="Times New Roman" w:hAnsi="Arial" w:cs="Arial"/>
          <w:sz w:val="24"/>
          <w:szCs w:val="24"/>
          <w:lang w:val="es-MX" w:eastAsia="zh-CN"/>
        </w:rPr>
        <w:t>Montevideo, 05 de octubre de 2018</w:t>
      </w:r>
    </w:p>
    <w:p w:rsidR="00916F0C" w:rsidRPr="00AB2559" w:rsidRDefault="00916F0C" w:rsidP="00AB2559">
      <w:pPr>
        <w:widowControl w:val="0"/>
        <w:tabs>
          <w:tab w:val="left" w:pos="-720"/>
          <w:tab w:val="left" w:pos="5070"/>
        </w:tabs>
        <w:suppressAutoHyphens/>
        <w:spacing w:after="0" w:line="240" w:lineRule="auto"/>
        <w:rPr>
          <w:rFonts w:ascii="Arial" w:eastAsia="Times New Roman" w:hAnsi="Arial" w:cs="Arial"/>
          <w:bCs/>
          <w:spacing w:val="-3"/>
          <w:sz w:val="20"/>
          <w:szCs w:val="20"/>
          <w:lang w:val="es-ES_tradnl" w:eastAsia="zh-CN"/>
        </w:rPr>
      </w:pPr>
    </w:p>
    <w:p w:rsidR="00916F0C" w:rsidRDefault="00916F0C"/>
    <w:p w:rsidR="00916F0C" w:rsidRDefault="00916F0C"/>
    <w:p w:rsidR="00916F0C" w:rsidRDefault="00916F0C"/>
    <w:p w:rsidR="00916F0C" w:rsidRPr="00AB2559" w:rsidRDefault="00916F0C" w:rsidP="00AB2559">
      <w:pPr>
        <w:ind w:hanging="426"/>
        <w:rPr>
          <w:rFonts w:ascii="Arial" w:hAnsi="Arial" w:cs="Arial"/>
          <w:sz w:val="24"/>
          <w:szCs w:val="24"/>
        </w:rPr>
      </w:pPr>
      <w:proofErr w:type="gramStart"/>
      <w:r w:rsidRPr="00AB2559">
        <w:rPr>
          <w:rFonts w:ascii="Arial" w:hAnsi="Arial" w:cs="Arial"/>
          <w:sz w:val="24"/>
          <w:szCs w:val="24"/>
        </w:rPr>
        <w:t>dc</w:t>
      </w:r>
      <w:proofErr w:type="gramEnd"/>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916F0C" w:rsidRDefault="00916F0C" w:rsidP="000A0F02">
      <w:pPr>
        <w:spacing w:after="0" w:line="360" w:lineRule="auto"/>
      </w:pPr>
    </w:p>
    <w:p w:rsidR="00262DD1" w:rsidRDefault="00262DD1" w:rsidP="000A0F02">
      <w:pPr>
        <w:spacing w:after="0" w:line="360" w:lineRule="auto"/>
      </w:pPr>
    </w:p>
    <w:p w:rsidR="00916F0C" w:rsidRPr="00916F0C" w:rsidRDefault="00916F0C" w:rsidP="00BA553B">
      <w:pPr>
        <w:jc w:val="right"/>
        <w:rPr>
          <w:rFonts w:ascii="Arial" w:hAnsi="Arial" w:cs="Arial"/>
          <w:sz w:val="24"/>
          <w:szCs w:val="24"/>
        </w:rPr>
      </w:pPr>
      <w:r w:rsidRPr="00916F0C">
        <w:rPr>
          <w:rFonts w:ascii="Arial" w:hAnsi="Arial" w:cs="Arial"/>
          <w:sz w:val="24"/>
          <w:szCs w:val="24"/>
        </w:rPr>
        <w:t>Montevideo, 20 de noviembre de 2018.-</w:t>
      </w:r>
    </w:p>
    <w:p w:rsidR="00916F0C" w:rsidRPr="00916F0C" w:rsidRDefault="00916F0C">
      <w:pPr>
        <w:jc w:val="center"/>
        <w:rPr>
          <w:rFonts w:ascii="Arial" w:hAnsi="Arial" w:cs="Arial"/>
          <w:sz w:val="24"/>
          <w:szCs w:val="24"/>
        </w:rPr>
      </w:pPr>
    </w:p>
    <w:p w:rsidR="00916F0C" w:rsidRPr="00916F0C" w:rsidRDefault="00916F0C" w:rsidP="00916F0C">
      <w:pPr>
        <w:spacing w:line="240" w:lineRule="auto"/>
        <w:rPr>
          <w:rFonts w:ascii="Arial" w:hAnsi="Arial" w:cs="Arial"/>
          <w:sz w:val="24"/>
          <w:szCs w:val="24"/>
        </w:rPr>
      </w:pPr>
      <w:r w:rsidRPr="00916F0C">
        <w:rPr>
          <w:rFonts w:ascii="Arial" w:hAnsi="Arial" w:cs="Arial"/>
          <w:sz w:val="24"/>
          <w:szCs w:val="24"/>
        </w:rPr>
        <w:t xml:space="preserve">Señor </w:t>
      </w:r>
    </w:p>
    <w:p w:rsidR="00916F0C" w:rsidRPr="00916F0C" w:rsidRDefault="00916F0C" w:rsidP="00916F0C">
      <w:pPr>
        <w:spacing w:line="240" w:lineRule="auto"/>
        <w:rPr>
          <w:rFonts w:ascii="Arial" w:hAnsi="Arial" w:cs="Arial"/>
          <w:sz w:val="24"/>
          <w:szCs w:val="24"/>
        </w:rPr>
      </w:pPr>
      <w:r w:rsidRPr="00916F0C">
        <w:rPr>
          <w:rFonts w:ascii="Arial" w:hAnsi="Arial" w:cs="Arial"/>
          <w:sz w:val="24"/>
          <w:szCs w:val="24"/>
        </w:rPr>
        <w:t>Presidente del Servicio de</w:t>
      </w:r>
    </w:p>
    <w:p w:rsidR="00916F0C" w:rsidRPr="00916F0C" w:rsidRDefault="00916F0C" w:rsidP="00916F0C">
      <w:pPr>
        <w:spacing w:line="240" w:lineRule="auto"/>
        <w:rPr>
          <w:rFonts w:ascii="Arial" w:hAnsi="Arial" w:cs="Arial"/>
          <w:sz w:val="24"/>
          <w:szCs w:val="24"/>
        </w:rPr>
      </w:pPr>
      <w:r w:rsidRPr="00916F0C">
        <w:rPr>
          <w:rFonts w:ascii="Arial" w:hAnsi="Arial" w:cs="Arial"/>
          <w:sz w:val="24"/>
          <w:szCs w:val="24"/>
        </w:rPr>
        <w:t>Comunicación Audiovisual Nacional (SECAN)</w:t>
      </w:r>
    </w:p>
    <w:p w:rsidR="00916F0C" w:rsidRDefault="00916F0C" w:rsidP="00916F0C">
      <w:pPr>
        <w:widowControl w:val="0"/>
        <w:spacing w:line="240" w:lineRule="auto"/>
        <w:jc w:val="both"/>
        <w:rPr>
          <w:rFonts w:ascii="Arial" w:hAnsi="Arial" w:cs="Arial"/>
          <w:sz w:val="24"/>
          <w:szCs w:val="24"/>
        </w:rPr>
      </w:pPr>
      <w:r w:rsidRPr="00916F0C">
        <w:rPr>
          <w:rFonts w:ascii="Arial" w:hAnsi="Arial" w:cs="Arial"/>
          <w:sz w:val="24"/>
          <w:szCs w:val="24"/>
        </w:rPr>
        <w:t xml:space="preserve">Ernesto </w:t>
      </w:r>
      <w:proofErr w:type="spellStart"/>
      <w:r w:rsidRPr="00916F0C">
        <w:rPr>
          <w:rFonts w:ascii="Arial" w:hAnsi="Arial" w:cs="Arial"/>
          <w:sz w:val="24"/>
          <w:szCs w:val="24"/>
        </w:rPr>
        <w:t>Kreimerman</w:t>
      </w:r>
      <w:proofErr w:type="spellEnd"/>
    </w:p>
    <w:p w:rsidR="00916F0C" w:rsidRPr="00916F0C" w:rsidRDefault="00916F0C" w:rsidP="00916F0C">
      <w:pPr>
        <w:widowControl w:val="0"/>
        <w:spacing w:line="240" w:lineRule="auto"/>
        <w:jc w:val="both"/>
        <w:rPr>
          <w:rFonts w:ascii="Arial" w:hAnsi="Arial" w:cs="Arial"/>
          <w:sz w:val="24"/>
          <w:szCs w:val="24"/>
        </w:rPr>
      </w:pPr>
    </w:p>
    <w:p w:rsidR="00916F0C" w:rsidRPr="00916F0C" w:rsidRDefault="00916F0C" w:rsidP="00916F0C">
      <w:pPr>
        <w:widowControl w:val="0"/>
        <w:spacing w:line="240" w:lineRule="auto"/>
        <w:jc w:val="right"/>
        <w:rPr>
          <w:rFonts w:ascii="Arial" w:hAnsi="Arial" w:cs="Arial"/>
          <w:sz w:val="24"/>
          <w:szCs w:val="24"/>
        </w:rPr>
      </w:pPr>
      <w:r w:rsidRPr="00916F0C">
        <w:rPr>
          <w:rFonts w:ascii="Arial" w:hAnsi="Arial" w:cs="Arial"/>
          <w:sz w:val="24"/>
          <w:szCs w:val="24"/>
        </w:rPr>
        <w:t>E.</w:t>
      </w:r>
      <w:r w:rsidR="00262DD1">
        <w:rPr>
          <w:rFonts w:ascii="Arial" w:hAnsi="Arial" w:cs="Arial"/>
          <w:sz w:val="24"/>
          <w:szCs w:val="24"/>
        </w:rPr>
        <w:t xml:space="preserve"> </w:t>
      </w:r>
      <w:r w:rsidRPr="00916F0C">
        <w:rPr>
          <w:rFonts w:ascii="Arial" w:hAnsi="Arial" w:cs="Arial"/>
          <w:sz w:val="24"/>
          <w:szCs w:val="24"/>
        </w:rPr>
        <w:t>E.</w:t>
      </w:r>
      <w:r w:rsidR="00262DD1">
        <w:rPr>
          <w:rFonts w:ascii="Arial" w:hAnsi="Arial" w:cs="Arial"/>
          <w:sz w:val="24"/>
          <w:szCs w:val="24"/>
        </w:rPr>
        <w:t xml:space="preserve"> </w:t>
      </w:r>
      <w:r w:rsidRPr="00916F0C">
        <w:rPr>
          <w:rFonts w:ascii="Arial" w:hAnsi="Arial" w:cs="Arial"/>
          <w:sz w:val="24"/>
          <w:szCs w:val="24"/>
        </w:rPr>
        <w:t>2018-17-1-0002619</w:t>
      </w:r>
    </w:p>
    <w:p w:rsidR="00916F0C" w:rsidRPr="00916F0C" w:rsidRDefault="00916F0C" w:rsidP="00916F0C">
      <w:pPr>
        <w:widowControl w:val="0"/>
        <w:tabs>
          <w:tab w:val="left" w:pos="3780"/>
          <w:tab w:val="right" w:pos="8504"/>
        </w:tabs>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Pr="00916F0C">
        <w:rPr>
          <w:rFonts w:ascii="Arial" w:hAnsi="Arial" w:cs="Arial"/>
          <w:sz w:val="24"/>
          <w:szCs w:val="24"/>
        </w:rPr>
        <w:t>Entradas 2223/18 y 3623/18</w:t>
      </w:r>
    </w:p>
    <w:p w:rsidR="00916F0C" w:rsidRDefault="00916F0C" w:rsidP="00916F0C">
      <w:pPr>
        <w:widowControl w:val="0"/>
        <w:spacing w:line="240" w:lineRule="auto"/>
        <w:jc w:val="right"/>
        <w:rPr>
          <w:rFonts w:ascii="Arial" w:hAnsi="Arial" w:cs="Arial"/>
          <w:sz w:val="24"/>
          <w:szCs w:val="24"/>
        </w:rPr>
      </w:pPr>
      <w:r w:rsidRPr="00916F0C">
        <w:rPr>
          <w:rFonts w:ascii="Arial" w:hAnsi="Arial" w:cs="Arial"/>
          <w:sz w:val="24"/>
          <w:szCs w:val="24"/>
        </w:rPr>
        <w:t>Oficio 8046/18</w:t>
      </w:r>
    </w:p>
    <w:p w:rsidR="00262DD1" w:rsidRPr="00916F0C" w:rsidRDefault="00262DD1" w:rsidP="00916F0C">
      <w:pPr>
        <w:widowControl w:val="0"/>
        <w:spacing w:line="240" w:lineRule="auto"/>
        <w:jc w:val="right"/>
        <w:rPr>
          <w:rFonts w:ascii="Arial" w:hAnsi="Arial" w:cs="Arial"/>
          <w:sz w:val="24"/>
          <w:szCs w:val="24"/>
        </w:rPr>
      </w:pPr>
    </w:p>
    <w:p w:rsidR="00916F0C" w:rsidRPr="00916F0C" w:rsidRDefault="00916F0C" w:rsidP="00BA553B">
      <w:pPr>
        <w:spacing w:line="360" w:lineRule="auto"/>
        <w:ind w:firstLine="851"/>
        <w:jc w:val="both"/>
        <w:rPr>
          <w:rFonts w:ascii="Arial" w:hAnsi="Arial" w:cs="Arial"/>
          <w:sz w:val="24"/>
          <w:szCs w:val="24"/>
        </w:rPr>
      </w:pPr>
      <w:r w:rsidRPr="00916F0C">
        <w:rPr>
          <w:rFonts w:ascii="Arial" w:hAnsi="Arial" w:cs="Arial"/>
          <w:sz w:val="24"/>
          <w:szCs w:val="24"/>
        </w:rPr>
        <w:t>Este Tribunal, en oportunidad de dictaminar sobre la Rendición de Cuentas y el Balance de Ejecución Presupuestal correspondiente al Ejercicio 2017 del Banco de Previsión Social, ha analizado el cumplimiento por parte del Organismo de los Artículos 17 de la Ley Nº 17.904 de 07/10/05 y 226 de la Ley  N° 18.172 de 31/08/07.</w:t>
      </w:r>
    </w:p>
    <w:p w:rsidR="00916F0C" w:rsidRPr="00916F0C" w:rsidRDefault="00916F0C" w:rsidP="00BA553B">
      <w:pPr>
        <w:spacing w:line="360" w:lineRule="auto"/>
        <w:ind w:firstLine="851"/>
        <w:jc w:val="both"/>
        <w:rPr>
          <w:rFonts w:ascii="Arial" w:hAnsi="Arial" w:cs="Arial"/>
          <w:sz w:val="24"/>
          <w:szCs w:val="24"/>
        </w:rPr>
      </w:pPr>
      <w:r w:rsidRPr="00916F0C">
        <w:rPr>
          <w:rFonts w:ascii="Arial" w:hAnsi="Arial" w:cs="Arial"/>
          <w:sz w:val="24"/>
          <w:szCs w:val="24"/>
        </w:rPr>
        <w:t>El Banco de Previsión Social realizó gastos en publicidad durante el Ejercicio 2017 por un total de $ 9:326.328, de los cuales $ 6:517.632   corresponden a publicidad en televisión y $ 2:808.696 a publicidad en radio. Lo contratado para Televisión Nacional de Uruguay TNU (Canal 5) asciende a la cantidad de $ 1:303.526, lo que representa el 20%, y lo contratado para radio en Radiodifusión Nacional Del Uruguay (RNU) asciende a $ 1:161.740 lo que supera el 20% dispuesto por Ley.</w:t>
      </w:r>
    </w:p>
    <w:p w:rsidR="00916F0C" w:rsidRDefault="00916F0C" w:rsidP="00916F0C">
      <w:pPr>
        <w:spacing w:line="360" w:lineRule="auto"/>
        <w:jc w:val="right"/>
        <w:rPr>
          <w:rFonts w:ascii="Arial" w:hAnsi="Arial" w:cs="Arial"/>
          <w:sz w:val="24"/>
          <w:szCs w:val="24"/>
        </w:rPr>
      </w:pPr>
      <w:r w:rsidRPr="00916F0C">
        <w:rPr>
          <w:rFonts w:ascii="Arial" w:hAnsi="Arial" w:cs="Arial"/>
          <w:sz w:val="24"/>
          <w:szCs w:val="24"/>
        </w:rPr>
        <w:tab/>
      </w:r>
      <w:r w:rsidRPr="00916F0C">
        <w:rPr>
          <w:rFonts w:ascii="Arial" w:hAnsi="Arial" w:cs="Arial"/>
          <w:sz w:val="24"/>
          <w:szCs w:val="24"/>
        </w:rPr>
        <w:tab/>
      </w:r>
      <w:r>
        <w:rPr>
          <w:rFonts w:ascii="Arial" w:hAnsi="Arial" w:cs="Arial"/>
          <w:sz w:val="24"/>
          <w:szCs w:val="24"/>
        </w:rPr>
        <w:t>Saludamos a usted atentamente</w:t>
      </w:r>
    </w:p>
    <w:p w:rsidR="00916F0C" w:rsidRPr="00916F0C" w:rsidRDefault="00916F0C" w:rsidP="00916F0C">
      <w:pPr>
        <w:spacing w:line="360" w:lineRule="auto"/>
        <w:rPr>
          <w:rFonts w:ascii="Arial" w:hAnsi="Arial" w:cs="Arial"/>
          <w:sz w:val="24"/>
          <w:szCs w:val="24"/>
        </w:rPr>
      </w:pPr>
      <w:proofErr w:type="gramStart"/>
      <w:r>
        <w:rPr>
          <w:rFonts w:ascii="Arial" w:hAnsi="Arial" w:cs="Arial"/>
          <w:sz w:val="24"/>
          <w:szCs w:val="24"/>
        </w:rPr>
        <w:t>dc</w:t>
      </w:r>
      <w:proofErr w:type="gramEnd"/>
    </w:p>
    <w:sectPr w:rsidR="00916F0C" w:rsidRPr="00916F0C" w:rsidSect="000A0F02">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97575"/>
    <w:multiLevelType w:val="hybridMultilevel"/>
    <w:tmpl w:val="EA8C9394"/>
    <w:lvl w:ilvl="0" w:tplc="EF9848C2">
      <w:numFmt w:val="bullet"/>
      <w:lvlText w:val="-"/>
      <w:lvlJc w:val="left"/>
      <w:pPr>
        <w:ind w:left="720" w:hanging="360"/>
      </w:pPr>
      <w:rPr>
        <w:rFonts w:ascii="Arial" w:eastAsia="Times New Roman" w:hAnsi="Arial" w:cs="Arial" w:hint="default"/>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36FD573D"/>
    <w:multiLevelType w:val="hybridMultilevel"/>
    <w:tmpl w:val="0344B48C"/>
    <w:lvl w:ilvl="0" w:tplc="380A0001">
      <w:start w:val="1"/>
      <w:numFmt w:val="bullet"/>
      <w:lvlText w:val=""/>
      <w:lvlJc w:val="left"/>
      <w:pPr>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4FA24B35"/>
    <w:multiLevelType w:val="hybridMultilevel"/>
    <w:tmpl w:val="FE62BAE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nsid w:val="55920FA1"/>
    <w:multiLevelType w:val="hybridMultilevel"/>
    <w:tmpl w:val="6B52847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5E04163D"/>
    <w:multiLevelType w:val="hybridMultilevel"/>
    <w:tmpl w:val="1108CAE8"/>
    <w:lvl w:ilvl="0" w:tplc="EF9848C2">
      <w:numFmt w:val="bullet"/>
      <w:lvlText w:val="-"/>
      <w:lvlJc w:val="left"/>
      <w:pPr>
        <w:ind w:left="1185" w:hanging="360"/>
      </w:pPr>
      <w:rPr>
        <w:rFonts w:ascii="Arial" w:eastAsia="Times New Roman" w:hAnsi="Arial" w:cs="Arial" w:hint="default"/>
      </w:rPr>
    </w:lvl>
    <w:lvl w:ilvl="1" w:tplc="380A0003" w:tentative="1">
      <w:start w:val="1"/>
      <w:numFmt w:val="bullet"/>
      <w:lvlText w:val="o"/>
      <w:lvlJc w:val="left"/>
      <w:pPr>
        <w:ind w:left="1905" w:hanging="360"/>
      </w:pPr>
      <w:rPr>
        <w:rFonts w:ascii="Courier New" w:hAnsi="Courier New" w:cs="Courier New" w:hint="default"/>
      </w:rPr>
    </w:lvl>
    <w:lvl w:ilvl="2" w:tplc="380A0005" w:tentative="1">
      <w:start w:val="1"/>
      <w:numFmt w:val="bullet"/>
      <w:lvlText w:val=""/>
      <w:lvlJc w:val="left"/>
      <w:pPr>
        <w:ind w:left="2625" w:hanging="360"/>
      </w:pPr>
      <w:rPr>
        <w:rFonts w:ascii="Wingdings" w:hAnsi="Wingdings" w:hint="default"/>
      </w:rPr>
    </w:lvl>
    <w:lvl w:ilvl="3" w:tplc="380A0001" w:tentative="1">
      <w:start w:val="1"/>
      <w:numFmt w:val="bullet"/>
      <w:lvlText w:val=""/>
      <w:lvlJc w:val="left"/>
      <w:pPr>
        <w:ind w:left="3345" w:hanging="360"/>
      </w:pPr>
      <w:rPr>
        <w:rFonts w:ascii="Symbol" w:hAnsi="Symbol" w:hint="default"/>
      </w:rPr>
    </w:lvl>
    <w:lvl w:ilvl="4" w:tplc="380A0003" w:tentative="1">
      <w:start w:val="1"/>
      <w:numFmt w:val="bullet"/>
      <w:lvlText w:val="o"/>
      <w:lvlJc w:val="left"/>
      <w:pPr>
        <w:ind w:left="4065" w:hanging="360"/>
      </w:pPr>
      <w:rPr>
        <w:rFonts w:ascii="Courier New" w:hAnsi="Courier New" w:cs="Courier New" w:hint="default"/>
      </w:rPr>
    </w:lvl>
    <w:lvl w:ilvl="5" w:tplc="380A0005" w:tentative="1">
      <w:start w:val="1"/>
      <w:numFmt w:val="bullet"/>
      <w:lvlText w:val=""/>
      <w:lvlJc w:val="left"/>
      <w:pPr>
        <w:ind w:left="4785" w:hanging="360"/>
      </w:pPr>
      <w:rPr>
        <w:rFonts w:ascii="Wingdings" w:hAnsi="Wingdings" w:hint="default"/>
      </w:rPr>
    </w:lvl>
    <w:lvl w:ilvl="6" w:tplc="380A0001" w:tentative="1">
      <w:start w:val="1"/>
      <w:numFmt w:val="bullet"/>
      <w:lvlText w:val=""/>
      <w:lvlJc w:val="left"/>
      <w:pPr>
        <w:ind w:left="5505" w:hanging="360"/>
      </w:pPr>
      <w:rPr>
        <w:rFonts w:ascii="Symbol" w:hAnsi="Symbol" w:hint="default"/>
      </w:rPr>
    </w:lvl>
    <w:lvl w:ilvl="7" w:tplc="380A0003" w:tentative="1">
      <w:start w:val="1"/>
      <w:numFmt w:val="bullet"/>
      <w:lvlText w:val="o"/>
      <w:lvlJc w:val="left"/>
      <w:pPr>
        <w:ind w:left="6225" w:hanging="360"/>
      </w:pPr>
      <w:rPr>
        <w:rFonts w:ascii="Courier New" w:hAnsi="Courier New" w:cs="Courier New" w:hint="default"/>
      </w:rPr>
    </w:lvl>
    <w:lvl w:ilvl="8" w:tplc="380A0005" w:tentative="1">
      <w:start w:val="1"/>
      <w:numFmt w:val="bullet"/>
      <w:lvlText w:val=""/>
      <w:lvlJc w:val="left"/>
      <w:pPr>
        <w:ind w:left="6945" w:hanging="360"/>
      </w:pPr>
      <w:rPr>
        <w:rFonts w:ascii="Wingdings" w:hAnsi="Wingdings" w:hint="default"/>
      </w:rPr>
    </w:lvl>
  </w:abstractNum>
  <w:abstractNum w:abstractNumId="5">
    <w:nsid w:val="68BC2FA6"/>
    <w:multiLevelType w:val="hybridMultilevel"/>
    <w:tmpl w:val="72D6EED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nsid w:val="6DDB3223"/>
    <w:multiLevelType w:val="hybridMultilevel"/>
    <w:tmpl w:val="4B5455D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nsid w:val="6F1C64C8"/>
    <w:multiLevelType w:val="hybridMultilevel"/>
    <w:tmpl w:val="F370BF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039786B"/>
    <w:multiLevelType w:val="hybridMultilevel"/>
    <w:tmpl w:val="0004E610"/>
    <w:lvl w:ilvl="0" w:tplc="380A0001">
      <w:start w:val="1"/>
      <w:numFmt w:val="bullet"/>
      <w:lvlText w:val=""/>
      <w:lvlJc w:val="left"/>
      <w:pPr>
        <w:ind w:left="855" w:hanging="360"/>
      </w:pPr>
      <w:rPr>
        <w:rFonts w:ascii="Symbol" w:hAnsi="Symbol" w:hint="default"/>
      </w:rPr>
    </w:lvl>
    <w:lvl w:ilvl="1" w:tplc="380A0003" w:tentative="1">
      <w:start w:val="1"/>
      <w:numFmt w:val="bullet"/>
      <w:lvlText w:val="o"/>
      <w:lvlJc w:val="left"/>
      <w:pPr>
        <w:ind w:left="1575" w:hanging="360"/>
      </w:pPr>
      <w:rPr>
        <w:rFonts w:ascii="Courier New" w:hAnsi="Courier New" w:cs="Courier New" w:hint="default"/>
      </w:rPr>
    </w:lvl>
    <w:lvl w:ilvl="2" w:tplc="380A0005" w:tentative="1">
      <w:start w:val="1"/>
      <w:numFmt w:val="bullet"/>
      <w:lvlText w:val=""/>
      <w:lvlJc w:val="left"/>
      <w:pPr>
        <w:ind w:left="2295" w:hanging="360"/>
      </w:pPr>
      <w:rPr>
        <w:rFonts w:ascii="Wingdings" w:hAnsi="Wingdings" w:hint="default"/>
      </w:rPr>
    </w:lvl>
    <w:lvl w:ilvl="3" w:tplc="380A0001" w:tentative="1">
      <w:start w:val="1"/>
      <w:numFmt w:val="bullet"/>
      <w:lvlText w:val=""/>
      <w:lvlJc w:val="left"/>
      <w:pPr>
        <w:ind w:left="3015" w:hanging="360"/>
      </w:pPr>
      <w:rPr>
        <w:rFonts w:ascii="Symbol" w:hAnsi="Symbol" w:hint="default"/>
      </w:rPr>
    </w:lvl>
    <w:lvl w:ilvl="4" w:tplc="380A0003" w:tentative="1">
      <w:start w:val="1"/>
      <w:numFmt w:val="bullet"/>
      <w:lvlText w:val="o"/>
      <w:lvlJc w:val="left"/>
      <w:pPr>
        <w:ind w:left="3735" w:hanging="360"/>
      </w:pPr>
      <w:rPr>
        <w:rFonts w:ascii="Courier New" w:hAnsi="Courier New" w:cs="Courier New" w:hint="default"/>
      </w:rPr>
    </w:lvl>
    <w:lvl w:ilvl="5" w:tplc="380A0005" w:tentative="1">
      <w:start w:val="1"/>
      <w:numFmt w:val="bullet"/>
      <w:lvlText w:val=""/>
      <w:lvlJc w:val="left"/>
      <w:pPr>
        <w:ind w:left="4455" w:hanging="360"/>
      </w:pPr>
      <w:rPr>
        <w:rFonts w:ascii="Wingdings" w:hAnsi="Wingdings" w:hint="default"/>
      </w:rPr>
    </w:lvl>
    <w:lvl w:ilvl="6" w:tplc="380A0001" w:tentative="1">
      <w:start w:val="1"/>
      <w:numFmt w:val="bullet"/>
      <w:lvlText w:val=""/>
      <w:lvlJc w:val="left"/>
      <w:pPr>
        <w:ind w:left="5175" w:hanging="360"/>
      </w:pPr>
      <w:rPr>
        <w:rFonts w:ascii="Symbol" w:hAnsi="Symbol" w:hint="default"/>
      </w:rPr>
    </w:lvl>
    <w:lvl w:ilvl="7" w:tplc="380A0003" w:tentative="1">
      <w:start w:val="1"/>
      <w:numFmt w:val="bullet"/>
      <w:lvlText w:val="o"/>
      <w:lvlJc w:val="left"/>
      <w:pPr>
        <w:ind w:left="5895" w:hanging="360"/>
      </w:pPr>
      <w:rPr>
        <w:rFonts w:ascii="Courier New" w:hAnsi="Courier New" w:cs="Courier New" w:hint="default"/>
      </w:rPr>
    </w:lvl>
    <w:lvl w:ilvl="8" w:tplc="380A0005" w:tentative="1">
      <w:start w:val="1"/>
      <w:numFmt w:val="bullet"/>
      <w:lvlText w:val=""/>
      <w:lvlJc w:val="left"/>
      <w:pPr>
        <w:ind w:left="6615" w:hanging="360"/>
      </w:pPr>
      <w:rPr>
        <w:rFonts w:ascii="Wingdings" w:hAnsi="Wingdings" w:hint="default"/>
      </w:rPr>
    </w:lvl>
  </w:abstractNum>
  <w:abstractNum w:abstractNumId="9">
    <w:nsid w:val="74EA0369"/>
    <w:multiLevelType w:val="hybridMultilevel"/>
    <w:tmpl w:val="1DF8325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0">
    <w:nsid w:val="77E30913"/>
    <w:multiLevelType w:val="hybridMultilevel"/>
    <w:tmpl w:val="3C726CFC"/>
    <w:lvl w:ilvl="0" w:tplc="E1D6743A">
      <w:start w:val="1"/>
      <w:numFmt w:val="decimal"/>
      <w:lvlText w:val="%1)"/>
      <w:lvlJc w:val="left"/>
      <w:pPr>
        <w:ind w:left="1004" w:hanging="360"/>
      </w:pPr>
      <w:rPr>
        <w:rFonts w:hint="default"/>
      </w:rPr>
    </w:lvl>
    <w:lvl w:ilvl="1" w:tplc="380A0019" w:tentative="1">
      <w:start w:val="1"/>
      <w:numFmt w:val="lowerLetter"/>
      <w:lvlText w:val="%2."/>
      <w:lvlJc w:val="left"/>
      <w:pPr>
        <w:ind w:left="1724" w:hanging="360"/>
      </w:pPr>
    </w:lvl>
    <w:lvl w:ilvl="2" w:tplc="380A001B" w:tentative="1">
      <w:start w:val="1"/>
      <w:numFmt w:val="lowerRoman"/>
      <w:lvlText w:val="%3."/>
      <w:lvlJc w:val="right"/>
      <w:pPr>
        <w:ind w:left="2444" w:hanging="180"/>
      </w:pPr>
    </w:lvl>
    <w:lvl w:ilvl="3" w:tplc="380A000F" w:tentative="1">
      <w:start w:val="1"/>
      <w:numFmt w:val="decimal"/>
      <w:lvlText w:val="%4."/>
      <w:lvlJc w:val="left"/>
      <w:pPr>
        <w:ind w:left="3164" w:hanging="360"/>
      </w:pPr>
    </w:lvl>
    <w:lvl w:ilvl="4" w:tplc="380A0019" w:tentative="1">
      <w:start w:val="1"/>
      <w:numFmt w:val="lowerLetter"/>
      <w:lvlText w:val="%5."/>
      <w:lvlJc w:val="left"/>
      <w:pPr>
        <w:ind w:left="3884" w:hanging="360"/>
      </w:pPr>
    </w:lvl>
    <w:lvl w:ilvl="5" w:tplc="380A001B" w:tentative="1">
      <w:start w:val="1"/>
      <w:numFmt w:val="lowerRoman"/>
      <w:lvlText w:val="%6."/>
      <w:lvlJc w:val="right"/>
      <w:pPr>
        <w:ind w:left="4604" w:hanging="180"/>
      </w:pPr>
    </w:lvl>
    <w:lvl w:ilvl="6" w:tplc="380A000F" w:tentative="1">
      <w:start w:val="1"/>
      <w:numFmt w:val="decimal"/>
      <w:lvlText w:val="%7."/>
      <w:lvlJc w:val="left"/>
      <w:pPr>
        <w:ind w:left="5324" w:hanging="360"/>
      </w:pPr>
    </w:lvl>
    <w:lvl w:ilvl="7" w:tplc="380A0019" w:tentative="1">
      <w:start w:val="1"/>
      <w:numFmt w:val="lowerLetter"/>
      <w:lvlText w:val="%8."/>
      <w:lvlJc w:val="left"/>
      <w:pPr>
        <w:ind w:left="6044" w:hanging="360"/>
      </w:pPr>
    </w:lvl>
    <w:lvl w:ilvl="8" w:tplc="380A001B" w:tentative="1">
      <w:start w:val="1"/>
      <w:numFmt w:val="lowerRoman"/>
      <w:lvlText w:val="%9."/>
      <w:lvlJc w:val="right"/>
      <w:pPr>
        <w:ind w:left="6764" w:hanging="180"/>
      </w:pPr>
    </w:lvl>
  </w:abstractNum>
  <w:num w:numId="1">
    <w:abstractNumId w:val="8"/>
  </w:num>
  <w:num w:numId="2">
    <w:abstractNumId w:val="9"/>
  </w:num>
  <w:num w:numId="3">
    <w:abstractNumId w:val="10"/>
  </w:num>
  <w:num w:numId="4">
    <w:abstractNumId w:val="4"/>
  </w:num>
  <w:num w:numId="5">
    <w:abstractNumId w:val="7"/>
  </w:num>
  <w:num w:numId="6">
    <w:abstractNumId w:val="0"/>
  </w:num>
  <w:num w:numId="7">
    <w:abstractNumId w:val="1"/>
  </w:num>
  <w:num w:numId="8">
    <w:abstractNumId w:val="5"/>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02"/>
    <w:rsid w:val="000A0F02"/>
    <w:rsid w:val="00262DD1"/>
    <w:rsid w:val="00326F48"/>
    <w:rsid w:val="00916F0C"/>
    <w:rsid w:val="00DD0E5F"/>
    <w:rsid w:val="00EE688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6F0C"/>
    <w:pPr>
      <w:ind w:left="720"/>
      <w:contextualSpacing/>
    </w:pPr>
  </w:style>
  <w:style w:type="paragraph" w:styleId="Textoindependiente2">
    <w:name w:val="Body Text 2"/>
    <w:basedOn w:val="Normal"/>
    <w:link w:val="Textoindependiente2Car"/>
    <w:rsid w:val="00916F0C"/>
    <w:pPr>
      <w:spacing w:after="0" w:line="240" w:lineRule="auto"/>
      <w:jc w:val="both"/>
    </w:pPr>
    <w:rPr>
      <w:rFonts w:ascii="Arial" w:eastAsia="Times New Roman" w:hAnsi="Arial" w:cs="Arial"/>
      <w:lang w:val="es-ES" w:eastAsia="es-ES"/>
    </w:rPr>
  </w:style>
  <w:style w:type="character" w:customStyle="1" w:styleId="Textoindependiente2Car">
    <w:name w:val="Texto independiente 2 Car"/>
    <w:basedOn w:val="Fuentedeprrafopredeter"/>
    <w:link w:val="Textoindependiente2"/>
    <w:rsid w:val="00916F0C"/>
    <w:rPr>
      <w:rFonts w:ascii="Arial" w:eastAsia="Times New Roman" w:hAnsi="Arial" w:cs="Arial"/>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6F0C"/>
    <w:pPr>
      <w:ind w:left="720"/>
      <w:contextualSpacing/>
    </w:pPr>
  </w:style>
  <w:style w:type="paragraph" w:styleId="Textoindependiente2">
    <w:name w:val="Body Text 2"/>
    <w:basedOn w:val="Normal"/>
    <w:link w:val="Textoindependiente2Car"/>
    <w:rsid w:val="00916F0C"/>
    <w:pPr>
      <w:spacing w:after="0" w:line="240" w:lineRule="auto"/>
      <w:jc w:val="both"/>
    </w:pPr>
    <w:rPr>
      <w:rFonts w:ascii="Arial" w:eastAsia="Times New Roman" w:hAnsi="Arial" w:cs="Arial"/>
      <w:lang w:val="es-ES" w:eastAsia="es-ES"/>
    </w:rPr>
  </w:style>
  <w:style w:type="character" w:customStyle="1" w:styleId="Textoindependiente2Car">
    <w:name w:val="Texto independiente 2 Car"/>
    <w:basedOn w:val="Fuentedeprrafopredeter"/>
    <w:link w:val="Textoindependiente2"/>
    <w:rsid w:val="00916F0C"/>
    <w:rPr>
      <w:rFonts w:ascii="Arial" w:eastAsia="Times New Roman" w:hAnsi="Arial" w:cs="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C47CE-82BA-4127-837C-779C2A23D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3500</Words>
  <Characters>19253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cp:lastPrinted>2018-11-20T17:48:00Z</cp:lastPrinted>
  <dcterms:created xsi:type="dcterms:W3CDTF">2018-11-20T17:42:00Z</dcterms:created>
  <dcterms:modified xsi:type="dcterms:W3CDTF">2018-12-20T20:11:00Z</dcterms:modified>
</cp:coreProperties>
</file>