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285C" w:rsidRDefault="0023285C" w:rsidP="00786EEB">
      <w:pPr>
        <w:tabs>
          <w:tab w:val="center" w:pos="4253"/>
        </w:tabs>
        <w:suppressAutoHyphens/>
        <w:jc w:val="right"/>
        <w:rPr>
          <w:rFonts w:ascii="Arial" w:hAnsi="Arial" w:cs="Arial"/>
          <w:b/>
          <w:sz w:val="28"/>
          <w:szCs w:val="28"/>
          <w:lang w:val="es-ES_tradnl"/>
        </w:rPr>
      </w:pPr>
      <w:bookmarkStart w:id="0" w:name="_GoBack"/>
      <w:bookmarkEnd w:id="0"/>
      <w:r>
        <w:rPr>
          <w:rFonts w:ascii="Arial" w:hAnsi="Arial" w:cs="Arial"/>
          <w:b/>
          <w:sz w:val="28"/>
          <w:szCs w:val="28"/>
          <w:lang w:val="es-ES_tradnl"/>
        </w:rPr>
        <w:t>RES. 3509/18</w:t>
      </w:r>
    </w:p>
    <w:p w:rsidR="00421268" w:rsidRPr="00786EEB" w:rsidRDefault="00421268" w:rsidP="00786EEB">
      <w:pPr>
        <w:tabs>
          <w:tab w:val="center" w:pos="4253"/>
        </w:tabs>
        <w:suppressAutoHyphens/>
        <w:jc w:val="right"/>
        <w:rPr>
          <w:rFonts w:ascii="Arial" w:hAnsi="Arial" w:cs="Arial"/>
          <w:b/>
          <w:sz w:val="28"/>
          <w:szCs w:val="28"/>
          <w:lang w:val="es-ES_tradnl"/>
        </w:rPr>
      </w:pPr>
    </w:p>
    <w:p w:rsidR="0023285C" w:rsidRPr="0023285C" w:rsidRDefault="0023285C" w:rsidP="0023285C">
      <w:pPr>
        <w:tabs>
          <w:tab w:val="center" w:pos="4253"/>
        </w:tabs>
        <w:suppressAutoHyphens/>
        <w:spacing w:after="0" w:line="240" w:lineRule="auto"/>
        <w:jc w:val="center"/>
        <w:rPr>
          <w:rFonts w:ascii="Arial" w:hAnsi="Arial" w:cs="Arial"/>
          <w:b/>
          <w:sz w:val="24"/>
          <w:szCs w:val="24"/>
          <w:lang w:val="es-ES_tradnl"/>
        </w:rPr>
      </w:pPr>
      <w:r w:rsidRPr="0023285C">
        <w:rPr>
          <w:rFonts w:ascii="Arial" w:hAnsi="Arial" w:cs="Arial"/>
          <w:b/>
          <w:sz w:val="24"/>
          <w:szCs w:val="24"/>
          <w:lang w:val="es-ES_tradnl"/>
        </w:rPr>
        <w:t>RESOLUCION ADOPTADA POR EL</w:t>
      </w:r>
    </w:p>
    <w:p w:rsidR="0023285C" w:rsidRPr="0023285C" w:rsidRDefault="0023285C" w:rsidP="0023285C">
      <w:pPr>
        <w:tabs>
          <w:tab w:val="left" w:pos="-720"/>
        </w:tabs>
        <w:suppressAutoHyphens/>
        <w:spacing w:after="0" w:line="240" w:lineRule="auto"/>
        <w:jc w:val="center"/>
        <w:rPr>
          <w:rFonts w:ascii="Arial" w:hAnsi="Arial" w:cs="Arial"/>
          <w:b/>
          <w:sz w:val="24"/>
          <w:szCs w:val="24"/>
          <w:lang w:val="es-ES_tradnl"/>
        </w:rPr>
      </w:pPr>
    </w:p>
    <w:p w:rsidR="0023285C" w:rsidRPr="0023285C" w:rsidRDefault="0023285C" w:rsidP="0023285C">
      <w:pPr>
        <w:tabs>
          <w:tab w:val="center" w:pos="4253"/>
        </w:tabs>
        <w:suppressAutoHyphens/>
        <w:spacing w:after="0" w:line="240" w:lineRule="auto"/>
        <w:jc w:val="center"/>
        <w:rPr>
          <w:rFonts w:ascii="Arial" w:hAnsi="Arial" w:cs="Arial"/>
          <w:b/>
          <w:sz w:val="24"/>
          <w:szCs w:val="24"/>
          <w:lang w:val="es-ES_tradnl"/>
        </w:rPr>
      </w:pPr>
      <w:r w:rsidRPr="0023285C">
        <w:rPr>
          <w:rFonts w:ascii="Arial" w:hAnsi="Arial" w:cs="Arial"/>
          <w:b/>
          <w:sz w:val="24"/>
          <w:szCs w:val="24"/>
          <w:lang w:val="es-ES_tradnl"/>
        </w:rPr>
        <w:t>TRIBUNAL DE CUENTAS</w:t>
      </w:r>
    </w:p>
    <w:p w:rsidR="0023285C" w:rsidRPr="0023285C" w:rsidRDefault="0023285C" w:rsidP="0023285C">
      <w:pPr>
        <w:tabs>
          <w:tab w:val="left" w:pos="-720"/>
        </w:tabs>
        <w:suppressAutoHyphens/>
        <w:spacing w:after="0" w:line="240" w:lineRule="auto"/>
        <w:jc w:val="center"/>
        <w:rPr>
          <w:rFonts w:ascii="Arial" w:hAnsi="Arial" w:cs="Arial"/>
          <w:b/>
          <w:sz w:val="24"/>
          <w:szCs w:val="24"/>
          <w:lang w:val="es-ES_tradnl"/>
        </w:rPr>
      </w:pPr>
    </w:p>
    <w:p w:rsidR="0023285C" w:rsidRPr="0023285C" w:rsidRDefault="0023285C" w:rsidP="0023285C">
      <w:pPr>
        <w:tabs>
          <w:tab w:val="center" w:pos="4253"/>
        </w:tabs>
        <w:suppressAutoHyphens/>
        <w:spacing w:after="0" w:line="240" w:lineRule="auto"/>
        <w:jc w:val="center"/>
        <w:rPr>
          <w:rFonts w:ascii="Arial" w:hAnsi="Arial" w:cs="Arial"/>
          <w:b/>
          <w:sz w:val="24"/>
          <w:szCs w:val="24"/>
          <w:lang w:val="es-ES_tradnl"/>
        </w:rPr>
      </w:pPr>
      <w:r w:rsidRPr="0023285C">
        <w:rPr>
          <w:rFonts w:ascii="Arial" w:hAnsi="Arial" w:cs="Arial"/>
          <w:b/>
          <w:sz w:val="24"/>
          <w:szCs w:val="24"/>
          <w:lang w:val="es-ES_tradnl"/>
        </w:rPr>
        <w:t xml:space="preserve">EN SESION DE FECHA 14 DE NOVIEMBRE </w:t>
      </w:r>
      <w:r w:rsidRPr="0023285C">
        <w:rPr>
          <w:rFonts w:ascii="Helvetica" w:hAnsi="Helvetica"/>
          <w:b/>
          <w:sz w:val="24"/>
          <w:szCs w:val="24"/>
          <w:lang w:val="es-ES_tradnl"/>
        </w:rPr>
        <w:t>DE 2018</w:t>
      </w:r>
    </w:p>
    <w:p w:rsidR="0023285C" w:rsidRPr="0023285C" w:rsidRDefault="0023285C" w:rsidP="0023285C">
      <w:pPr>
        <w:tabs>
          <w:tab w:val="center" w:pos="4253"/>
        </w:tabs>
        <w:suppressAutoHyphens/>
        <w:spacing w:after="0" w:line="240" w:lineRule="auto"/>
        <w:jc w:val="center"/>
        <w:rPr>
          <w:rFonts w:ascii="Arial" w:hAnsi="Arial" w:cs="Arial"/>
          <w:b/>
          <w:sz w:val="24"/>
          <w:szCs w:val="24"/>
          <w:lang w:val="es-ES_tradnl"/>
        </w:rPr>
      </w:pPr>
    </w:p>
    <w:p w:rsidR="0023285C" w:rsidRPr="00421268" w:rsidRDefault="0023285C" w:rsidP="0023285C">
      <w:pPr>
        <w:tabs>
          <w:tab w:val="center" w:pos="4253"/>
        </w:tabs>
        <w:suppressAutoHyphens/>
        <w:spacing w:after="0" w:line="240" w:lineRule="auto"/>
        <w:jc w:val="center"/>
        <w:rPr>
          <w:rFonts w:ascii="Arial" w:hAnsi="Arial" w:cs="Arial"/>
          <w:b/>
          <w:sz w:val="24"/>
          <w:szCs w:val="24"/>
          <w:lang w:val="es-UY"/>
        </w:rPr>
      </w:pPr>
      <w:r w:rsidRPr="00421268">
        <w:rPr>
          <w:rFonts w:ascii="Arial" w:hAnsi="Arial" w:cs="Arial"/>
          <w:b/>
          <w:sz w:val="24"/>
          <w:szCs w:val="24"/>
          <w:lang w:val="es-UY"/>
        </w:rPr>
        <w:t>(E. E. Nº 20</w:t>
      </w:r>
      <w:r w:rsidR="00C9175C">
        <w:rPr>
          <w:rFonts w:ascii="Arial" w:hAnsi="Arial" w:cs="Arial"/>
          <w:b/>
          <w:sz w:val="24"/>
          <w:szCs w:val="24"/>
          <w:lang w:val="es-UY"/>
        </w:rPr>
        <w:t xml:space="preserve">18-17-1-0002117, </w:t>
      </w:r>
      <w:proofErr w:type="spellStart"/>
      <w:r w:rsidR="00C9175C">
        <w:rPr>
          <w:rFonts w:ascii="Arial" w:hAnsi="Arial" w:cs="Arial"/>
          <w:b/>
          <w:sz w:val="24"/>
          <w:szCs w:val="24"/>
          <w:lang w:val="es-UY"/>
        </w:rPr>
        <w:t>Ents</w:t>
      </w:r>
      <w:proofErr w:type="spellEnd"/>
      <w:r w:rsidR="00C9175C">
        <w:rPr>
          <w:rFonts w:ascii="Arial" w:hAnsi="Arial" w:cs="Arial"/>
          <w:b/>
          <w:sz w:val="24"/>
          <w:szCs w:val="24"/>
          <w:lang w:val="es-UY"/>
        </w:rPr>
        <w:t>. 1581/18,</w:t>
      </w:r>
    </w:p>
    <w:p w:rsidR="0023285C" w:rsidRPr="00421268" w:rsidRDefault="0023285C" w:rsidP="0023285C">
      <w:pPr>
        <w:tabs>
          <w:tab w:val="center" w:pos="4253"/>
        </w:tabs>
        <w:suppressAutoHyphens/>
        <w:spacing w:after="0" w:line="240" w:lineRule="auto"/>
        <w:jc w:val="center"/>
        <w:rPr>
          <w:rFonts w:ascii="Arial" w:hAnsi="Arial" w:cs="Arial"/>
          <w:b/>
          <w:sz w:val="24"/>
          <w:szCs w:val="24"/>
          <w:lang w:val="es-UY"/>
        </w:rPr>
      </w:pPr>
    </w:p>
    <w:p w:rsidR="0023285C" w:rsidRDefault="0023285C" w:rsidP="0023285C">
      <w:pPr>
        <w:tabs>
          <w:tab w:val="center" w:pos="4253"/>
        </w:tabs>
        <w:suppressAutoHyphens/>
        <w:spacing w:after="0" w:line="240" w:lineRule="auto"/>
        <w:jc w:val="center"/>
        <w:rPr>
          <w:rFonts w:ascii="Arial" w:hAnsi="Arial" w:cs="Arial"/>
          <w:b/>
          <w:sz w:val="24"/>
          <w:szCs w:val="24"/>
          <w:lang w:val="es-UY"/>
        </w:rPr>
      </w:pPr>
      <w:r w:rsidRPr="00421268">
        <w:rPr>
          <w:rFonts w:ascii="Arial" w:hAnsi="Arial" w:cs="Arial"/>
          <w:b/>
          <w:sz w:val="24"/>
          <w:szCs w:val="24"/>
          <w:lang w:val="es-UY"/>
        </w:rPr>
        <w:t>1582/18, 3509/18, 4291/18)</w:t>
      </w:r>
    </w:p>
    <w:p w:rsidR="00421268" w:rsidRDefault="00421268" w:rsidP="0023285C">
      <w:pPr>
        <w:tabs>
          <w:tab w:val="center" w:pos="4253"/>
        </w:tabs>
        <w:suppressAutoHyphens/>
        <w:spacing w:after="0" w:line="240" w:lineRule="auto"/>
        <w:jc w:val="center"/>
        <w:rPr>
          <w:rFonts w:ascii="Arial" w:hAnsi="Arial" w:cs="Arial"/>
          <w:b/>
          <w:sz w:val="24"/>
          <w:szCs w:val="24"/>
          <w:lang w:val="es-UY"/>
        </w:rPr>
      </w:pPr>
    </w:p>
    <w:p w:rsidR="00421268" w:rsidRPr="00421268" w:rsidRDefault="00421268" w:rsidP="0023285C">
      <w:pPr>
        <w:tabs>
          <w:tab w:val="center" w:pos="4253"/>
        </w:tabs>
        <w:suppressAutoHyphens/>
        <w:spacing w:after="0" w:line="240" w:lineRule="auto"/>
        <w:jc w:val="center"/>
        <w:rPr>
          <w:rFonts w:ascii="Arial" w:hAnsi="Arial" w:cs="Arial"/>
          <w:b/>
          <w:sz w:val="24"/>
          <w:szCs w:val="24"/>
          <w:lang w:val="es-UY"/>
        </w:rPr>
      </w:pPr>
    </w:p>
    <w:p w:rsidR="0023285C" w:rsidRDefault="00E827F7" w:rsidP="0023285C">
      <w:pPr>
        <w:spacing w:after="0" w:line="360" w:lineRule="auto"/>
        <w:ind w:firstLine="851"/>
        <w:jc w:val="both"/>
        <w:rPr>
          <w:rFonts w:ascii="Arial" w:eastAsia="Times New Roman" w:hAnsi="Arial" w:cs="Arial"/>
          <w:sz w:val="24"/>
          <w:szCs w:val="24"/>
          <w:lang w:val="es-UY" w:eastAsia="es-UY"/>
        </w:rPr>
      </w:pPr>
      <w:r w:rsidRPr="00E827F7">
        <w:rPr>
          <w:rFonts w:ascii="Arial" w:eastAsia="Times New Roman" w:hAnsi="Arial" w:cs="Arial"/>
          <w:b/>
          <w:sz w:val="24"/>
          <w:szCs w:val="24"/>
          <w:lang w:val="es-UY" w:eastAsia="es-UY"/>
        </w:rPr>
        <w:t>VISTO</w:t>
      </w:r>
      <w:r w:rsidRPr="00063B4F">
        <w:rPr>
          <w:rFonts w:ascii="Arial" w:eastAsia="Times New Roman" w:hAnsi="Arial" w:cs="Arial"/>
          <w:b/>
          <w:sz w:val="24"/>
          <w:szCs w:val="24"/>
          <w:lang w:val="es-UY" w:eastAsia="es-UY"/>
        </w:rPr>
        <w:t>:</w:t>
      </w:r>
      <w:r w:rsidRPr="00063B4F">
        <w:rPr>
          <w:rFonts w:ascii="Arial" w:eastAsia="Times New Roman" w:hAnsi="Arial" w:cs="Arial"/>
          <w:sz w:val="24"/>
          <w:szCs w:val="24"/>
          <w:lang w:val="es-UY" w:eastAsia="es-UY"/>
        </w:rPr>
        <w:t xml:space="preserve"> que </w:t>
      </w:r>
      <w:r w:rsidR="00063B4F" w:rsidRPr="00063B4F">
        <w:rPr>
          <w:rFonts w:ascii="Arial" w:eastAsia="Times New Roman" w:hAnsi="Arial" w:cs="Arial"/>
          <w:sz w:val="24"/>
          <w:szCs w:val="24"/>
          <w:lang w:val="es-UY" w:eastAsia="es-UY"/>
        </w:rPr>
        <w:t>este Tribunal ha examinado los estados financieros del Banco H</w:t>
      </w:r>
      <w:r w:rsidRPr="00063B4F">
        <w:rPr>
          <w:rFonts w:ascii="Arial" w:eastAsia="Times New Roman" w:hAnsi="Arial" w:cs="Arial"/>
          <w:sz w:val="24"/>
          <w:szCs w:val="24"/>
          <w:lang w:val="es-UY" w:eastAsia="es-UY"/>
        </w:rPr>
        <w:t>ipotecario del Uruguay (BHU), que comprenden el Estado de Situación Financiera al 31</w:t>
      </w:r>
      <w:r w:rsidR="00063B4F" w:rsidRPr="00063B4F">
        <w:rPr>
          <w:rFonts w:ascii="Arial" w:eastAsia="Times New Roman" w:hAnsi="Arial" w:cs="Arial"/>
          <w:sz w:val="24"/>
          <w:szCs w:val="24"/>
          <w:lang w:val="es-UY" w:eastAsia="es-UY"/>
        </w:rPr>
        <w:t>/12/2017</w:t>
      </w:r>
      <w:r w:rsidRPr="00063B4F">
        <w:rPr>
          <w:rFonts w:ascii="Arial" w:eastAsia="Times New Roman" w:hAnsi="Arial" w:cs="Arial"/>
          <w:sz w:val="24"/>
          <w:szCs w:val="24"/>
          <w:lang w:val="es-UY" w:eastAsia="es-UY"/>
        </w:rPr>
        <w:t xml:space="preserve">, los correspondientes Estado de Resultados, </w:t>
      </w:r>
      <w:r w:rsidR="00063B4F" w:rsidRPr="00063B4F">
        <w:rPr>
          <w:rFonts w:ascii="Arial" w:eastAsia="Times New Roman" w:hAnsi="Arial" w:cs="Arial"/>
          <w:sz w:val="24"/>
          <w:szCs w:val="24"/>
          <w:lang w:val="es-UY" w:eastAsia="es-UY"/>
        </w:rPr>
        <w:t xml:space="preserve">de Flujos de Efectivo y de Cambios en el Patrimonio </w:t>
      </w:r>
      <w:r w:rsidRPr="00063B4F">
        <w:rPr>
          <w:rFonts w:ascii="Arial" w:eastAsia="Times New Roman" w:hAnsi="Arial" w:cs="Arial"/>
          <w:sz w:val="24"/>
          <w:szCs w:val="24"/>
          <w:lang w:val="es-UY" w:eastAsia="es-UY"/>
        </w:rPr>
        <w:t xml:space="preserve">por </w:t>
      </w:r>
      <w:r w:rsidR="0023285C">
        <w:rPr>
          <w:rFonts w:ascii="Arial" w:eastAsia="Times New Roman" w:hAnsi="Arial" w:cs="Arial"/>
          <w:sz w:val="24"/>
          <w:szCs w:val="24"/>
          <w:lang w:val="es-UY" w:eastAsia="es-UY"/>
        </w:rPr>
        <w:t>el E</w:t>
      </w:r>
      <w:r w:rsidRPr="00063B4F">
        <w:rPr>
          <w:rFonts w:ascii="Arial" w:eastAsia="Times New Roman" w:hAnsi="Arial" w:cs="Arial"/>
          <w:sz w:val="24"/>
          <w:szCs w:val="24"/>
          <w:lang w:val="es-UY" w:eastAsia="es-UY"/>
        </w:rPr>
        <w:t>jercicio anual finalizado en esa fecha, las notas de políticas contables significativas aplicadas</w:t>
      </w:r>
      <w:r w:rsidR="00063B4F" w:rsidRPr="00063B4F">
        <w:rPr>
          <w:rFonts w:ascii="Arial" w:eastAsia="Times New Roman" w:hAnsi="Arial" w:cs="Arial"/>
          <w:sz w:val="24"/>
          <w:szCs w:val="24"/>
          <w:lang w:val="es-UY" w:eastAsia="es-UY"/>
        </w:rPr>
        <w:t xml:space="preserve">, </w:t>
      </w:r>
      <w:r w:rsidRPr="00063B4F">
        <w:rPr>
          <w:rFonts w:ascii="Arial" w:eastAsia="Times New Roman" w:hAnsi="Arial" w:cs="Arial"/>
          <w:sz w:val="24"/>
          <w:szCs w:val="24"/>
          <w:lang w:val="es-UY" w:eastAsia="es-UY"/>
        </w:rPr>
        <w:t>otras notas explicativas y Anexos</w:t>
      </w:r>
      <w:r w:rsidR="00063B4F" w:rsidRPr="00063B4F">
        <w:rPr>
          <w:rFonts w:ascii="Arial" w:eastAsia="Times New Roman" w:hAnsi="Arial" w:cs="Arial"/>
          <w:sz w:val="24"/>
          <w:szCs w:val="24"/>
          <w:lang w:val="es-UY" w:eastAsia="es-UY"/>
        </w:rPr>
        <w:t xml:space="preserve"> y el </w:t>
      </w:r>
      <w:r w:rsidR="00B12B7F">
        <w:rPr>
          <w:rFonts w:ascii="Arial" w:eastAsia="Times New Roman" w:hAnsi="Arial" w:cs="Arial"/>
          <w:sz w:val="24"/>
          <w:szCs w:val="24"/>
          <w:lang w:val="es-UY" w:eastAsia="es-UY"/>
        </w:rPr>
        <w:t>Estado</w:t>
      </w:r>
      <w:r w:rsidR="00063B4F" w:rsidRPr="00063B4F">
        <w:rPr>
          <w:rFonts w:ascii="Arial" w:eastAsia="Times New Roman" w:hAnsi="Arial" w:cs="Arial"/>
          <w:sz w:val="24"/>
          <w:szCs w:val="24"/>
          <w:lang w:val="es-UY" w:eastAsia="es-UY"/>
        </w:rPr>
        <w:t xml:space="preserve"> de Ejecución Presupuestal 2017 con las correspondientes notas explicativas y Anexos;</w:t>
      </w:r>
    </w:p>
    <w:p w:rsidR="00E827F7" w:rsidRPr="00E827F7" w:rsidRDefault="00E827F7" w:rsidP="0023285C">
      <w:pPr>
        <w:spacing w:after="0" w:line="360" w:lineRule="auto"/>
        <w:ind w:firstLine="851"/>
        <w:jc w:val="both"/>
        <w:rPr>
          <w:rFonts w:ascii="Arial" w:eastAsia="Times New Roman" w:hAnsi="Arial" w:cs="Arial"/>
          <w:sz w:val="24"/>
          <w:szCs w:val="24"/>
          <w:lang w:val="es-UY" w:eastAsia="es-UY"/>
        </w:rPr>
      </w:pPr>
      <w:r w:rsidRPr="00E827F7">
        <w:rPr>
          <w:rFonts w:ascii="Arial" w:eastAsia="Times New Roman" w:hAnsi="Arial" w:cs="Arial"/>
          <w:b/>
          <w:sz w:val="24"/>
          <w:szCs w:val="24"/>
          <w:lang w:val="es-UY" w:eastAsia="es-UY"/>
        </w:rPr>
        <w:t>RESULTANDO:</w:t>
      </w:r>
      <w:r w:rsidRPr="00E827F7">
        <w:rPr>
          <w:rFonts w:ascii="Arial" w:eastAsia="Times New Roman" w:hAnsi="Arial" w:cs="Arial"/>
          <w:sz w:val="24"/>
          <w:szCs w:val="24"/>
          <w:lang w:val="es-UY" w:eastAsia="es-UY"/>
        </w:rPr>
        <w:t xml:space="preserve"> que el examen </w:t>
      </w:r>
      <w:r w:rsidR="00AF3C29">
        <w:rPr>
          <w:rFonts w:ascii="Arial" w:eastAsia="Times New Roman" w:hAnsi="Arial" w:cs="Arial"/>
          <w:sz w:val="24"/>
          <w:szCs w:val="24"/>
          <w:lang w:val="es-UY" w:eastAsia="es-UY"/>
        </w:rPr>
        <w:t>se efectuó</w:t>
      </w:r>
      <w:r w:rsidRPr="00E827F7">
        <w:rPr>
          <w:rFonts w:ascii="Arial" w:eastAsia="Times New Roman" w:hAnsi="Arial" w:cs="Arial"/>
          <w:sz w:val="24"/>
          <w:szCs w:val="24"/>
          <w:lang w:val="es-UY" w:eastAsia="es-UY"/>
        </w:rPr>
        <w:t xml:space="preserve"> de acuerdo con los Principios Fundamentales de Auditoría (ISSAI 100 y 200) y las Directrices de Auditoría Financiera (ISSAI </w:t>
      </w:r>
      <w:smartTag w:uri="urn:schemas-microsoft-com:office:smarttags" w:element="metricconverter">
        <w:smartTagPr>
          <w:attr w:name="ProductID" w:val="1000 a"/>
        </w:smartTagPr>
        <w:r w:rsidRPr="00E827F7">
          <w:rPr>
            <w:rFonts w:ascii="Arial" w:eastAsia="Times New Roman" w:hAnsi="Arial" w:cs="Arial"/>
            <w:sz w:val="24"/>
            <w:szCs w:val="24"/>
            <w:lang w:val="es-UY" w:eastAsia="es-UY"/>
          </w:rPr>
          <w:t>1000 a</w:t>
        </w:r>
      </w:smartTag>
      <w:r w:rsidRPr="00E827F7">
        <w:rPr>
          <w:rFonts w:ascii="Arial" w:eastAsia="Times New Roman" w:hAnsi="Arial" w:cs="Arial"/>
          <w:sz w:val="24"/>
          <w:szCs w:val="24"/>
          <w:lang w:val="es-UY" w:eastAsia="es-UY"/>
        </w:rPr>
        <w:t xml:space="preserve"> 1810) de la Organización Internacional de Entidades Fiscalizadoras Superiores (INTOSAI);</w:t>
      </w:r>
    </w:p>
    <w:p w:rsidR="00E827F7" w:rsidRPr="00E827F7" w:rsidRDefault="00E827F7" w:rsidP="0023285C">
      <w:pPr>
        <w:spacing w:after="0" w:line="360" w:lineRule="auto"/>
        <w:ind w:firstLine="851"/>
        <w:jc w:val="both"/>
        <w:rPr>
          <w:rFonts w:ascii="Arial" w:eastAsia="Times New Roman" w:hAnsi="Arial" w:cs="Arial"/>
          <w:sz w:val="24"/>
          <w:szCs w:val="24"/>
          <w:lang w:val="es-UY" w:eastAsia="es-UY"/>
        </w:rPr>
      </w:pPr>
      <w:r w:rsidRPr="00E827F7">
        <w:rPr>
          <w:rFonts w:ascii="Arial" w:eastAsia="Times New Roman" w:hAnsi="Arial" w:cs="Arial"/>
          <w:b/>
          <w:sz w:val="24"/>
          <w:szCs w:val="24"/>
          <w:lang w:val="es-UY" w:eastAsia="es-UY"/>
        </w:rPr>
        <w:t>CONSIDERANDO:</w:t>
      </w:r>
      <w:r w:rsidRPr="00E827F7">
        <w:rPr>
          <w:rFonts w:ascii="Arial" w:eastAsia="Times New Roman" w:hAnsi="Arial" w:cs="Arial"/>
          <w:sz w:val="24"/>
          <w:szCs w:val="24"/>
          <w:lang w:val="es-UY" w:eastAsia="es-UY"/>
        </w:rPr>
        <w:t xml:space="preserve"> que las conclusiones y evidencias obtenidas son las que se expresan en el Informe</w:t>
      </w:r>
      <w:r w:rsidR="00AF3C29">
        <w:rPr>
          <w:rFonts w:ascii="Arial" w:eastAsia="Times New Roman" w:hAnsi="Arial" w:cs="Arial"/>
          <w:sz w:val="24"/>
          <w:szCs w:val="24"/>
          <w:lang w:val="es-UY" w:eastAsia="es-UY"/>
        </w:rPr>
        <w:t xml:space="preserve"> de Auditoría, que incluye Dictámenes</w:t>
      </w:r>
      <w:r w:rsidRPr="00E827F7">
        <w:rPr>
          <w:rFonts w:ascii="Arial" w:eastAsia="Times New Roman" w:hAnsi="Arial" w:cs="Arial"/>
          <w:sz w:val="24"/>
          <w:szCs w:val="24"/>
          <w:lang w:val="es-UY" w:eastAsia="es-UY"/>
        </w:rPr>
        <w:t xml:space="preserve"> e Informe a la Administración;</w:t>
      </w:r>
    </w:p>
    <w:p w:rsidR="00E827F7" w:rsidRPr="00E827F7" w:rsidRDefault="00E827F7" w:rsidP="0023285C">
      <w:pPr>
        <w:spacing w:after="0" w:line="360" w:lineRule="auto"/>
        <w:ind w:firstLine="851"/>
        <w:jc w:val="both"/>
        <w:rPr>
          <w:rFonts w:ascii="Arial" w:eastAsia="Times New Roman" w:hAnsi="Arial" w:cs="Arial"/>
          <w:sz w:val="24"/>
          <w:szCs w:val="24"/>
          <w:lang w:val="es-UY" w:eastAsia="es-UY"/>
        </w:rPr>
      </w:pPr>
      <w:r w:rsidRPr="00E827F7">
        <w:rPr>
          <w:rFonts w:ascii="Arial" w:eastAsia="Times New Roman" w:hAnsi="Arial" w:cs="Arial"/>
          <w:b/>
          <w:sz w:val="24"/>
          <w:szCs w:val="24"/>
          <w:lang w:val="es-UY" w:eastAsia="es-UY"/>
        </w:rPr>
        <w:t>ATENTO:</w:t>
      </w:r>
      <w:r w:rsidRPr="00E827F7">
        <w:rPr>
          <w:rFonts w:ascii="Arial" w:eastAsia="Times New Roman" w:hAnsi="Arial" w:cs="Arial"/>
          <w:sz w:val="24"/>
          <w:szCs w:val="24"/>
          <w:lang w:val="es-UY" w:eastAsia="es-UY"/>
        </w:rPr>
        <w:t xml:space="preserve"> a lo dispuesto por los Artículo</w:t>
      </w:r>
      <w:r w:rsidR="0023285C">
        <w:rPr>
          <w:rFonts w:ascii="Arial" w:eastAsia="Times New Roman" w:hAnsi="Arial" w:cs="Arial"/>
          <w:sz w:val="24"/>
          <w:szCs w:val="24"/>
          <w:lang w:val="es-UY" w:eastAsia="es-UY"/>
        </w:rPr>
        <w:t>s</w:t>
      </w:r>
      <w:r w:rsidRPr="00E827F7">
        <w:rPr>
          <w:rFonts w:ascii="Arial" w:eastAsia="Times New Roman" w:hAnsi="Arial" w:cs="Arial"/>
          <w:sz w:val="24"/>
          <w:szCs w:val="24"/>
          <w:lang w:val="es-UY" w:eastAsia="es-UY"/>
        </w:rPr>
        <w:t xml:space="preserve"> 191 y 211 Literal</w:t>
      </w:r>
      <w:r w:rsidR="0023285C">
        <w:rPr>
          <w:rFonts w:ascii="Arial" w:eastAsia="Times New Roman" w:hAnsi="Arial" w:cs="Arial"/>
          <w:sz w:val="24"/>
          <w:szCs w:val="24"/>
          <w:lang w:val="es-UY" w:eastAsia="es-UY"/>
        </w:rPr>
        <w:t>es</w:t>
      </w:r>
      <w:r w:rsidRPr="00E827F7">
        <w:rPr>
          <w:rFonts w:ascii="Arial" w:eastAsia="Times New Roman" w:hAnsi="Arial" w:cs="Arial"/>
          <w:sz w:val="24"/>
          <w:szCs w:val="24"/>
          <w:lang w:val="es-UY" w:eastAsia="es-UY"/>
        </w:rPr>
        <w:t xml:space="preserve"> C) </w:t>
      </w:r>
      <w:r w:rsidR="00B25DB0">
        <w:rPr>
          <w:rFonts w:ascii="Arial" w:eastAsia="Times New Roman" w:hAnsi="Arial" w:cs="Arial"/>
          <w:sz w:val="24"/>
          <w:szCs w:val="24"/>
          <w:lang w:val="es-UY" w:eastAsia="es-UY"/>
        </w:rPr>
        <w:t xml:space="preserve">y E) </w:t>
      </w:r>
      <w:r w:rsidRPr="00E827F7">
        <w:rPr>
          <w:rFonts w:ascii="Arial" w:eastAsia="Times New Roman" w:hAnsi="Arial" w:cs="Arial"/>
          <w:sz w:val="24"/>
          <w:szCs w:val="24"/>
          <w:lang w:val="es-UY" w:eastAsia="es-UY"/>
        </w:rPr>
        <w:t xml:space="preserve">de la </w:t>
      </w:r>
      <w:r w:rsidR="00363BF6" w:rsidRPr="00E827F7">
        <w:rPr>
          <w:rFonts w:ascii="Arial" w:eastAsia="Times New Roman" w:hAnsi="Arial" w:cs="Arial"/>
          <w:sz w:val="24"/>
          <w:szCs w:val="24"/>
          <w:lang w:val="es-UY" w:eastAsia="es-UY"/>
        </w:rPr>
        <w:t>Constitución de</w:t>
      </w:r>
      <w:r w:rsidR="00C9175C">
        <w:rPr>
          <w:rFonts w:ascii="Arial" w:eastAsia="Times New Roman" w:hAnsi="Arial" w:cs="Arial"/>
          <w:sz w:val="24"/>
          <w:szCs w:val="24"/>
          <w:lang w:val="es-UY" w:eastAsia="es-UY"/>
        </w:rPr>
        <w:t xml:space="preserve"> la República;</w:t>
      </w:r>
    </w:p>
    <w:p w:rsidR="00E827F7" w:rsidRPr="00E827F7" w:rsidRDefault="00E827F7" w:rsidP="0023285C">
      <w:pPr>
        <w:spacing w:after="0" w:line="360" w:lineRule="auto"/>
        <w:jc w:val="center"/>
        <w:rPr>
          <w:rFonts w:ascii="Arial" w:eastAsia="Times New Roman" w:hAnsi="Arial" w:cs="Arial"/>
          <w:b/>
          <w:sz w:val="24"/>
          <w:szCs w:val="24"/>
          <w:lang w:val="es-UY" w:eastAsia="es-UY"/>
        </w:rPr>
      </w:pPr>
      <w:r w:rsidRPr="00E827F7">
        <w:rPr>
          <w:rFonts w:ascii="Arial" w:eastAsia="Times New Roman" w:hAnsi="Arial" w:cs="Arial"/>
          <w:b/>
          <w:sz w:val="24"/>
          <w:szCs w:val="24"/>
          <w:lang w:val="es-UY" w:eastAsia="es-UY"/>
        </w:rPr>
        <w:t>EL TRIBUNAL ACUERDA</w:t>
      </w:r>
    </w:p>
    <w:p w:rsidR="00E827F7" w:rsidRPr="00E827F7" w:rsidRDefault="00E827F7" w:rsidP="0023285C">
      <w:pPr>
        <w:tabs>
          <w:tab w:val="left" w:pos="426"/>
        </w:tabs>
        <w:spacing w:after="0" w:line="360" w:lineRule="auto"/>
        <w:jc w:val="both"/>
        <w:rPr>
          <w:rFonts w:ascii="Arial" w:eastAsia="Times New Roman" w:hAnsi="Arial" w:cs="Arial"/>
          <w:sz w:val="24"/>
          <w:szCs w:val="24"/>
          <w:lang w:val="es-UY" w:eastAsia="es-UY"/>
        </w:rPr>
      </w:pPr>
      <w:r w:rsidRPr="00E827F7">
        <w:rPr>
          <w:rFonts w:ascii="Arial" w:eastAsia="Times New Roman" w:hAnsi="Arial" w:cs="Arial"/>
          <w:b/>
          <w:sz w:val="24"/>
          <w:szCs w:val="24"/>
          <w:lang w:val="es-UY" w:eastAsia="es-UY"/>
        </w:rPr>
        <w:t>1)</w:t>
      </w:r>
      <w:r w:rsidRPr="00E827F7">
        <w:rPr>
          <w:rFonts w:ascii="Arial" w:eastAsia="Times New Roman" w:hAnsi="Arial" w:cs="Arial"/>
          <w:sz w:val="24"/>
          <w:szCs w:val="24"/>
          <w:lang w:val="es-UY" w:eastAsia="es-UY"/>
        </w:rPr>
        <w:tab/>
        <w:t>Expedirse en los términos del Informe de Auditoría que se adjunta;</w:t>
      </w:r>
    </w:p>
    <w:p w:rsidR="00AF3C29" w:rsidRDefault="00E827F7" w:rsidP="0023285C">
      <w:pPr>
        <w:tabs>
          <w:tab w:val="left" w:pos="426"/>
        </w:tabs>
        <w:spacing w:after="0" w:line="360" w:lineRule="auto"/>
        <w:ind w:left="357" w:hanging="357"/>
        <w:jc w:val="both"/>
        <w:rPr>
          <w:rFonts w:ascii="Arial" w:eastAsia="Times New Roman" w:hAnsi="Arial" w:cs="Arial"/>
          <w:sz w:val="24"/>
          <w:szCs w:val="24"/>
          <w:lang w:val="es-UY" w:eastAsia="es-UY"/>
        </w:rPr>
      </w:pPr>
      <w:r w:rsidRPr="00E827F7">
        <w:rPr>
          <w:rFonts w:ascii="Arial" w:eastAsia="Times New Roman" w:hAnsi="Arial" w:cs="Arial"/>
          <w:b/>
          <w:sz w:val="24"/>
          <w:szCs w:val="24"/>
          <w:lang w:val="es-UY" w:eastAsia="es-UY"/>
        </w:rPr>
        <w:lastRenderedPageBreak/>
        <w:t>2)</w:t>
      </w:r>
      <w:r w:rsidRPr="00E827F7">
        <w:rPr>
          <w:rFonts w:ascii="Arial" w:eastAsia="Times New Roman" w:hAnsi="Arial" w:cs="Arial"/>
          <w:sz w:val="24"/>
          <w:szCs w:val="24"/>
          <w:lang w:val="es-UY" w:eastAsia="es-UY"/>
        </w:rPr>
        <w:tab/>
        <w:t xml:space="preserve">Comunicar la presente Resolución al Ministerio de Vivienda, Ordenamiento Territorial y Medio Ambiente (MVOTMA), </w:t>
      </w:r>
      <w:r w:rsidR="008A2F3E">
        <w:rPr>
          <w:rFonts w:ascii="Arial" w:eastAsia="Times New Roman" w:hAnsi="Arial" w:cs="Arial"/>
          <w:sz w:val="24"/>
          <w:szCs w:val="24"/>
          <w:lang w:val="es-UY" w:eastAsia="es-UY"/>
        </w:rPr>
        <w:t xml:space="preserve">a la Auditoría Interna de la Nación, </w:t>
      </w:r>
      <w:r w:rsidRPr="00E827F7">
        <w:rPr>
          <w:rFonts w:ascii="Arial" w:eastAsia="Times New Roman" w:hAnsi="Arial" w:cs="Arial"/>
          <w:sz w:val="24"/>
          <w:szCs w:val="24"/>
          <w:lang w:val="es-UY" w:eastAsia="es-UY"/>
        </w:rPr>
        <w:t>a la Oficina de Planeamiento y Presupuesto (OPP)</w:t>
      </w:r>
      <w:r w:rsidR="00154ACF">
        <w:rPr>
          <w:rFonts w:ascii="Arial" w:eastAsia="Times New Roman" w:hAnsi="Arial" w:cs="Arial"/>
          <w:sz w:val="24"/>
          <w:szCs w:val="24"/>
          <w:lang w:val="es-UY" w:eastAsia="es-UY"/>
        </w:rPr>
        <w:t xml:space="preserve">, </w:t>
      </w:r>
      <w:r w:rsidRPr="00E827F7">
        <w:rPr>
          <w:rFonts w:ascii="Arial" w:eastAsia="Times New Roman" w:hAnsi="Arial" w:cs="Arial"/>
          <w:sz w:val="24"/>
          <w:szCs w:val="24"/>
          <w:lang w:val="es-UY" w:eastAsia="es-UY"/>
        </w:rPr>
        <w:t>al Organismo; y</w:t>
      </w:r>
      <w:r w:rsidR="00154ACF">
        <w:rPr>
          <w:rFonts w:ascii="Arial" w:eastAsia="Times New Roman" w:hAnsi="Arial" w:cs="Arial"/>
          <w:sz w:val="24"/>
          <w:szCs w:val="24"/>
          <w:lang w:val="es-UY" w:eastAsia="es-UY"/>
        </w:rPr>
        <w:t xml:space="preserve"> a los Contadores Delegados; y</w:t>
      </w:r>
    </w:p>
    <w:p w:rsidR="00E827F7" w:rsidRDefault="00AF3C29" w:rsidP="0023285C">
      <w:pPr>
        <w:tabs>
          <w:tab w:val="left" w:pos="426"/>
        </w:tabs>
        <w:spacing w:after="0" w:line="360" w:lineRule="auto"/>
        <w:ind w:left="357" w:hanging="357"/>
        <w:jc w:val="both"/>
        <w:rPr>
          <w:rFonts w:ascii="Arial" w:eastAsia="Times New Roman" w:hAnsi="Arial" w:cs="Arial"/>
          <w:sz w:val="24"/>
          <w:szCs w:val="24"/>
          <w:lang w:val="es-UY" w:eastAsia="es-UY"/>
        </w:rPr>
      </w:pPr>
      <w:r>
        <w:rPr>
          <w:rFonts w:ascii="Arial" w:eastAsia="Times New Roman" w:hAnsi="Arial" w:cs="Arial"/>
          <w:b/>
          <w:sz w:val="24"/>
          <w:szCs w:val="24"/>
          <w:lang w:val="es-UY" w:eastAsia="es-UY"/>
        </w:rPr>
        <w:t>3)</w:t>
      </w:r>
      <w:r>
        <w:rPr>
          <w:rFonts w:ascii="Arial" w:eastAsia="Times New Roman" w:hAnsi="Arial" w:cs="Arial"/>
          <w:b/>
          <w:sz w:val="24"/>
          <w:szCs w:val="24"/>
          <w:lang w:val="es-UY" w:eastAsia="es-UY"/>
        </w:rPr>
        <w:tab/>
      </w:r>
      <w:r w:rsidR="00E827F7" w:rsidRPr="00E827F7">
        <w:rPr>
          <w:rFonts w:ascii="Arial" w:eastAsia="Times New Roman" w:hAnsi="Arial" w:cs="Arial"/>
          <w:sz w:val="24"/>
          <w:szCs w:val="24"/>
          <w:lang w:val="es-UY" w:eastAsia="es-UY"/>
        </w:rPr>
        <w:t>Dar cuenta a la Asamblea General.</w:t>
      </w:r>
    </w:p>
    <w:p w:rsidR="0023285C" w:rsidRDefault="0023285C" w:rsidP="0023285C">
      <w:pPr>
        <w:tabs>
          <w:tab w:val="left" w:pos="426"/>
        </w:tabs>
        <w:spacing w:after="0" w:line="360" w:lineRule="auto"/>
        <w:ind w:left="357" w:hanging="357"/>
        <w:jc w:val="both"/>
        <w:rPr>
          <w:rFonts w:ascii="Calibri" w:eastAsia="Times New Roman" w:hAnsi="Calibri" w:cs="Times New Roman"/>
          <w:sz w:val="20"/>
          <w:szCs w:val="20"/>
          <w:lang w:val="es-UY" w:eastAsia="es-UY"/>
        </w:rPr>
      </w:pPr>
    </w:p>
    <w:p w:rsidR="0023285C" w:rsidRDefault="0023285C" w:rsidP="0023285C">
      <w:pPr>
        <w:tabs>
          <w:tab w:val="left" w:pos="426"/>
        </w:tabs>
        <w:spacing w:after="0" w:line="360" w:lineRule="auto"/>
        <w:ind w:left="357" w:hanging="357"/>
        <w:jc w:val="both"/>
        <w:rPr>
          <w:rFonts w:ascii="Calibri" w:eastAsia="Times New Roman" w:hAnsi="Calibri" w:cs="Times New Roman"/>
          <w:sz w:val="20"/>
          <w:szCs w:val="20"/>
          <w:lang w:val="es-UY" w:eastAsia="es-UY"/>
        </w:rPr>
      </w:pPr>
    </w:p>
    <w:p w:rsidR="0023285C" w:rsidRDefault="0023285C" w:rsidP="0023285C">
      <w:pPr>
        <w:tabs>
          <w:tab w:val="left" w:pos="426"/>
        </w:tabs>
        <w:spacing w:after="0" w:line="360" w:lineRule="auto"/>
        <w:ind w:left="357" w:hanging="357"/>
        <w:jc w:val="both"/>
        <w:rPr>
          <w:rFonts w:ascii="Calibri" w:eastAsia="Times New Roman" w:hAnsi="Calibri" w:cs="Times New Roman"/>
          <w:sz w:val="20"/>
          <w:szCs w:val="20"/>
          <w:lang w:val="es-UY" w:eastAsia="es-UY"/>
        </w:rPr>
      </w:pPr>
    </w:p>
    <w:p w:rsidR="0023285C" w:rsidRDefault="0023285C" w:rsidP="0023285C">
      <w:pPr>
        <w:tabs>
          <w:tab w:val="left" w:pos="426"/>
        </w:tabs>
        <w:spacing w:after="0" w:line="360" w:lineRule="auto"/>
        <w:ind w:left="357" w:hanging="357"/>
        <w:jc w:val="both"/>
        <w:rPr>
          <w:rFonts w:ascii="Calibri" w:eastAsia="Times New Roman" w:hAnsi="Calibri" w:cs="Times New Roman"/>
          <w:sz w:val="20"/>
          <w:szCs w:val="20"/>
          <w:lang w:val="es-UY" w:eastAsia="es-UY"/>
        </w:rPr>
      </w:pPr>
    </w:p>
    <w:p w:rsidR="0023285C" w:rsidRDefault="0023285C" w:rsidP="0023285C">
      <w:pPr>
        <w:tabs>
          <w:tab w:val="left" w:pos="426"/>
        </w:tabs>
        <w:spacing w:after="0" w:line="360" w:lineRule="auto"/>
        <w:ind w:left="357" w:hanging="357"/>
        <w:jc w:val="both"/>
        <w:rPr>
          <w:rFonts w:ascii="Calibri" w:eastAsia="Times New Roman" w:hAnsi="Calibri" w:cs="Times New Roman"/>
          <w:sz w:val="20"/>
          <w:szCs w:val="20"/>
          <w:lang w:val="es-UY" w:eastAsia="es-UY"/>
        </w:rPr>
      </w:pPr>
    </w:p>
    <w:p w:rsidR="0023285C" w:rsidRDefault="0023285C" w:rsidP="0023285C">
      <w:pPr>
        <w:tabs>
          <w:tab w:val="left" w:pos="426"/>
        </w:tabs>
        <w:spacing w:after="0" w:line="360" w:lineRule="auto"/>
        <w:ind w:left="357" w:hanging="357"/>
        <w:jc w:val="both"/>
        <w:rPr>
          <w:rFonts w:ascii="Calibri" w:eastAsia="Times New Roman" w:hAnsi="Calibri" w:cs="Times New Roman"/>
          <w:sz w:val="20"/>
          <w:szCs w:val="20"/>
          <w:lang w:val="es-UY" w:eastAsia="es-UY"/>
        </w:rPr>
      </w:pPr>
    </w:p>
    <w:p w:rsidR="0023285C" w:rsidRDefault="0023285C" w:rsidP="0023285C">
      <w:pPr>
        <w:tabs>
          <w:tab w:val="left" w:pos="426"/>
        </w:tabs>
        <w:spacing w:after="0" w:line="360" w:lineRule="auto"/>
        <w:ind w:left="357" w:hanging="357"/>
        <w:jc w:val="both"/>
        <w:rPr>
          <w:rFonts w:ascii="Calibri" w:eastAsia="Times New Roman" w:hAnsi="Calibri" w:cs="Times New Roman"/>
          <w:sz w:val="20"/>
          <w:szCs w:val="20"/>
          <w:lang w:val="es-UY" w:eastAsia="es-UY"/>
        </w:rPr>
      </w:pPr>
    </w:p>
    <w:p w:rsidR="0023285C" w:rsidRDefault="0023285C" w:rsidP="0023285C">
      <w:pPr>
        <w:tabs>
          <w:tab w:val="left" w:pos="426"/>
        </w:tabs>
        <w:spacing w:after="0" w:line="360" w:lineRule="auto"/>
        <w:ind w:left="357" w:hanging="783"/>
        <w:jc w:val="both"/>
        <w:rPr>
          <w:rFonts w:ascii="Arial" w:eastAsia="Times New Roman" w:hAnsi="Arial" w:cs="Arial"/>
          <w:sz w:val="24"/>
          <w:szCs w:val="24"/>
          <w:lang w:val="es-UY" w:eastAsia="es-UY"/>
        </w:rPr>
      </w:pPr>
      <w:proofErr w:type="gramStart"/>
      <w:r w:rsidRPr="0023285C">
        <w:rPr>
          <w:rFonts w:ascii="Arial" w:eastAsia="Times New Roman" w:hAnsi="Arial" w:cs="Arial"/>
          <w:sz w:val="24"/>
          <w:szCs w:val="24"/>
          <w:lang w:val="es-UY" w:eastAsia="es-UY"/>
        </w:rPr>
        <w:t>dc</w:t>
      </w:r>
      <w:proofErr w:type="gramEnd"/>
    </w:p>
    <w:p w:rsidR="00421268" w:rsidRDefault="00421268" w:rsidP="0023285C">
      <w:pPr>
        <w:tabs>
          <w:tab w:val="left" w:pos="426"/>
        </w:tabs>
        <w:spacing w:after="0" w:line="360" w:lineRule="auto"/>
        <w:ind w:left="357" w:hanging="783"/>
        <w:jc w:val="both"/>
        <w:rPr>
          <w:rFonts w:ascii="Arial" w:eastAsia="Times New Roman" w:hAnsi="Arial" w:cs="Arial"/>
          <w:sz w:val="24"/>
          <w:szCs w:val="24"/>
          <w:lang w:val="es-UY" w:eastAsia="es-UY"/>
        </w:rPr>
      </w:pPr>
    </w:p>
    <w:p w:rsidR="00421268" w:rsidRDefault="00421268" w:rsidP="0023285C">
      <w:pPr>
        <w:tabs>
          <w:tab w:val="left" w:pos="426"/>
        </w:tabs>
        <w:spacing w:after="0" w:line="360" w:lineRule="auto"/>
        <w:ind w:left="357" w:hanging="783"/>
        <w:jc w:val="both"/>
        <w:rPr>
          <w:rFonts w:ascii="Arial" w:eastAsia="Times New Roman" w:hAnsi="Arial" w:cs="Arial"/>
          <w:sz w:val="24"/>
          <w:szCs w:val="24"/>
          <w:lang w:val="es-UY" w:eastAsia="es-UY"/>
        </w:rPr>
      </w:pPr>
    </w:p>
    <w:p w:rsidR="00421268" w:rsidRDefault="00421268" w:rsidP="0023285C">
      <w:pPr>
        <w:tabs>
          <w:tab w:val="left" w:pos="426"/>
        </w:tabs>
        <w:spacing w:after="0" w:line="360" w:lineRule="auto"/>
        <w:ind w:left="357" w:hanging="783"/>
        <w:jc w:val="both"/>
        <w:rPr>
          <w:rFonts w:ascii="Arial" w:eastAsia="Times New Roman" w:hAnsi="Arial" w:cs="Arial"/>
          <w:sz w:val="24"/>
          <w:szCs w:val="24"/>
          <w:lang w:val="es-UY" w:eastAsia="es-UY"/>
        </w:rPr>
      </w:pPr>
    </w:p>
    <w:p w:rsidR="00421268" w:rsidRDefault="00421268" w:rsidP="0023285C">
      <w:pPr>
        <w:tabs>
          <w:tab w:val="left" w:pos="426"/>
        </w:tabs>
        <w:spacing w:after="0" w:line="360" w:lineRule="auto"/>
        <w:ind w:left="357" w:hanging="783"/>
        <w:jc w:val="both"/>
        <w:rPr>
          <w:rFonts w:ascii="Arial" w:eastAsia="Times New Roman" w:hAnsi="Arial" w:cs="Arial"/>
          <w:sz w:val="24"/>
          <w:szCs w:val="24"/>
          <w:lang w:val="es-UY" w:eastAsia="es-UY"/>
        </w:rPr>
      </w:pPr>
    </w:p>
    <w:p w:rsidR="00421268" w:rsidRDefault="00421268" w:rsidP="0023285C">
      <w:pPr>
        <w:tabs>
          <w:tab w:val="left" w:pos="426"/>
        </w:tabs>
        <w:spacing w:after="0" w:line="360" w:lineRule="auto"/>
        <w:ind w:left="357" w:hanging="783"/>
        <w:jc w:val="both"/>
        <w:rPr>
          <w:rFonts w:ascii="Arial" w:eastAsia="Times New Roman" w:hAnsi="Arial" w:cs="Arial"/>
          <w:sz w:val="24"/>
          <w:szCs w:val="24"/>
          <w:lang w:val="es-UY" w:eastAsia="es-UY"/>
        </w:rPr>
      </w:pPr>
    </w:p>
    <w:p w:rsidR="00421268" w:rsidRDefault="00421268" w:rsidP="0023285C">
      <w:pPr>
        <w:tabs>
          <w:tab w:val="left" w:pos="426"/>
        </w:tabs>
        <w:spacing w:after="0" w:line="360" w:lineRule="auto"/>
        <w:ind w:left="357" w:hanging="783"/>
        <w:jc w:val="both"/>
        <w:rPr>
          <w:rFonts w:ascii="Arial" w:eastAsia="Times New Roman" w:hAnsi="Arial" w:cs="Arial"/>
          <w:sz w:val="24"/>
          <w:szCs w:val="24"/>
          <w:lang w:val="es-UY" w:eastAsia="es-UY"/>
        </w:rPr>
      </w:pPr>
    </w:p>
    <w:p w:rsidR="00421268" w:rsidRDefault="00421268" w:rsidP="0023285C">
      <w:pPr>
        <w:tabs>
          <w:tab w:val="left" w:pos="426"/>
        </w:tabs>
        <w:spacing w:after="0" w:line="360" w:lineRule="auto"/>
        <w:ind w:left="357" w:hanging="783"/>
        <w:jc w:val="both"/>
        <w:rPr>
          <w:rFonts w:ascii="Arial" w:eastAsia="Times New Roman" w:hAnsi="Arial" w:cs="Arial"/>
          <w:sz w:val="24"/>
          <w:szCs w:val="24"/>
          <w:lang w:val="es-UY" w:eastAsia="es-UY"/>
        </w:rPr>
      </w:pPr>
    </w:p>
    <w:p w:rsidR="00421268" w:rsidRDefault="00421268" w:rsidP="0023285C">
      <w:pPr>
        <w:tabs>
          <w:tab w:val="left" w:pos="426"/>
        </w:tabs>
        <w:spacing w:after="0" w:line="360" w:lineRule="auto"/>
        <w:ind w:left="357" w:hanging="783"/>
        <w:jc w:val="both"/>
        <w:rPr>
          <w:rFonts w:ascii="Arial" w:eastAsia="Times New Roman" w:hAnsi="Arial" w:cs="Arial"/>
          <w:sz w:val="24"/>
          <w:szCs w:val="24"/>
          <w:lang w:val="es-UY" w:eastAsia="es-UY"/>
        </w:rPr>
      </w:pPr>
    </w:p>
    <w:p w:rsidR="00421268" w:rsidRDefault="00421268" w:rsidP="0023285C">
      <w:pPr>
        <w:tabs>
          <w:tab w:val="left" w:pos="426"/>
        </w:tabs>
        <w:spacing w:after="0" w:line="360" w:lineRule="auto"/>
        <w:ind w:left="357" w:hanging="783"/>
        <w:jc w:val="both"/>
        <w:rPr>
          <w:rFonts w:ascii="Arial" w:eastAsia="Times New Roman" w:hAnsi="Arial" w:cs="Arial"/>
          <w:sz w:val="24"/>
          <w:szCs w:val="24"/>
          <w:lang w:val="es-UY" w:eastAsia="es-UY"/>
        </w:rPr>
      </w:pPr>
    </w:p>
    <w:p w:rsidR="00421268" w:rsidRDefault="00421268" w:rsidP="0023285C">
      <w:pPr>
        <w:tabs>
          <w:tab w:val="left" w:pos="426"/>
        </w:tabs>
        <w:spacing w:after="0" w:line="360" w:lineRule="auto"/>
        <w:ind w:left="357" w:hanging="783"/>
        <w:jc w:val="both"/>
        <w:rPr>
          <w:rFonts w:ascii="Arial" w:eastAsia="Times New Roman" w:hAnsi="Arial" w:cs="Arial"/>
          <w:sz w:val="24"/>
          <w:szCs w:val="24"/>
          <w:lang w:val="es-UY" w:eastAsia="es-UY"/>
        </w:rPr>
      </w:pPr>
    </w:p>
    <w:p w:rsidR="00421268" w:rsidRDefault="00421268" w:rsidP="0023285C">
      <w:pPr>
        <w:tabs>
          <w:tab w:val="left" w:pos="426"/>
        </w:tabs>
        <w:spacing w:after="0" w:line="360" w:lineRule="auto"/>
        <w:ind w:left="357" w:hanging="783"/>
        <w:jc w:val="both"/>
        <w:rPr>
          <w:rFonts w:ascii="Arial" w:eastAsia="Times New Roman" w:hAnsi="Arial" w:cs="Arial"/>
          <w:sz w:val="24"/>
          <w:szCs w:val="24"/>
          <w:lang w:val="es-UY" w:eastAsia="es-UY"/>
        </w:rPr>
      </w:pPr>
    </w:p>
    <w:p w:rsidR="00421268" w:rsidRDefault="00421268" w:rsidP="0023285C">
      <w:pPr>
        <w:tabs>
          <w:tab w:val="left" w:pos="426"/>
        </w:tabs>
        <w:spacing w:after="0" w:line="360" w:lineRule="auto"/>
        <w:ind w:left="357" w:hanging="783"/>
        <w:jc w:val="both"/>
        <w:rPr>
          <w:rFonts w:ascii="Arial" w:eastAsia="Times New Roman" w:hAnsi="Arial" w:cs="Arial"/>
          <w:sz w:val="24"/>
          <w:szCs w:val="24"/>
          <w:lang w:val="es-UY" w:eastAsia="es-UY"/>
        </w:rPr>
      </w:pPr>
    </w:p>
    <w:p w:rsidR="00421268" w:rsidRDefault="00421268" w:rsidP="0023285C">
      <w:pPr>
        <w:tabs>
          <w:tab w:val="left" w:pos="426"/>
        </w:tabs>
        <w:spacing w:after="0" w:line="360" w:lineRule="auto"/>
        <w:ind w:left="357" w:hanging="783"/>
        <w:jc w:val="both"/>
        <w:rPr>
          <w:rFonts w:ascii="Arial" w:eastAsia="Times New Roman" w:hAnsi="Arial" w:cs="Arial"/>
          <w:sz w:val="24"/>
          <w:szCs w:val="24"/>
          <w:lang w:val="es-UY" w:eastAsia="es-UY"/>
        </w:rPr>
      </w:pPr>
    </w:p>
    <w:p w:rsidR="00421268" w:rsidRDefault="00421268" w:rsidP="0023285C">
      <w:pPr>
        <w:tabs>
          <w:tab w:val="left" w:pos="426"/>
        </w:tabs>
        <w:spacing w:after="0" w:line="360" w:lineRule="auto"/>
        <w:ind w:left="357" w:hanging="783"/>
        <w:jc w:val="both"/>
        <w:rPr>
          <w:rFonts w:ascii="Arial" w:eastAsia="Times New Roman" w:hAnsi="Arial" w:cs="Arial"/>
          <w:sz w:val="24"/>
          <w:szCs w:val="24"/>
          <w:lang w:val="es-UY" w:eastAsia="es-UY"/>
        </w:rPr>
      </w:pPr>
    </w:p>
    <w:p w:rsidR="00421268" w:rsidRDefault="00421268" w:rsidP="0023285C">
      <w:pPr>
        <w:tabs>
          <w:tab w:val="left" w:pos="426"/>
        </w:tabs>
        <w:spacing w:after="0" w:line="360" w:lineRule="auto"/>
        <w:ind w:left="357" w:hanging="783"/>
        <w:jc w:val="both"/>
        <w:rPr>
          <w:rFonts w:ascii="Arial" w:eastAsia="Times New Roman" w:hAnsi="Arial" w:cs="Arial"/>
          <w:sz w:val="24"/>
          <w:szCs w:val="24"/>
          <w:lang w:val="es-UY" w:eastAsia="es-UY"/>
        </w:rPr>
      </w:pPr>
    </w:p>
    <w:p w:rsidR="00421268" w:rsidRDefault="00421268" w:rsidP="0023285C">
      <w:pPr>
        <w:tabs>
          <w:tab w:val="left" w:pos="426"/>
        </w:tabs>
        <w:spacing w:after="0" w:line="360" w:lineRule="auto"/>
        <w:ind w:left="357" w:hanging="783"/>
        <w:jc w:val="both"/>
        <w:rPr>
          <w:rFonts w:ascii="Arial" w:eastAsia="Times New Roman" w:hAnsi="Arial" w:cs="Arial"/>
          <w:sz w:val="24"/>
          <w:szCs w:val="24"/>
          <w:lang w:val="es-UY" w:eastAsia="es-UY"/>
        </w:rPr>
      </w:pPr>
    </w:p>
    <w:p w:rsidR="00421268" w:rsidRDefault="00421268" w:rsidP="0023285C">
      <w:pPr>
        <w:tabs>
          <w:tab w:val="left" w:pos="426"/>
        </w:tabs>
        <w:spacing w:after="0" w:line="360" w:lineRule="auto"/>
        <w:ind w:left="357" w:hanging="783"/>
        <w:jc w:val="both"/>
        <w:rPr>
          <w:rFonts w:ascii="Arial" w:eastAsia="Times New Roman" w:hAnsi="Arial" w:cs="Arial"/>
          <w:sz w:val="24"/>
          <w:szCs w:val="24"/>
          <w:lang w:val="es-UY" w:eastAsia="es-UY"/>
        </w:rPr>
      </w:pPr>
    </w:p>
    <w:p w:rsidR="00421268" w:rsidRPr="00C9175C" w:rsidRDefault="00421268" w:rsidP="00EE470C">
      <w:pPr>
        <w:spacing w:line="360" w:lineRule="auto"/>
        <w:jc w:val="center"/>
        <w:rPr>
          <w:rFonts w:ascii="Arial" w:eastAsia="Calibri" w:hAnsi="Arial" w:cs="Arial"/>
          <w:b/>
          <w:sz w:val="24"/>
          <w:szCs w:val="24"/>
        </w:rPr>
      </w:pPr>
      <w:r w:rsidRPr="00C9175C">
        <w:rPr>
          <w:rFonts w:ascii="Arial" w:eastAsia="Calibri" w:hAnsi="Arial" w:cs="Arial"/>
          <w:b/>
          <w:sz w:val="24"/>
          <w:szCs w:val="24"/>
        </w:rPr>
        <w:t>DICTAMEN</w:t>
      </w:r>
    </w:p>
    <w:p w:rsidR="00421268" w:rsidRPr="00C9175C" w:rsidRDefault="00421268" w:rsidP="00F61540">
      <w:pPr>
        <w:spacing w:after="0" w:line="360" w:lineRule="auto"/>
        <w:jc w:val="center"/>
        <w:rPr>
          <w:rFonts w:ascii="Arial" w:hAnsi="Arial" w:cs="Arial"/>
          <w:b/>
          <w:sz w:val="24"/>
          <w:szCs w:val="24"/>
        </w:rPr>
      </w:pPr>
    </w:p>
    <w:p w:rsidR="00421268" w:rsidRPr="00C9175C" w:rsidRDefault="00421268" w:rsidP="00F61540">
      <w:pPr>
        <w:spacing w:after="0" w:line="360" w:lineRule="auto"/>
        <w:jc w:val="both"/>
        <w:rPr>
          <w:rFonts w:ascii="Arial" w:hAnsi="Arial" w:cs="Arial"/>
          <w:sz w:val="24"/>
          <w:szCs w:val="24"/>
        </w:rPr>
      </w:pPr>
      <w:r w:rsidRPr="00C9175C">
        <w:rPr>
          <w:rFonts w:ascii="Arial" w:hAnsi="Arial" w:cs="Arial"/>
          <w:b/>
          <w:sz w:val="24"/>
          <w:szCs w:val="24"/>
        </w:rPr>
        <w:t>Opinión sin salvedades</w:t>
      </w:r>
    </w:p>
    <w:p w:rsidR="00421268" w:rsidRPr="00C9175C" w:rsidRDefault="00421268" w:rsidP="00F61540">
      <w:pPr>
        <w:spacing w:after="0" w:line="360" w:lineRule="auto"/>
        <w:jc w:val="both"/>
        <w:rPr>
          <w:rFonts w:ascii="Arial" w:hAnsi="Arial" w:cs="Arial"/>
          <w:sz w:val="24"/>
          <w:szCs w:val="24"/>
        </w:rPr>
      </w:pPr>
      <w:r w:rsidRPr="00C9175C">
        <w:rPr>
          <w:rFonts w:ascii="Arial" w:hAnsi="Arial" w:cs="Arial"/>
          <w:sz w:val="24"/>
          <w:szCs w:val="24"/>
        </w:rPr>
        <w:t>El Tribunal de Cuentas ha auditado el Estado de Ejecución Presupuestal del Banco Hipotecario del Uruguay (BHU) por el Ejercicio finalizado el 31/12/2017</w:t>
      </w:r>
      <w:r w:rsidRPr="00C9175C">
        <w:rPr>
          <w:rFonts w:ascii="Arial" w:hAnsi="Arial" w:cs="Arial"/>
          <w:i/>
          <w:sz w:val="24"/>
          <w:szCs w:val="24"/>
        </w:rPr>
        <w:t xml:space="preserve">, </w:t>
      </w:r>
      <w:r w:rsidRPr="00C9175C">
        <w:rPr>
          <w:rFonts w:ascii="Arial" w:hAnsi="Arial" w:cs="Arial"/>
          <w:sz w:val="24"/>
          <w:szCs w:val="24"/>
        </w:rPr>
        <w:t>los Anexos y las not</w:t>
      </w:r>
      <w:r w:rsidR="00C9175C">
        <w:rPr>
          <w:rFonts w:ascii="Arial" w:hAnsi="Arial" w:cs="Arial"/>
          <w:sz w:val="24"/>
          <w:szCs w:val="24"/>
        </w:rPr>
        <w:t>as explicativas a dicho estado.</w:t>
      </w:r>
    </w:p>
    <w:p w:rsidR="00421268" w:rsidRPr="00C9175C" w:rsidRDefault="00421268" w:rsidP="00F61540">
      <w:pPr>
        <w:spacing w:after="0" w:line="360" w:lineRule="auto"/>
        <w:jc w:val="both"/>
        <w:rPr>
          <w:rFonts w:ascii="Arial" w:hAnsi="Arial" w:cs="Arial"/>
          <w:color w:val="9BBB59"/>
          <w:sz w:val="24"/>
          <w:szCs w:val="24"/>
        </w:rPr>
      </w:pPr>
      <w:r w:rsidRPr="00C9175C">
        <w:rPr>
          <w:rFonts w:ascii="Arial" w:hAnsi="Arial" w:cs="Arial"/>
          <w:sz w:val="24"/>
          <w:szCs w:val="24"/>
        </w:rPr>
        <w:t>En opinión del Tribunal de Cuentas, el estado referido precedentemente presenta razonablemente, en todos sus aspectos significativos, la ejecución presupuestal del BHU correspondiente al Ejercicio finalizado el 31/12/2017, de acuerdo con las normas establecidas en el TOCAF, en el Presupuesto vigente para el Ejercicio 2017 y en la Ordenanza Nº 75 de fecha 16/09/1998 del Tribunal de Cuentas.</w:t>
      </w:r>
    </w:p>
    <w:p w:rsidR="00421268" w:rsidRPr="00C9175C" w:rsidRDefault="00421268" w:rsidP="00F61540">
      <w:pPr>
        <w:spacing w:after="0" w:line="360" w:lineRule="auto"/>
        <w:jc w:val="both"/>
        <w:rPr>
          <w:rFonts w:ascii="Arial" w:hAnsi="Arial" w:cs="Arial"/>
          <w:b/>
          <w:sz w:val="24"/>
          <w:szCs w:val="24"/>
        </w:rPr>
      </w:pPr>
    </w:p>
    <w:p w:rsidR="00421268" w:rsidRPr="00C9175C" w:rsidRDefault="00421268" w:rsidP="00F61540">
      <w:pPr>
        <w:spacing w:after="0" w:line="360" w:lineRule="auto"/>
        <w:jc w:val="both"/>
        <w:rPr>
          <w:rFonts w:ascii="Arial" w:hAnsi="Arial" w:cs="Arial"/>
          <w:b/>
          <w:sz w:val="24"/>
          <w:szCs w:val="24"/>
        </w:rPr>
      </w:pPr>
      <w:r w:rsidRPr="00C9175C">
        <w:rPr>
          <w:rFonts w:ascii="Arial" w:hAnsi="Arial" w:cs="Arial"/>
          <w:b/>
          <w:sz w:val="24"/>
          <w:szCs w:val="24"/>
        </w:rPr>
        <w:t>Opinión respecto al cumplimiento de la normativa legal aplicable</w:t>
      </w:r>
    </w:p>
    <w:p w:rsidR="00421268" w:rsidRPr="00C9175C" w:rsidRDefault="00421268" w:rsidP="00F61540">
      <w:pPr>
        <w:spacing w:after="0" w:line="360" w:lineRule="auto"/>
        <w:jc w:val="both"/>
        <w:rPr>
          <w:rFonts w:ascii="Arial" w:hAnsi="Arial" w:cs="Arial"/>
          <w:sz w:val="24"/>
          <w:szCs w:val="24"/>
        </w:rPr>
      </w:pPr>
      <w:r w:rsidRPr="00C9175C">
        <w:rPr>
          <w:rFonts w:ascii="Arial" w:hAnsi="Arial" w:cs="Arial"/>
          <w:sz w:val="24"/>
          <w:szCs w:val="24"/>
        </w:rPr>
        <w:t xml:space="preserve">En el curso de la auditoría se han constatado </w:t>
      </w:r>
      <w:r w:rsidR="00C9175C">
        <w:rPr>
          <w:rFonts w:ascii="Arial" w:hAnsi="Arial" w:cs="Arial"/>
          <w:sz w:val="24"/>
          <w:szCs w:val="24"/>
        </w:rPr>
        <w:t>los siguientes incumplimientos:</w:t>
      </w:r>
    </w:p>
    <w:p w:rsidR="00421268" w:rsidRPr="00C9175C" w:rsidRDefault="00421268" w:rsidP="00421268">
      <w:pPr>
        <w:numPr>
          <w:ilvl w:val="0"/>
          <w:numId w:val="1"/>
        </w:numPr>
        <w:spacing w:after="0" w:line="360" w:lineRule="auto"/>
        <w:jc w:val="both"/>
        <w:rPr>
          <w:rFonts w:ascii="Arial" w:hAnsi="Arial" w:cs="Arial"/>
          <w:sz w:val="24"/>
          <w:szCs w:val="24"/>
        </w:rPr>
      </w:pPr>
      <w:r w:rsidRPr="00C9175C">
        <w:rPr>
          <w:rFonts w:ascii="Arial" w:hAnsi="Arial" w:cs="Arial"/>
          <w:sz w:val="24"/>
          <w:szCs w:val="24"/>
        </w:rPr>
        <w:t>Artículo 211 Literal B) de la Constitución de la Republica y Artículo 3 de la Ley N° 19.149 de 24/10/2013</w:t>
      </w:r>
      <w:r w:rsidRPr="00C9175C">
        <w:rPr>
          <w:rFonts w:ascii="Arial" w:eastAsia="Calibri" w:hAnsi="Arial" w:cs="Arial"/>
          <w:sz w:val="24"/>
          <w:szCs w:val="24"/>
        </w:rPr>
        <w:t>.</w:t>
      </w:r>
    </w:p>
    <w:p w:rsidR="00421268" w:rsidRPr="00C9175C" w:rsidRDefault="00421268" w:rsidP="00421268">
      <w:pPr>
        <w:numPr>
          <w:ilvl w:val="0"/>
          <w:numId w:val="1"/>
        </w:numPr>
        <w:spacing w:after="0" w:line="360" w:lineRule="auto"/>
        <w:jc w:val="both"/>
        <w:rPr>
          <w:rStyle w:val="qowt-font3-arial"/>
          <w:rFonts w:ascii="Arial" w:hAnsi="Arial" w:cs="Arial"/>
          <w:sz w:val="24"/>
          <w:szCs w:val="24"/>
        </w:rPr>
      </w:pPr>
      <w:r w:rsidRPr="00C9175C">
        <w:rPr>
          <w:rStyle w:val="qowt-font3-arial"/>
          <w:rFonts w:ascii="Arial" w:hAnsi="Arial" w:cs="Arial"/>
          <w:sz w:val="24"/>
          <w:szCs w:val="24"/>
        </w:rPr>
        <w:t>Artículo 5 literal d) de la Le</w:t>
      </w:r>
      <w:r w:rsidR="00C9175C">
        <w:rPr>
          <w:rStyle w:val="qowt-font3-arial"/>
          <w:rFonts w:ascii="Arial" w:hAnsi="Arial" w:cs="Arial"/>
          <w:sz w:val="24"/>
          <w:szCs w:val="24"/>
        </w:rPr>
        <w:t>y Nº 18.381 de fecha 07/11/2008</w:t>
      </w:r>
    </w:p>
    <w:p w:rsidR="00421268" w:rsidRPr="00C9175C" w:rsidRDefault="00421268" w:rsidP="00421268">
      <w:pPr>
        <w:numPr>
          <w:ilvl w:val="0"/>
          <w:numId w:val="1"/>
        </w:numPr>
        <w:spacing w:after="0" w:line="360" w:lineRule="auto"/>
        <w:jc w:val="both"/>
        <w:rPr>
          <w:rFonts w:ascii="Arial" w:hAnsi="Arial" w:cs="Arial"/>
          <w:sz w:val="24"/>
          <w:szCs w:val="24"/>
        </w:rPr>
      </w:pPr>
      <w:r w:rsidRPr="00C9175C">
        <w:rPr>
          <w:rFonts w:ascii="Arial" w:eastAsia="Calibri" w:hAnsi="Arial" w:cs="Arial"/>
          <w:sz w:val="24"/>
          <w:szCs w:val="24"/>
        </w:rPr>
        <w:t>Artículo 4 de</w:t>
      </w:r>
      <w:r w:rsidR="00C9175C">
        <w:rPr>
          <w:rFonts w:ascii="Arial" w:eastAsia="Calibri" w:hAnsi="Arial" w:cs="Arial"/>
          <w:sz w:val="24"/>
          <w:szCs w:val="24"/>
        </w:rPr>
        <w:t xml:space="preserve"> la Ley Nº 19.122 de 21/08/2013</w:t>
      </w:r>
    </w:p>
    <w:p w:rsidR="00421268" w:rsidRPr="00C9175C" w:rsidRDefault="00C9175C" w:rsidP="00421268">
      <w:pPr>
        <w:numPr>
          <w:ilvl w:val="0"/>
          <w:numId w:val="1"/>
        </w:numPr>
        <w:spacing w:after="0" w:line="360" w:lineRule="auto"/>
        <w:jc w:val="both"/>
        <w:rPr>
          <w:rFonts w:ascii="Arial" w:hAnsi="Arial" w:cs="Arial"/>
          <w:sz w:val="24"/>
          <w:szCs w:val="24"/>
        </w:rPr>
      </w:pPr>
      <w:r>
        <w:rPr>
          <w:rFonts w:ascii="Arial" w:hAnsi="Arial" w:cs="Arial"/>
          <w:sz w:val="24"/>
          <w:szCs w:val="24"/>
        </w:rPr>
        <w:t>Artículo 38 del TOCAF</w:t>
      </w:r>
    </w:p>
    <w:p w:rsidR="00421268" w:rsidRPr="00C9175C" w:rsidRDefault="00421268" w:rsidP="00421268">
      <w:pPr>
        <w:numPr>
          <w:ilvl w:val="0"/>
          <w:numId w:val="1"/>
        </w:numPr>
        <w:spacing w:after="0" w:line="360" w:lineRule="auto"/>
        <w:jc w:val="both"/>
        <w:rPr>
          <w:rFonts w:ascii="Arial" w:hAnsi="Arial" w:cs="Arial"/>
          <w:sz w:val="24"/>
          <w:szCs w:val="24"/>
        </w:rPr>
      </w:pPr>
      <w:r w:rsidRPr="00C9175C">
        <w:rPr>
          <w:rFonts w:ascii="Arial" w:hAnsi="Arial" w:cs="Arial"/>
          <w:sz w:val="24"/>
          <w:szCs w:val="24"/>
        </w:rPr>
        <w:t>Artículo 84 del TOCAF</w:t>
      </w:r>
    </w:p>
    <w:p w:rsidR="00421268" w:rsidRPr="00C9175C" w:rsidRDefault="00421268" w:rsidP="00421268">
      <w:pPr>
        <w:numPr>
          <w:ilvl w:val="0"/>
          <w:numId w:val="1"/>
        </w:numPr>
        <w:spacing w:after="0" w:line="360" w:lineRule="auto"/>
        <w:jc w:val="both"/>
        <w:rPr>
          <w:rFonts w:ascii="Arial" w:hAnsi="Arial" w:cs="Arial"/>
          <w:sz w:val="24"/>
          <w:szCs w:val="24"/>
        </w:rPr>
      </w:pPr>
      <w:r w:rsidRPr="00C9175C">
        <w:rPr>
          <w:rFonts w:ascii="Arial" w:eastAsia="Calibri" w:hAnsi="Arial" w:cs="Arial"/>
          <w:bCs/>
          <w:sz w:val="24"/>
          <w:szCs w:val="24"/>
          <w:lang w:eastAsia="es-ES"/>
        </w:rPr>
        <w:t>Artículo 51 del Decreto Nº 442/016 de 29/12/2016.</w:t>
      </w:r>
    </w:p>
    <w:p w:rsidR="00421268" w:rsidRPr="00C9175C" w:rsidRDefault="00421268" w:rsidP="00421268">
      <w:pPr>
        <w:numPr>
          <w:ilvl w:val="0"/>
          <w:numId w:val="1"/>
        </w:numPr>
        <w:spacing w:after="0" w:line="360" w:lineRule="auto"/>
        <w:jc w:val="both"/>
        <w:rPr>
          <w:rFonts w:ascii="Arial" w:hAnsi="Arial" w:cs="Arial"/>
          <w:sz w:val="24"/>
          <w:szCs w:val="24"/>
        </w:rPr>
      </w:pPr>
      <w:r w:rsidRPr="00C9175C">
        <w:rPr>
          <w:rFonts w:ascii="Arial" w:hAnsi="Arial" w:cs="Arial"/>
          <w:sz w:val="24"/>
          <w:szCs w:val="24"/>
        </w:rPr>
        <w:t>Ordenanza Nª 85 del Tribunal de Cuentas.</w:t>
      </w:r>
    </w:p>
    <w:p w:rsidR="00421268" w:rsidRPr="00C9175C" w:rsidRDefault="00421268" w:rsidP="00421268">
      <w:pPr>
        <w:numPr>
          <w:ilvl w:val="0"/>
          <w:numId w:val="1"/>
        </w:numPr>
        <w:spacing w:after="0" w:line="360" w:lineRule="auto"/>
        <w:jc w:val="both"/>
        <w:rPr>
          <w:rFonts w:ascii="Arial" w:hAnsi="Arial" w:cs="Arial"/>
          <w:sz w:val="24"/>
          <w:szCs w:val="24"/>
        </w:rPr>
      </w:pPr>
      <w:r w:rsidRPr="00C9175C">
        <w:rPr>
          <w:rFonts w:ascii="Arial" w:hAnsi="Arial" w:cs="Arial"/>
          <w:sz w:val="24"/>
          <w:szCs w:val="24"/>
        </w:rPr>
        <w:t>Resolución del Tribunal de Cuentas de fecha 01/10/1997</w:t>
      </w:r>
    </w:p>
    <w:p w:rsidR="00421268" w:rsidRPr="00C9175C" w:rsidRDefault="00421268" w:rsidP="00421268">
      <w:pPr>
        <w:numPr>
          <w:ilvl w:val="0"/>
          <w:numId w:val="1"/>
        </w:numPr>
        <w:spacing w:after="0" w:line="360" w:lineRule="auto"/>
        <w:jc w:val="both"/>
        <w:rPr>
          <w:rFonts w:ascii="Arial" w:hAnsi="Arial" w:cs="Arial"/>
          <w:sz w:val="24"/>
          <w:szCs w:val="24"/>
        </w:rPr>
      </w:pPr>
      <w:r w:rsidRPr="00C9175C">
        <w:rPr>
          <w:rFonts w:ascii="Arial" w:hAnsi="Arial" w:cs="Arial"/>
          <w:sz w:val="24"/>
          <w:szCs w:val="24"/>
        </w:rPr>
        <w:t xml:space="preserve">Resolución del Tribunal </w:t>
      </w:r>
      <w:r w:rsidR="00C9175C">
        <w:rPr>
          <w:rFonts w:ascii="Arial" w:hAnsi="Arial" w:cs="Arial"/>
          <w:sz w:val="24"/>
          <w:szCs w:val="24"/>
        </w:rPr>
        <w:t>de Cuentas de fecha 11/05/2005.</w:t>
      </w:r>
    </w:p>
    <w:p w:rsidR="00421268" w:rsidRPr="00C9175C" w:rsidRDefault="00421268" w:rsidP="00D27AEF">
      <w:pPr>
        <w:spacing w:after="0" w:line="360" w:lineRule="auto"/>
        <w:ind w:left="720"/>
        <w:jc w:val="both"/>
        <w:rPr>
          <w:rFonts w:ascii="Arial" w:hAnsi="Arial" w:cs="Arial"/>
          <w:sz w:val="24"/>
          <w:szCs w:val="24"/>
        </w:rPr>
      </w:pPr>
    </w:p>
    <w:p w:rsidR="00421268" w:rsidRPr="00C9175C" w:rsidRDefault="00421268" w:rsidP="00F61540">
      <w:pPr>
        <w:spacing w:after="0" w:line="360" w:lineRule="auto"/>
        <w:jc w:val="both"/>
        <w:rPr>
          <w:rFonts w:ascii="Arial" w:hAnsi="Arial" w:cs="Arial"/>
          <w:b/>
          <w:sz w:val="24"/>
          <w:szCs w:val="24"/>
        </w:rPr>
      </w:pPr>
    </w:p>
    <w:p w:rsidR="00421268" w:rsidRPr="00C9175C" w:rsidRDefault="00421268" w:rsidP="00F61540">
      <w:pPr>
        <w:spacing w:after="0" w:line="360" w:lineRule="auto"/>
        <w:jc w:val="both"/>
        <w:rPr>
          <w:rFonts w:ascii="Arial" w:hAnsi="Arial" w:cs="Arial"/>
          <w:b/>
          <w:sz w:val="24"/>
          <w:szCs w:val="24"/>
        </w:rPr>
      </w:pPr>
    </w:p>
    <w:p w:rsidR="00421268" w:rsidRPr="00C9175C" w:rsidRDefault="00421268" w:rsidP="00F61540">
      <w:pPr>
        <w:spacing w:after="0" w:line="360" w:lineRule="auto"/>
        <w:jc w:val="both"/>
        <w:rPr>
          <w:rFonts w:ascii="Arial" w:hAnsi="Arial" w:cs="Arial"/>
          <w:b/>
          <w:sz w:val="24"/>
          <w:szCs w:val="24"/>
        </w:rPr>
      </w:pPr>
      <w:r w:rsidRPr="00C9175C">
        <w:rPr>
          <w:rFonts w:ascii="Arial" w:hAnsi="Arial" w:cs="Arial"/>
          <w:b/>
          <w:sz w:val="24"/>
          <w:szCs w:val="24"/>
        </w:rPr>
        <w:t>Bases para la Opinión sin salvedades</w:t>
      </w:r>
    </w:p>
    <w:p w:rsidR="00421268" w:rsidRPr="00C9175C" w:rsidRDefault="00421268" w:rsidP="00F61540">
      <w:pPr>
        <w:spacing w:after="0" w:line="360" w:lineRule="auto"/>
        <w:jc w:val="both"/>
        <w:rPr>
          <w:rFonts w:ascii="Arial" w:hAnsi="Arial" w:cs="Arial"/>
          <w:sz w:val="24"/>
          <w:szCs w:val="24"/>
        </w:rPr>
      </w:pPr>
      <w:r w:rsidRPr="00C9175C">
        <w:rPr>
          <w:rFonts w:ascii="Arial" w:hAnsi="Arial" w:cs="Arial"/>
          <w:sz w:val="24"/>
          <w:szCs w:val="24"/>
        </w:rPr>
        <w:t xml:space="preserve">Esta auditoría fue realizada de acuerdo con los Principios Fundamentales de Auditoría (ISSAI 100 y 200) y las Directrices de Auditoría Financiera (ISSAI </w:t>
      </w:r>
      <w:smartTag w:uri="urn:schemas-microsoft-com:office:smarttags" w:element="metricconverter">
        <w:smartTagPr>
          <w:attr w:name="ProductID" w:val="1000 a"/>
        </w:smartTagPr>
        <w:r w:rsidRPr="00C9175C">
          <w:rPr>
            <w:rFonts w:ascii="Arial" w:hAnsi="Arial" w:cs="Arial"/>
            <w:sz w:val="24"/>
            <w:szCs w:val="24"/>
          </w:rPr>
          <w:t>1000 a</w:t>
        </w:r>
      </w:smartTag>
      <w:r w:rsidRPr="00C9175C">
        <w:rPr>
          <w:rFonts w:ascii="Arial" w:hAnsi="Arial" w:cs="Arial"/>
          <w:sz w:val="24"/>
          <w:szCs w:val="24"/>
        </w:rPr>
        <w:t xml:space="preserve"> 1810) de la Organización Internacional de Entidades Fiscalizadoras Superiores (INTOSAI). La responsabilidad del Tribunal bajo estas normas se describe con más detalle en la sección de Responsabilidad del Tribunal de Cuentas por la auditoría del Estado de Ejecución Presupuestal. Este Tribunal es independiente del BHU y ha cumplido con las disposiciones de su Código de Ética, elaborado en concordancia con el Código de Ética de la INTOSAI. Se considera que la evidencia de auditoría obtenida es suficiente y adecuada para proporcionar una base razon</w:t>
      </w:r>
      <w:r w:rsidR="00C9175C">
        <w:rPr>
          <w:rFonts w:ascii="Arial" w:hAnsi="Arial" w:cs="Arial"/>
          <w:sz w:val="24"/>
          <w:szCs w:val="24"/>
        </w:rPr>
        <w:t>able para sustentar la opinión.</w:t>
      </w:r>
    </w:p>
    <w:p w:rsidR="00421268" w:rsidRPr="00C9175C" w:rsidRDefault="00421268" w:rsidP="00F61540">
      <w:pPr>
        <w:spacing w:after="0" w:line="360" w:lineRule="auto"/>
        <w:jc w:val="both"/>
        <w:rPr>
          <w:rFonts w:ascii="Arial" w:hAnsi="Arial" w:cs="Arial"/>
          <w:sz w:val="24"/>
          <w:szCs w:val="24"/>
        </w:rPr>
      </w:pPr>
    </w:p>
    <w:p w:rsidR="00421268" w:rsidRPr="00C9175C" w:rsidRDefault="00421268" w:rsidP="00F61540">
      <w:pPr>
        <w:spacing w:after="0" w:line="360" w:lineRule="auto"/>
        <w:jc w:val="both"/>
        <w:rPr>
          <w:rFonts w:ascii="Arial" w:hAnsi="Arial" w:cs="Arial"/>
          <w:b/>
          <w:sz w:val="24"/>
          <w:szCs w:val="24"/>
        </w:rPr>
      </w:pPr>
      <w:r w:rsidRPr="00C9175C">
        <w:rPr>
          <w:rFonts w:ascii="Arial" w:hAnsi="Arial" w:cs="Arial"/>
          <w:b/>
          <w:sz w:val="24"/>
          <w:szCs w:val="24"/>
        </w:rPr>
        <w:t>Responsabilidad del Directorio en relación con el Estado de Ejecución Presupuestal</w:t>
      </w:r>
    </w:p>
    <w:p w:rsidR="00421268" w:rsidRPr="00C9175C" w:rsidRDefault="00421268" w:rsidP="00F61540">
      <w:pPr>
        <w:spacing w:after="0" w:line="360" w:lineRule="auto"/>
        <w:jc w:val="both"/>
        <w:rPr>
          <w:rFonts w:ascii="Arial" w:hAnsi="Arial" w:cs="Arial"/>
          <w:color w:val="9BBB59"/>
          <w:sz w:val="24"/>
          <w:szCs w:val="24"/>
        </w:rPr>
      </w:pPr>
      <w:r w:rsidRPr="00C9175C">
        <w:rPr>
          <w:rFonts w:ascii="Arial" w:hAnsi="Arial" w:cs="Arial"/>
          <w:sz w:val="24"/>
          <w:szCs w:val="24"/>
        </w:rPr>
        <w:t>El Directorio del BHU es responsable por la preparación y presentación razonable del Estado de Ejecución Presupuestal de acuerdo con las normas establecidas en el TOCAF, en el Presupuesto vigente para el Ejercicio 2017 y en la Ordenanza Nº 75 de fecha 16/09/1998 del Tribunal de Cuentas y del control interno que la administración de la entidad consideró necesario para permitir la preparación del Estado de Ejecución Presupuestal libre de errores significativos ya sea debido a fraude o error.</w:t>
      </w:r>
    </w:p>
    <w:p w:rsidR="00421268" w:rsidRPr="00C9175C" w:rsidRDefault="00421268" w:rsidP="00F61540">
      <w:pPr>
        <w:spacing w:after="0" w:line="360" w:lineRule="auto"/>
        <w:jc w:val="both"/>
        <w:rPr>
          <w:rFonts w:ascii="Arial" w:hAnsi="Arial" w:cs="Arial"/>
          <w:sz w:val="24"/>
          <w:szCs w:val="24"/>
        </w:rPr>
      </w:pPr>
      <w:r w:rsidRPr="00C9175C">
        <w:rPr>
          <w:rFonts w:ascii="Arial" w:hAnsi="Arial" w:cs="Arial"/>
          <w:sz w:val="24"/>
          <w:szCs w:val="24"/>
        </w:rPr>
        <w:t>El Directorio es responsable de supervisar el proceso de preparación del Estado de Ejecución Presupuestal del BHU.</w:t>
      </w:r>
    </w:p>
    <w:p w:rsidR="00421268" w:rsidRPr="00C9175C" w:rsidRDefault="00421268" w:rsidP="00F61540">
      <w:pPr>
        <w:spacing w:after="0" w:line="360" w:lineRule="auto"/>
        <w:jc w:val="both"/>
        <w:rPr>
          <w:rFonts w:ascii="Arial" w:hAnsi="Arial" w:cs="Arial"/>
          <w:b/>
          <w:sz w:val="24"/>
          <w:szCs w:val="24"/>
        </w:rPr>
      </w:pPr>
    </w:p>
    <w:p w:rsidR="00421268" w:rsidRPr="00C9175C" w:rsidRDefault="00421268" w:rsidP="00176E84">
      <w:pPr>
        <w:spacing w:after="0" w:line="360" w:lineRule="auto"/>
        <w:jc w:val="both"/>
        <w:rPr>
          <w:rFonts w:ascii="Arial" w:hAnsi="Arial" w:cs="Arial"/>
          <w:b/>
          <w:sz w:val="24"/>
          <w:szCs w:val="24"/>
        </w:rPr>
      </w:pPr>
      <w:r w:rsidRPr="00C9175C">
        <w:rPr>
          <w:rFonts w:ascii="Arial" w:hAnsi="Arial" w:cs="Arial"/>
          <w:b/>
          <w:sz w:val="24"/>
          <w:szCs w:val="24"/>
        </w:rPr>
        <w:t>Responsabilidad del Tribunal de Cuentas por la auditoría del Estado de Ejecución Presupuestal</w:t>
      </w:r>
    </w:p>
    <w:p w:rsidR="00421268" w:rsidRPr="00C9175C" w:rsidRDefault="00421268" w:rsidP="00F61540">
      <w:pPr>
        <w:spacing w:after="0" w:line="360" w:lineRule="auto"/>
        <w:jc w:val="both"/>
        <w:rPr>
          <w:rFonts w:ascii="Arial" w:hAnsi="Arial" w:cs="Arial"/>
          <w:sz w:val="24"/>
          <w:szCs w:val="24"/>
        </w:rPr>
      </w:pPr>
      <w:r w:rsidRPr="00C9175C">
        <w:rPr>
          <w:rFonts w:ascii="Arial" w:hAnsi="Arial" w:cs="Arial"/>
          <w:sz w:val="24"/>
          <w:szCs w:val="24"/>
        </w:rPr>
        <w:t>El objetivo de la auditoría consiste en obtener una seguridad razonable acerca de que el Estado de Ejecución Presupuestal en su conjunto está libre de errores significativos, ya sea debido a fraude o error y emitir un dictamen de auditoría con la correspondiente opinión. Seguridad razonable es un alto nivel de seguridad, pero no garantiza que una auditoría siempre detectará un error significativo cuando exista. Los errores pueden surgir debido a fraudes o errores y se consideran significativos si, individualmente o en su conjunto, puede razonablemente esperarse que influyan en las decisiones económicas tomadas por los usuarios sobre la base del estado.</w:t>
      </w:r>
    </w:p>
    <w:p w:rsidR="00421268" w:rsidRPr="00C9175C" w:rsidRDefault="00421268" w:rsidP="00F61540">
      <w:pPr>
        <w:spacing w:after="0" w:line="360" w:lineRule="auto"/>
        <w:jc w:val="both"/>
        <w:rPr>
          <w:rFonts w:ascii="Arial" w:hAnsi="Arial" w:cs="Arial"/>
          <w:sz w:val="24"/>
          <w:szCs w:val="24"/>
        </w:rPr>
      </w:pPr>
      <w:r w:rsidRPr="00C9175C">
        <w:rPr>
          <w:rFonts w:ascii="Arial" w:hAnsi="Arial" w:cs="Arial"/>
          <w:sz w:val="24"/>
          <w:szCs w:val="24"/>
        </w:rPr>
        <w:t>Como parte de una auditoría de acuerdo con las ISSAI referidas en la sección Bases para la Opinión sin salvedades, el Tribunal de Cuentas aplica su juicio profesional y mantiene el escepticismo profesional durante el proceso de auditoría. Asimismo:</w:t>
      </w:r>
    </w:p>
    <w:p w:rsidR="00421268" w:rsidRPr="00C9175C" w:rsidRDefault="00421268" w:rsidP="00421268">
      <w:pPr>
        <w:pStyle w:val="Prrafodelista"/>
        <w:numPr>
          <w:ilvl w:val="0"/>
          <w:numId w:val="11"/>
        </w:numPr>
        <w:spacing w:after="0" w:line="360" w:lineRule="auto"/>
        <w:jc w:val="both"/>
        <w:rPr>
          <w:rFonts w:ascii="Arial" w:hAnsi="Arial" w:cs="Arial"/>
          <w:sz w:val="24"/>
          <w:szCs w:val="24"/>
        </w:rPr>
      </w:pPr>
      <w:r w:rsidRPr="00C9175C">
        <w:rPr>
          <w:rFonts w:ascii="Arial" w:hAnsi="Arial" w:cs="Arial"/>
          <w:sz w:val="24"/>
          <w:szCs w:val="24"/>
        </w:rPr>
        <w:t>Identifica y evalúa el riesgo de que existan errores significativos en el Estado de Ejecución Presupuestal, ya sea debido a fraude o error, diseña y realiza procedimientos de auditoría para responder a dichos riesgos y obtiene evidencia de auditoría suficiente y apropiada para fundamentar la base de la opinión. El riesgo de no detectar un error significativo resultante de un fraude es mayor que el resultante de un error, dado que el fraude puede implicar colusión, falsificación, omisiones intencionales, manifestaciones intencionalmente incorrectas o ap</w:t>
      </w:r>
      <w:r w:rsidR="00C9175C">
        <w:rPr>
          <w:rFonts w:ascii="Arial" w:hAnsi="Arial" w:cs="Arial"/>
          <w:sz w:val="24"/>
          <w:szCs w:val="24"/>
        </w:rPr>
        <w:t>artamientos de control interno.</w:t>
      </w:r>
    </w:p>
    <w:p w:rsidR="00421268" w:rsidRPr="00C9175C" w:rsidRDefault="00421268" w:rsidP="00421268">
      <w:pPr>
        <w:pStyle w:val="Prrafodelista"/>
        <w:numPr>
          <w:ilvl w:val="0"/>
          <w:numId w:val="11"/>
        </w:numPr>
        <w:spacing w:after="0" w:line="360" w:lineRule="auto"/>
        <w:jc w:val="both"/>
        <w:rPr>
          <w:rFonts w:ascii="Arial" w:hAnsi="Arial" w:cs="Arial"/>
          <w:sz w:val="24"/>
          <w:szCs w:val="24"/>
        </w:rPr>
      </w:pPr>
      <w:r w:rsidRPr="00C9175C">
        <w:rPr>
          <w:rFonts w:ascii="Arial" w:hAnsi="Arial" w:cs="Arial"/>
          <w:sz w:val="24"/>
          <w:szCs w:val="24"/>
        </w:rPr>
        <w:t>Obtiene un entendimiento del control interno relevante para la auditoría con el propósito de diseñar procedimientos de auditoría que sean apropiados en las circunstancias, pero no con el propósito de expresar una opinión sobre la eficacia del control interno de la entidad.</w:t>
      </w:r>
    </w:p>
    <w:p w:rsidR="00421268" w:rsidRPr="00C9175C" w:rsidRDefault="00421268" w:rsidP="00421268">
      <w:pPr>
        <w:pStyle w:val="Prrafodelista"/>
        <w:numPr>
          <w:ilvl w:val="0"/>
          <w:numId w:val="11"/>
        </w:numPr>
        <w:spacing w:after="0" w:line="360" w:lineRule="auto"/>
        <w:jc w:val="both"/>
        <w:rPr>
          <w:rFonts w:ascii="Arial" w:hAnsi="Arial" w:cs="Arial"/>
          <w:sz w:val="24"/>
          <w:szCs w:val="24"/>
        </w:rPr>
      </w:pPr>
      <w:r w:rsidRPr="00C9175C">
        <w:rPr>
          <w:rFonts w:ascii="Arial" w:hAnsi="Arial" w:cs="Arial"/>
          <w:sz w:val="24"/>
          <w:szCs w:val="24"/>
        </w:rPr>
        <w:t>Evalúa la presentación general, la estructura y contenido del estado, incluyendo las revelaciones y si el estado representa las transacciones y eventos subyacentes de un modo que se logre una representación fiel de los mismos.</w:t>
      </w:r>
    </w:p>
    <w:p w:rsidR="00421268" w:rsidRPr="00C9175C" w:rsidRDefault="00421268" w:rsidP="00F61540">
      <w:pPr>
        <w:pStyle w:val="Prrafodelista"/>
        <w:spacing w:after="0" w:line="360" w:lineRule="auto"/>
        <w:ind w:left="0"/>
        <w:jc w:val="both"/>
        <w:rPr>
          <w:rFonts w:ascii="Arial" w:hAnsi="Arial" w:cs="Arial"/>
          <w:sz w:val="24"/>
          <w:szCs w:val="24"/>
        </w:rPr>
      </w:pPr>
    </w:p>
    <w:p w:rsidR="00421268" w:rsidRPr="00C9175C" w:rsidRDefault="00421268" w:rsidP="00F61540">
      <w:pPr>
        <w:pStyle w:val="Prrafodelista"/>
        <w:spacing w:after="0" w:line="360" w:lineRule="auto"/>
        <w:ind w:left="0"/>
        <w:jc w:val="both"/>
        <w:rPr>
          <w:rFonts w:ascii="Arial" w:hAnsi="Arial" w:cs="Arial"/>
          <w:sz w:val="24"/>
          <w:szCs w:val="24"/>
        </w:rPr>
      </w:pPr>
      <w:r w:rsidRPr="00C9175C">
        <w:rPr>
          <w:rFonts w:ascii="Arial" w:hAnsi="Arial" w:cs="Arial"/>
          <w:sz w:val="24"/>
          <w:szCs w:val="24"/>
        </w:rPr>
        <w:t xml:space="preserve">El Tribunal de Cuentas se comunicó con el Directorio en relación, entre otros asuntos, al alcance y la oportunidad de los procedimientos de auditoría, los hallazgos significativos de auditoría incluidos, en caso de corresponder, y las deficiencias significativas en el control interno que se identificaron en </w:t>
      </w:r>
      <w:r w:rsidR="00C9175C">
        <w:rPr>
          <w:rFonts w:ascii="Arial" w:hAnsi="Arial" w:cs="Arial"/>
          <w:sz w:val="24"/>
          <w:szCs w:val="24"/>
        </w:rPr>
        <w:t>el transcurso de la auditoría.</w:t>
      </w:r>
    </w:p>
    <w:p w:rsidR="00421268" w:rsidRPr="00C9175C" w:rsidRDefault="00421268" w:rsidP="00F61540">
      <w:pPr>
        <w:pStyle w:val="Prrafodelista"/>
        <w:spacing w:after="0" w:line="360" w:lineRule="auto"/>
        <w:ind w:left="0"/>
        <w:jc w:val="both"/>
        <w:rPr>
          <w:rFonts w:ascii="Arial" w:hAnsi="Arial" w:cs="Arial"/>
          <w:sz w:val="24"/>
          <w:szCs w:val="24"/>
        </w:rPr>
      </w:pPr>
    </w:p>
    <w:p w:rsidR="00421268" w:rsidRPr="00C9175C" w:rsidRDefault="00421268" w:rsidP="00F61540">
      <w:pPr>
        <w:spacing w:after="0" w:line="360" w:lineRule="auto"/>
        <w:jc w:val="both"/>
        <w:rPr>
          <w:rFonts w:ascii="Arial" w:hAnsi="Arial" w:cs="Arial"/>
          <w:b/>
          <w:sz w:val="24"/>
          <w:szCs w:val="24"/>
        </w:rPr>
      </w:pPr>
      <w:r w:rsidRPr="00C9175C">
        <w:rPr>
          <w:rFonts w:ascii="Arial" w:hAnsi="Arial" w:cs="Arial"/>
          <w:b/>
          <w:sz w:val="24"/>
          <w:szCs w:val="24"/>
        </w:rPr>
        <w:t>Informe de cumplimiento de la normativa vigente</w:t>
      </w:r>
    </w:p>
    <w:p w:rsidR="00421268" w:rsidRPr="00C9175C" w:rsidRDefault="00421268" w:rsidP="00F61540">
      <w:pPr>
        <w:spacing w:after="0" w:line="360" w:lineRule="auto"/>
        <w:jc w:val="both"/>
        <w:rPr>
          <w:rFonts w:ascii="Arial" w:hAnsi="Arial" w:cs="Arial"/>
          <w:sz w:val="24"/>
          <w:szCs w:val="24"/>
        </w:rPr>
      </w:pPr>
      <w:r w:rsidRPr="00C9175C">
        <w:rPr>
          <w:rFonts w:ascii="Arial" w:hAnsi="Arial" w:cs="Arial"/>
          <w:sz w:val="24"/>
          <w:szCs w:val="24"/>
        </w:rPr>
        <w:t>Respecto a los incumplimientos mencionados en el párrafo Opinión respecto al cumplimiento de la normativa legal aplicable corresponde se</w:t>
      </w:r>
      <w:r w:rsidR="00C9175C">
        <w:rPr>
          <w:rFonts w:ascii="Arial" w:hAnsi="Arial" w:cs="Arial"/>
          <w:sz w:val="24"/>
          <w:szCs w:val="24"/>
        </w:rPr>
        <w:t>ñalar lo siguiente:</w:t>
      </w:r>
    </w:p>
    <w:p w:rsidR="00421268" w:rsidRPr="00C9175C" w:rsidRDefault="00421268" w:rsidP="00421268">
      <w:pPr>
        <w:numPr>
          <w:ilvl w:val="0"/>
          <w:numId w:val="1"/>
        </w:numPr>
        <w:spacing w:after="0" w:line="360" w:lineRule="auto"/>
        <w:jc w:val="both"/>
        <w:rPr>
          <w:rFonts w:ascii="Arial" w:hAnsi="Arial" w:cs="Arial"/>
          <w:sz w:val="24"/>
          <w:szCs w:val="24"/>
        </w:rPr>
      </w:pPr>
      <w:r w:rsidRPr="00C9175C">
        <w:rPr>
          <w:rFonts w:ascii="Arial" w:hAnsi="Arial" w:cs="Arial"/>
          <w:sz w:val="24"/>
          <w:szCs w:val="24"/>
        </w:rPr>
        <w:t>Artículo 211 Literal B) de la Constitución de la Republica y Artículo 3 de la Ley N° 19.149 de 24/10/2013 al utilizar servicios profesionales supernumerarios, pagándoles por asunto requerido, configurándose arrendamientos de obra por un total de $ 33:552.975. No se sometió a la intervención preventiva del Tribunal así como tampoco se solicitó autorización al Poder Ejecutivo ni se contó con el Informe de la Oficina de Planeamiento y Presupuesto (OPP)</w:t>
      </w:r>
      <w:r w:rsidRPr="00C9175C">
        <w:rPr>
          <w:rFonts w:ascii="Arial" w:eastAsia="Calibri" w:hAnsi="Arial" w:cs="Arial"/>
          <w:sz w:val="24"/>
          <w:szCs w:val="24"/>
        </w:rPr>
        <w:t xml:space="preserve"> y de la Oficina Nacional de Servicio Civil (ONSC).</w:t>
      </w:r>
    </w:p>
    <w:p w:rsidR="00421268" w:rsidRPr="00C9175C" w:rsidRDefault="00421268" w:rsidP="00421268">
      <w:pPr>
        <w:numPr>
          <w:ilvl w:val="0"/>
          <w:numId w:val="1"/>
        </w:numPr>
        <w:spacing w:after="0" w:line="360" w:lineRule="auto"/>
        <w:jc w:val="both"/>
        <w:rPr>
          <w:rStyle w:val="qowt-font3-arial"/>
          <w:rFonts w:ascii="Arial" w:hAnsi="Arial" w:cs="Arial"/>
          <w:sz w:val="24"/>
          <w:szCs w:val="24"/>
        </w:rPr>
      </w:pPr>
      <w:r w:rsidRPr="00C9175C">
        <w:rPr>
          <w:rStyle w:val="qowt-font3-arial"/>
          <w:rFonts w:ascii="Arial" w:hAnsi="Arial" w:cs="Arial"/>
          <w:sz w:val="24"/>
          <w:szCs w:val="24"/>
        </w:rPr>
        <w:t>Artículo 5 Literal d) de la Ley Nº 18.381 de fecha 07/11/2008 al no haber publicado en el Ejercicio auditado en la página web del Banco, información sobre el presupuesto asignado, su ejecución, con los resultados de las auditorías que en cada caso corresponda.</w:t>
      </w:r>
    </w:p>
    <w:p w:rsidR="00421268" w:rsidRPr="00C9175C" w:rsidRDefault="00421268" w:rsidP="00421268">
      <w:pPr>
        <w:numPr>
          <w:ilvl w:val="0"/>
          <w:numId w:val="1"/>
        </w:numPr>
        <w:spacing w:after="0" w:line="360" w:lineRule="auto"/>
        <w:jc w:val="both"/>
        <w:rPr>
          <w:rFonts w:ascii="Arial" w:hAnsi="Arial" w:cs="Arial"/>
          <w:sz w:val="24"/>
          <w:szCs w:val="24"/>
        </w:rPr>
      </w:pPr>
      <w:r w:rsidRPr="00C9175C">
        <w:rPr>
          <w:rFonts w:ascii="Arial" w:eastAsia="Calibri" w:hAnsi="Arial" w:cs="Arial"/>
          <w:sz w:val="24"/>
          <w:szCs w:val="24"/>
        </w:rPr>
        <w:t>Artículo 4 de la Ley Nº 19.122 de 21/08/2013 por no haber previsto en la totalidad de llamados efectuados en el Ejercicio el porcentaje de participación de afrodescendientes.</w:t>
      </w:r>
    </w:p>
    <w:p w:rsidR="00421268" w:rsidRPr="00C9175C" w:rsidRDefault="00421268" w:rsidP="00421268">
      <w:pPr>
        <w:numPr>
          <w:ilvl w:val="0"/>
          <w:numId w:val="1"/>
        </w:numPr>
        <w:spacing w:after="0" w:line="360" w:lineRule="auto"/>
        <w:jc w:val="both"/>
        <w:rPr>
          <w:rFonts w:ascii="Arial" w:hAnsi="Arial" w:cs="Arial"/>
          <w:sz w:val="24"/>
          <w:szCs w:val="24"/>
        </w:rPr>
      </w:pPr>
      <w:r w:rsidRPr="00C9175C">
        <w:rPr>
          <w:rFonts w:ascii="Arial" w:hAnsi="Arial" w:cs="Arial"/>
          <w:sz w:val="24"/>
          <w:szCs w:val="24"/>
        </w:rPr>
        <w:t>Artículo 38 del TOCAF por haber celebrado contratos de arrendamiento de obra por un importe de $ 691.815 sin informe previo favorable de la OPP y de la ONSC.</w:t>
      </w:r>
    </w:p>
    <w:p w:rsidR="00421268" w:rsidRPr="00C9175C" w:rsidRDefault="00421268" w:rsidP="00421268">
      <w:pPr>
        <w:numPr>
          <w:ilvl w:val="0"/>
          <w:numId w:val="1"/>
        </w:numPr>
        <w:spacing w:after="0" w:line="360" w:lineRule="auto"/>
        <w:jc w:val="both"/>
        <w:rPr>
          <w:rFonts w:ascii="Arial" w:hAnsi="Arial" w:cs="Arial"/>
          <w:sz w:val="24"/>
          <w:szCs w:val="24"/>
        </w:rPr>
      </w:pPr>
      <w:r w:rsidRPr="00C9175C">
        <w:rPr>
          <w:rFonts w:ascii="Arial" w:hAnsi="Arial" w:cs="Arial"/>
          <w:sz w:val="24"/>
          <w:szCs w:val="24"/>
        </w:rPr>
        <w:t>Artículo 84 del TOCAF dado que el Organismo no realiza recuentos físicos y no cuenta con un inventario de bienes de uso actualizado.</w:t>
      </w:r>
    </w:p>
    <w:p w:rsidR="00421268" w:rsidRPr="00C9175C" w:rsidRDefault="00421268" w:rsidP="00421268">
      <w:pPr>
        <w:numPr>
          <w:ilvl w:val="0"/>
          <w:numId w:val="1"/>
        </w:numPr>
        <w:spacing w:after="0" w:line="360" w:lineRule="auto"/>
        <w:jc w:val="both"/>
        <w:rPr>
          <w:rFonts w:ascii="Arial" w:hAnsi="Arial" w:cs="Arial"/>
          <w:sz w:val="24"/>
          <w:szCs w:val="24"/>
        </w:rPr>
      </w:pPr>
      <w:r w:rsidRPr="00C9175C">
        <w:rPr>
          <w:rFonts w:ascii="Arial" w:eastAsia="Calibri" w:hAnsi="Arial" w:cs="Arial"/>
          <w:bCs/>
          <w:sz w:val="24"/>
          <w:szCs w:val="24"/>
          <w:lang w:eastAsia="es-ES"/>
        </w:rPr>
        <w:t xml:space="preserve">Artículo 51 del Decreto Nº 442/016 de 29/12/2016, aprobatorio del Presupuesto 2017 dado que las trasposiciones correspondientes al segundo trimestre de 2017 por un total de $ 16:220.000 </w:t>
      </w:r>
      <w:r w:rsidRPr="00C9175C">
        <w:rPr>
          <w:rFonts w:ascii="Arial" w:eastAsia="Calibri" w:hAnsi="Arial" w:cs="Arial"/>
          <w:sz w:val="24"/>
          <w:szCs w:val="24"/>
        </w:rPr>
        <w:t>no fueron comunicadas al Tribunal de Cuentas.</w:t>
      </w:r>
    </w:p>
    <w:p w:rsidR="00421268" w:rsidRPr="00C9175C" w:rsidRDefault="00421268" w:rsidP="00421268">
      <w:pPr>
        <w:numPr>
          <w:ilvl w:val="0"/>
          <w:numId w:val="1"/>
        </w:numPr>
        <w:spacing w:after="0" w:line="360" w:lineRule="auto"/>
        <w:jc w:val="both"/>
        <w:rPr>
          <w:rFonts w:ascii="Arial" w:hAnsi="Arial" w:cs="Arial"/>
          <w:sz w:val="24"/>
          <w:szCs w:val="24"/>
        </w:rPr>
      </w:pPr>
      <w:r w:rsidRPr="00C9175C">
        <w:rPr>
          <w:rFonts w:ascii="Arial" w:hAnsi="Arial" w:cs="Arial"/>
          <w:sz w:val="24"/>
          <w:szCs w:val="24"/>
        </w:rPr>
        <w:t>Ordenanza N° 85 del Tribunal de Cuentas por no informar sobre una de las acciones de repetición que inició el Organismo por la  indemnización de $ 131.760.</w:t>
      </w:r>
    </w:p>
    <w:p w:rsidR="00421268" w:rsidRPr="00C9175C" w:rsidRDefault="00421268" w:rsidP="00421268">
      <w:pPr>
        <w:numPr>
          <w:ilvl w:val="0"/>
          <w:numId w:val="1"/>
        </w:numPr>
        <w:spacing w:after="0" w:line="360" w:lineRule="auto"/>
        <w:jc w:val="both"/>
        <w:rPr>
          <w:rFonts w:ascii="Arial" w:hAnsi="Arial" w:cs="Arial"/>
          <w:sz w:val="24"/>
          <w:szCs w:val="24"/>
        </w:rPr>
      </w:pPr>
      <w:r w:rsidRPr="00C9175C">
        <w:rPr>
          <w:rFonts w:ascii="Arial" w:hAnsi="Arial" w:cs="Arial"/>
          <w:sz w:val="24"/>
          <w:szCs w:val="24"/>
        </w:rPr>
        <w:t>Resolución del Tribunal de Cuentas de fecha 01/10/1997, por no cumplir con los plazos establecidos para abonar la tasa del Tribunal.</w:t>
      </w:r>
    </w:p>
    <w:p w:rsidR="00421268" w:rsidRPr="00C9175C" w:rsidRDefault="00421268" w:rsidP="00421268">
      <w:pPr>
        <w:numPr>
          <w:ilvl w:val="0"/>
          <w:numId w:val="1"/>
        </w:numPr>
        <w:spacing w:after="0" w:line="360" w:lineRule="auto"/>
        <w:jc w:val="both"/>
        <w:rPr>
          <w:rFonts w:ascii="Arial" w:hAnsi="Arial" w:cs="Arial"/>
          <w:sz w:val="24"/>
          <w:szCs w:val="24"/>
        </w:rPr>
      </w:pPr>
      <w:r w:rsidRPr="00C9175C">
        <w:rPr>
          <w:rFonts w:ascii="Arial" w:hAnsi="Arial" w:cs="Arial"/>
          <w:sz w:val="24"/>
          <w:szCs w:val="24"/>
        </w:rPr>
        <w:t>Resolución del Tribunal de Cuentas de fecha 11/05/2005 por no haber remitido los antecedentes de la concesión contractual de Servicios de Restaurante y Cafetería para la sede de casa central del BHU, así como los informes semestrales de la oficina que tiene a cargo la verificación del cumplimiento del contrato.</w:t>
      </w:r>
    </w:p>
    <w:p w:rsidR="00421268" w:rsidRPr="00C9175C" w:rsidRDefault="00421268" w:rsidP="00D54FC4">
      <w:pPr>
        <w:spacing w:after="0" w:line="360" w:lineRule="auto"/>
        <w:jc w:val="right"/>
        <w:rPr>
          <w:rFonts w:ascii="Arial" w:hAnsi="Arial" w:cs="Arial"/>
          <w:sz w:val="24"/>
          <w:szCs w:val="24"/>
        </w:rPr>
      </w:pPr>
      <w:r w:rsidRPr="00C9175C">
        <w:rPr>
          <w:rFonts w:ascii="Arial" w:hAnsi="Arial" w:cs="Arial"/>
          <w:sz w:val="24"/>
          <w:szCs w:val="24"/>
        </w:rPr>
        <w:t>Monte</w:t>
      </w:r>
      <w:r w:rsidR="00C9175C">
        <w:rPr>
          <w:rFonts w:ascii="Arial" w:hAnsi="Arial" w:cs="Arial"/>
          <w:sz w:val="24"/>
          <w:szCs w:val="24"/>
        </w:rPr>
        <w:t>video, 25 de setiembre de 2018</w:t>
      </w:r>
    </w:p>
    <w:p w:rsidR="00421268" w:rsidRPr="00C9175C" w:rsidRDefault="00421268" w:rsidP="00D54FC4">
      <w:pPr>
        <w:spacing w:after="0" w:line="360" w:lineRule="auto"/>
        <w:jc w:val="right"/>
        <w:rPr>
          <w:rFonts w:ascii="Arial" w:hAnsi="Arial" w:cs="Arial"/>
          <w:sz w:val="24"/>
          <w:szCs w:val="24"/>
        </w:rPr>
      </w:pPr>
    </w:p>
    <w:p w:rsidR="00421268" w:rsidRPr="00C9175C" w:rsidRDefault="00421268" w:rsidP="00D54FC4">
      <w:pPr>
        <w:spacing w:after="0" w:line="360" w:lineRule="auto"/>
        <w:jc w:val="right"/>
        <w:rPr>
          <w:rFonts w:ascii="Arial" w:hAnsi="Arial" w:cs="Arial"/>
          <w:sz w:val="24"/>
          <w:szCs w:val="24"/>
        </w:rPr>
      </w:pPr>
    </w:p>
    <w:p w:rsidR="00421268" w:rsidRPr="00C9175C" w:rsidRDefault="00421268" w:rsidP="00D54FC4">
      <w:pPr>
        <w:spacing w:after="0" w:line="360" w:lineRule="auto"/>
        <w:jc w:val="right"/>
        <w:rPr>
          <w:rFonts w:ascii="Arial" w:hAnsi="Arial" w:cs="Arial"/>
          <w:sz w:val="24"/>
          <w:szCs w:val="24"/>
        </w:rPr>
      </w:pPr>
    </w:p>
    <w:p w:rsidR="00421268" w:rsidRPr="00C9175C" w:rsidRDefault="00421268" w:rsidP="00D54FC4">
      <w:pPr>
        <w:spacing w:after="0" w:line="360" w:lineRule="auto"/>
        <w:jc w:val="right"/>
        <w:rPr>
          <w:rFonts w:ascii="Arial" w:hAnsi="Arial" w:cs="Arial"/>
          <w:sz w:val="24"/>
          <w:szCs w:val="24"/>
        </w:rPr>
      </w:pPr>
    </w:p>
    <w:p w:rsidR="00421268" w:rsidRPr="00C9175C" w:rsidRDefault="00421268" w:rsidP="007A781A">
      <w:pPr>
        <w:spacing w:after="0" w:line="360" w:lineRule="auto"/>
        <w:ind w:hanging="426"/>
        <w:rPr>
          <w:rFonts w:ascii="Arial" w:hAnsi="Arial" w:cs="Arial"/>
          <w:sz w:val="24"/>
          <w:szCs w:val="24"/>
        </w:rPr>
      </w:pPr>
      <w:proofErr w:type="gramStart"/>
      <w:r w:rsidRPr="00C9175C">
        <w:rPr>
          <w:rFonts w:ascii="Arial" w:hAnsi="Arial" w:cs="Arial"/>
          <w:sz w:val="24"/>
          <w:szCs w:val="24"/>
        </w:rPr>
        <w:t>dc</w:t>
      </w:r>
      <w:proofErr w:type="gramEnd"/>
    </w:p>
    <w:p w:rsidR="00C9175C" w:rsidRDefault="00C9175C" w:rsidP="00E827F7">
      <w:pPr>
        <w:spacing w:line="360" w:lineRule="auto"/>
        <w:jc w:val="center"/>
        <w:rPr>
          <w:rFonts w:ascii="Arial" w:eastAsia="Times New Roman" w:hAnsi="Arial" w:cs="Arial"/>
          <w:b/>
          <w:sz w:val="24"/>
          <w:szCs w:val="24"/>
          <w:lang w:val="es-UY" w:eastAsia="es-UY"/>
        </w:rPr>
      </w:pPr>
    </w:p>
    <w:p w:rsidR="00C9175C" w:rsidRDefault="00C9175C" w:rsidP="00E827F7">
      <w:pPr>
        <w:spacing w:line="360" w:lineRule="auto"/>
        <w:jc w:val="center"/>
        <w:rPr>
          <w:rFonts w:ascii="Arial" w:eastAsia="Times New Roman" w:hAnsi="Arial" w:cs="Arial"/>
          <w:b/>
          <w:sz w:val="24"/>
          <w:szCs w:val="24"/>
          <w:lang w:val="es-UY" w:eastAsia="es-UY"/>
        </w:rPr>
      </w:pPr>
    </w:p>
    <w:p w:rsidR="00242D5A" w:rsidRDefault="00242D5A" w:rsidP="00E827F7">
      <w:pPr>
        <w:spacing w:line="360" w:lineRule="auto"/>
        <w:jc w:val="center"/>
        <w:rPr>
          <w:rFonts w:ascii="Arial" w:eastAsia="Times New Roman" w:hAnsi="Arial" w:cs="Arial"/>
          <w:b/>
          <w:sz w:val="24"/>
          <w:szCs w:val="24"/>
          <w:lang w:val="es-UY" w:eastAsia="es-UY"/>
        </w:rPr>
      </w:pPr>
    </w:p>
    <w:p w:rsidR="00242D5A" w:rsidRDefault="00242D5A" w:rsidP="00E827F7">
      <w:pPr>
        <w:spacing w:line="360" w:lineRule="auto"/>
        <w:jc w:val="center"/>
        <w:rPr>
          <w:rFonts w:ascii="Arial" w:eastAsia="Times New Roman" w:hAnsi="Arial" w:cs="Arial"/>
          <w:b/>
          <w:sz w:val="24"/>
          <w:szCs w:val="24"/>
          <w:lang w:val="es-UY" w:eastAsia="es-UY"/>
        </w:rPr>
      </w:pPr>
    </w:p>
    <w:p w:rsidR="00242D5A" w:rsidRDefault="00242D5A" w:rsidP="00E827F7">
      <w:pPr>
        <w:spacing w:line="360" w:lineRule="auto"/>
        <w:jc w:val="center"/>
        <w:rPr>
          <w:rFonts w:ascii="Arial" w:eastAsia="Times New Roman" w:hAnsi="Arial" w:cs="Arial"/>
          <w:b/>
          <w:sz w:val="24"/>
          <w:szCs w:val="24"/>
          <w:lang w:val="es-UY" w:eastAsia="es-UY"/>
        </w:rPr>
      </w:pPr>
    </w:p>
    <w:p w:rsidR="00242D5A" w:rsidRDefault="00242D5A" w:rsidP="00E827F7">
      <w:pPr>
        <w:spacing w:line="360" w:lineRule="auto"/>
        <w:jc w:val="center"/>
        <w:rPr>
          <w:rFonts w:ascii="Arial" w:eastAsia="Times New Roman" w:hAnsi="Arial" w:cs="Arial"/>
          <w:b/>
          <w:sz w:val="24"/>
          <w:szCs w:val="24"/>
          <w:lang w:val="es-UY" w:eastAsia="es-UY"/>
        </w:rPr>
      </w:pPr>
    </w:p>
    <w:p w:rsidR="00242D5A" w:rsidRDefault="00242D5A" w:rsidP="00565781">
      <w:pPr>
        <w:spacing w:line="360" w:lineRule="auto"/>
        <w:jc w:val="center"/>
        <w:rPr>
          <w:rFonts w:ascii="Arial" w:hAnsi="Arial" w:cs="Arial"/>
          <w:b/>
          <w:sz w:val="24"/>
          <w:szCs w:val="24"/>
        </w:rPr>
      </w:pPr>
      <w:r>
        <w:rPr>
          <w:rFonts w:ascii="Arial" w:hAnsi="Arial" w:cs="Arial"/>
          <w:b/>
          <w:sz w:val="24"/>
          <w:szCs w:val="24"/>
        </w:rPr>
        <w:t>D</w:t>
      </w:r>
      <w:r w:rsidRPr="0079740B">
        <w:rPr>
          <w:rFonts w:ascii="Arial" w:hAnsi="Arial" w:cs="Arial"/>
          <w:b/>
          <w:sz w:val="24"/>
          <w:szCs w:val="24"/>
        </w:rPr>
        <w:t>ICTAMEN</w:t>
      </w:r>
    </w:p>
    <w:p w:rsidR="00242D5A" w:rsidRPr="00843D16" w:rsidRDefault="00242D5A" w:rsidP="00023D98">
      <w:pPr>
        <w:spacing w:line="360" w:lineRule="auto"/>
        <w:jc w:val="both"/>
        <w:rPr>
          <w:rFonts w:ascii="Arial" w:hAnsi="Arial" w:cs="Arial"/>
          <w:b/>
          <w:sz w:val="24"/>
          <w:szCs w:val="24"/>
        </w:rPr>
      </w:pPr>
      <w:r w:rsidRPr="00843D16">
        <w:rPr>
          <w:rFonts w:ascii="Arial" w:hAnsi="Arial" w:cs="Arial"/>
          <w:b/>
          <w:sz w:val="24"/>
          <w:szCs w:val="24"/>
        </w:rPr>
        <w:t>Opinión</w:t>
      </w:r>
      <w:r>
        <w:rPr>
          <w:rFonts w:ascii="Arial" w:hAnsi="Arial" w:cs="Arial"/>
          <w:b/>
          <w:sz w:val="24"/>
          <w:szCs w:val="24"/>
        </w:rPr>
        <w:t xml:space="preserve"> sin salvedades</w:t>
      </w:r>
    </w:p>
    <w:p w:rsidR="00242D5A" w:rsidRPr="0079740B" w:rsidRDefault="00242D5A" w:rsidP="00023D98">
      <w:pPr>
        <w:spacing w:line="360" w:lineRule="auto"/>
        <w:jc w:val="both"/>
        <w:rPr>
          <w:rFonts w:ascii="Arial" w:hAnsi="Arial" w:cs="Arial"/>
          <w:sz w:val="24"/>
          <w:szCs w:val="24"/>
        </w:rPr>
      </w:pPr>
      <w:r w:rsidRPr="0079740B">
        <w:rPr>
          <w:rFonts w:ascii="Arial" w:hAnsi="Arial" w:cs="Arial"/>
          <w:sz w:val="24"/>
          <w:szCs w:val="24"/>
        </w:rPr>
        <w:t xml:space="preserve">El Tribunal de Cuentas ha </w:t>
      </w:r>
      <w:r>
        <w:rPr>
          <w:rFonts w:ascii="Arial" w:hAnsi="Arial" w:cs="Arial"/>
          <w:sz w:val="24"/>
          <w:szCs w:val="24"/>
        </w:rPr>
        <w:t>auditado</w:t>
      </w:r>
      <w:r w:rsidRPr="0079740B">
        <w:rPr>
          <w:rFonts w:ascii="Arial" w:hAnsi="Arial" w:cs="Arial"/>
          <w:sz w:val="24"/>
          <w:szCs w:val="24"/>
        </w:rPr>
        <w:t xml:space="preserve"> los estados financieros del</w:t>
      </w:r>
      <w:r>
        <w:rPr>
          <w:rFonts w:ascii="Arial" w:hAnsi="Arial" w:cs="Arial"/>
          <w:sz w:val="24"/>
          <w:szCs w:val="24"/>
        </w:rPr>
        <w:t xml:space="preserve"> Banco Hipotecario del Uruguay </w:t>
      </w:r>
      <w:r w:rsidRPr="0079740B">
        <w:rPr>
          <w:rFonts w:ascii="Arial" w:hAnsi="Arial" w:cs="Arial"/>
          <w:sz w:val="24"/>
          <w:szCs w:val="24"/>
        </w:rPr>
        <w:t>(</w:t>
      </w:r>
      <w:r>
        <w:rPr>
          <w:rFonts w:ascii="Arial" w:hAnsi="Arial" w:cs="Arial"/>
          <w:sz w:val="24"/>
          <w:szCs w:val="24"/>
        </w:rPr>
        <w:t xml:space="preserve">BHU) que comprenden el Estado de Situación Patrimonial </w:t>
      </w:r>
      <w:r w:rsidRPr="0079740B">
        <w:rPr>
          <w:rFonts w:ascii="Arial" w:hAnsi="Arial" w:cs="Arial"/>
          <w:sz w:val="24"/>
          <w:szCs w:val="24"/>
        </w:rPr>
        <w:t>al 31</w:t>
      </w:r>
      <w:r>
        <w:rPr>
          <w:rFonts w:ascii="Arial" w:hAnsi="Arial" w:cs="Arial"/>
          <w:sz w:val="24"/>
          <w:szCs w:val="24"/>
        </w:rPr>
        <w:t xml:space="preserve">/12/2017, los correspondientes </w:t>
      </w:r>
      <w:r w:rsidRPr="0079740B">
        <w:rPr>
          <w:rFonts w:ascii="Arial" w:hAnsi="Arial" w:cs="Arial"/>
          <w:sz w:val="24"/>
          <w:szCs w:val="24"/>
        </w:rPr>
        <w:t>Estado</w:t>
      </w:r>
      <w:r>
        <w:rPr>
          <w:rFonts w:ascii="Arial" w:hAnsi="Arial" w:cs="Arial"/>
          <w:sz w:val="24"/>
          <w:szCs w:val="24"/>
        </w:rPr>
        <w:t xml:space="preserve"> de R</w:t>
      </w:r>
      <w:r w:rsidRPr="0079740B">
        <w:rPr>
          <w:rFonts w:ascii="Arial" w:hAnsi="Arial" w:cs="Arial"/>
          <w:sz w:val="24"/>
          <w:szCs w:val="24"/>
        </w:rPr>
        <w:t>esultados</w:t>
      </w:r>
      <w:r>
        <w:rPr>
          <w:rFonts w:ascii="Arial" w:hAnsi="Arial" w:cs="Arial"/>
          <w:sz w:val="24"/>
          <w:szCs w:val="24"/>
        </w:rPr>
        <w:t xml:space="preserve">, de Evolución del Patrimonio, de Origen y Aplicación de Fondos </w:t>
      </w:r>
      <w:r w:rsidRPr="0079740B">
        <w:rPr>
          <w:rFonts w:ascii="Arial" w:hAnsi="Arial" w:cs="Arial"/>
          <w:sz w:val="24"/>
          <w:szCs w:val="24"/>
        </w:rPr>
        <w:t>por el ejercicio anual finalizado en esa fecha, las notas de políticas contables significativas a</w:t>
      </w:r>
      <w:r>
        <w:rPr>
          <w:rFonts w:ascii="Arial" w:hAnsi="Arial" w:cs="Arial"/>
          <w:sz w:val="24"/>
          <w:szCs w:val="24"/>
        </w:rPr>
        <w:t>plicadas y otras notas explicativas y los Anexos.</w:t>
      </w:r>
    </w:p>
    <w:p w:rsidR="00242D5A" w:rsidRPr="00DD1FD2" w:rsidRDefault="00242D5A" w:rsidP="00023D98">
      <w:pPr>
        <w:spacing w:afterLines="200" w:after="480" w:line="360" w:lineRule="auto"/>
        <w:jc w:val="both"/>
        <w:rPr>
          <w:rFonts w:ascii="Arial" w:hAnsi="Arial" w:cs="Arial"/>
          <w:sz w:val="24"/>
          <w:szCs w:val="24"/>
        </w:rPr>
      </w:pPr>
      <w:r w:rsidRPr="00DD1FD2">
        <w:rPr>
          <w:rFonts w:ascii="Arial" w:hAnsi="Arial" w:cs="Arial"/>
          <w:sz w:val="24"/>
          <w:szCs w:val="24"/>
        </w:rPr>
        <w:t>En opinión del Tribunal de Cuentas los estados financieros referidos precedentemente presentan razonablemente, en todos sus aspectos significativos, la situación financiera de</w:t>
      </w:r>
      <w:r>
        <w:rPr>
          <w:rFonts w:ascii="Arial" w:hAnsi="Arial" w:cs="Arial"/>
          <w:sz w:val="24"/>
          <w:szCs w:val="24"/>
        </w:rPr>
        <w:t>l BHU al</w:t>
      </w:r>
      <w:r w:rsidRPr="00DD1FD2">
        <w:rPr>
          <w:rFonts w:ascii="Arial" w:hAnsi="Arial" w:cs="Arial"/>
          <w:sz w:val="24"/>
          <w:szCs w:val="24"/>
        </w:rPr>
        <w:t xml:space="preserve"> </w:t>
      </w:r>
      <w:r>
        <w:rPr>
          <w:rFonts w:ascii="Arial" w:hAnsi="Arial" w:cs="Arial"/>
          <w:sz w:val="24"/>
          <w:szCs w:val="24"/>
        </w:rPr>
        <w:t xml:space="preserve">31/12/2017, </w:t>
      </w:r>
      <w:r w:rsidRPr="00DD1FD2">
        <w:rPr>
          <w:rFonts w:ascii="Arial" w:hAnsi="Arial" w:cs="Arial"/>
          <w:sz w:val="24"/>
          <w:szCs w:val="24"/>
        </w:rPr>
        <w:t xml:space="preserve">los resultados de sus operaciones y los flujos de efectivo correspondientes al ejercicio anual terminado en esa fecha, de acuerdo con </w:t>
      </w:r>
      <w:r>
        <w:rPr>
          <w:rFonts w:ascii="Arial" w:hAnsi="Arial" w:cs="Arial"/>
          <w:sz w:val="24"/>
          <w:szCs w:val="24"/>
        </w:rPr>
        <w:t>las normas contables dispuestas por la Superintendencia de Servicios Financieros del Banco Central del Uruguay (BCU) y con la Ordenanza Nº 89 del Tribunal de Cuentas.</w:t>
      </w:r>
    </w:p>
    <w:p w:rsidR="00242D5A" w:rsidRPr="00D814DB" w:rsidRDefault="00242D5A" w:rsidP="00113BC1">
      <w:pPr>
        <w:spacing w:afterLines="100" w:after="240" w:line="360" w:lineRule="auto"/>
        <w:jc w:val="both"/>
        <w:rPr>
          <w:rFonts w:ascii="Arial" w:hAnsi="Arial" w:cs="Arial"/>
          <w:b/>
          <w:sz w:val="24"/>
          <w:szCs w:val="24"/>
        </w:rPr>
      </w:pPr>
      <w:r w:rsidRPr="00D814DB">
        <w:rPr>
          <w:rFonts w:ascii="Arial" w:hAnsi="Arial" w:cs="Arial"/>
          <w:b/>
          <w:sz w:val="24"/>
          <w:szCs w:val="24"/>
        </w:rPr>
        <w:t>Opinión respecto al cumplimiento de la normativa legal aplicable</w:t>
      </w:r>
    </w:p>
    <w:p w:rsidR="00242D5A" w:rsidRDefault="00242D5A" w:rsidP="00113BC1">
      <w:pPr>
        <w:spacing w:after="0" w:line="360" w:lineRule="auto"/>
        <w:jc w:val="both"/>
        <w:rPr>
          <w:rFonts w:ascii="Arial" w:hAnsi="Arial" w:cs="Arial"/>
          <w:sz w:val="24"/>
          <w:szCs w:val="24"/>
        </w:rPr>
      </w:pPr>
      <w:r w:rsidRPr="00D814DB">
        <w:rPr>
          <w:rFonts w:ascii="Arial" w:hAnsi="Arial" w:cs="Arial"/>
          <w:sz w:val="24"/>
          <w:szCs w:val="24"/>
        </w:rPr>
        <w:t xml:space="preserve">En el curso de la auditoría se ha constatado </w:t>
      </w:r>
      <w:r>
        <w:rPr>
          <w:rFonts w:ascii="Arial" w:hAnsi="Arial" w:cs="Arial"/>
          <w:sz w:val="24"/>
          <w:szCs w:val="24"/>
        </w:rPr>
        <w:t>el siguiente incumplimiento:</w:t>
      </w:r>
    </w:p>
    <w:p w:rsidR="00242D5A" w:rsidRDefault="00242D5A" w:rsidP="00242D5A">
      <w:pPr>
        <w:numPr>
          <w:ilvl w:val="0"/>
          <w:numId w:val="2"/>
        </w:numPr>
        <w:tabs>
          <w:tab w:val="left" w:pos="284"/>
        </w:tabs>
        <w:spacing w:after="0" w:line="360" w:lineRule="auto"/>
        <w:ind w:left="0" w:firstLine="0"/>
        <w:jc w:val="both"/>
        <w:rPr>
          <w:rFonts w:ascii="Arial" w:hAnsi="Arial" w:cs="Arial"/>
          <w:sz w:val="24"/>
          <w:szCs w:val="24"/>
        </w:rPr>
      </w:pPr>
      <w:r w:rsidRPr="00620A4E">
        <w:rPr>
          <w:rFonts w:ascii="Arial" w:hAnsi="Arial" w:cs="Arial"/>
          <w:sz w:val="24"/>
          <w:szCs w:val="24"/>
        </w:rPr>
        <w:t xml:space="preserve">Artículo 269 de la </w:t>
      </w:r>
      <w:r>
        <w:rPr>
          <w:rFonts w:ascii="Arial" w:hAnsi="Arial" w:cs="Arial"/>
          <w:sz w:val="24"/>
          <w:szCs w:val="24"/>
        </w:rPr>
        <w:t>Recopilación de Normas de Regulación y Control del Sistema Financiero (</w:t>
      </w:r>
      <w:r w:rsidRPr="00620A4E">
        <w:rPr>
          <w:rFonts w:ascii="Arial" w:hAnsi="Arial" w:cs="Arial"/>
          <w:sz w:val="24"/>
          <w:szCs w:val="24"/>
        </w:rPr>
        <w:t>RNRCSF</w:t>
      </w:r>
      <w:r>
        <w:rPr>
          <w:rFonts w:ascii="Arial" w:hAnsi="Arial" w:cs="Arial"/>
          <w:sz w:val="24"/>
          <w:szCs w:val="24"/>
        </w:rPr>
        <w:t>)</w:t>
      </w:r>
      <w:r w:rsidRPr="00620A4E">
        <w:rPr>
          <w:rFonts w:ascii="Arial" w:hAnsi="Arial" w:cs="Arial"/>
          <w:sz w:val="24"/>
          <w:szCs w:val="24"/>
        </w:rPr>
        <w:t xml:space="preserve"> y Comunicación Nº 2014/210 de 09/12/2014</w:t>
      </w:r>
      <w:r>
        <w:rPr>
          <w:rFonts w:ascii="Arial" w:hAnsi="Arial" w:cs="Arial"/>
          <w:sz w:val="24"/>
          <w:szCs w:val="24"/>
        </w:rPr>
        <w:t>.</w:t>
      </w:r>
    </w:p>
    <w:p w:rsidR="00242D5A" w:rsidRPr="00113BC1" w:rsidRDefault="00242D5A" w:rsidP="009F6F31">
      <w:pPr>
        <w:tabs>
          <w:tab w:val="left" w:pos="0"/>
          <w:tab w:val="left" w:pos="284"/>
        </w:tabs>
        <w:spacing w:after="0" w:line="360" w:lineRule="auto"/>
        <w:jc w:val="both"/>
        <w:rPr>
          <w:rFonts w:ascii="Arial" w:hAnsi="Arial" w:cs="Arial"/>
          <w:sz w:val="24"/>
          <w:szCs w:val="24"/>
        </w:rPr>
      </w:pPr>
    </w:p>
    <w:p w:rsidR="00242D5A" w:rsidRDefault="00242D5A" w:rsidP="00110A0A">
      <w:pPr>
        <w:jc w:val="both"/>
        <w:rPr>
          <w:rFonts w:ascii="Arial" w:hAnsi="Arial" w:cs="Arial"/>
          <w:b/>
          <w:sz w:val="24"/>
          <w:szCs w:val="24"/>
        </w:rPr>
      </w:pPr>
      <w:r w:rsidRPr="00D814DB">
        <w:rPr>
          <w:rFonts w:ascii="Arial" w:hAnsi="Arial" w:cs="Arial"/>
          <w:b/>
          <w:sz w:val="24"/>
          <w:szCs w:val="24"/>
        </w:rPr>
        <w:t xml:space="preserve">Bases para la Opinión </w:t>
      </w:r>
      <w:r>
        <w:rPr>
          <w:rFonts w:ascii="Arial" w:hAnsi="Arial" w:cs="Arial"/>
          <w:b/>
          <w:sz w:val="24"/>
          <w:szCs w:val="24"/>
        </w:rPr>
        <w:t>sin salvedades</w:t>
      </w:r>
    </w:p>
    <w:p w:rsidR="00242D5A" w:rsidRPr="00D814DB" w:rsidRDefault="00242D5A" w:rsidP="00110A0A">
      <w:pPr>
        <w:spacing w:after="0" w:line="360" w:lineRule="auto"/>
        <w:jc w:val="both"/>
        <w:rPr>
          <w:rFonts w:ascii="Arial" w:hAnsi="Arial" w:cs="Arial"/>
          <w:sz w:val="24"/>
          <w:szCs w:val="24"/>
        </w:rPr>
      </w:pPr>
      <w:r w:rsidRPr="00D814DB">
        <w:rPr>
          <w:rFonts w:ascii="Arial" w:hAnsi="Arial" w:cs="Arial"/>
          <w:sz w:val="24"/>
          <w:szCs w:val="24"/>
        </w:rPr>
        <w:t xml:space="preserve">Esta auditoría fue realizada de acuerdo con los Principios Fundamentales de Auditoría (ISSAI 100 y 200) y las Directrices de Auditoría Financiera (ISSAI </w:t>
      </w:r>
      <w:smartTag w:uri="urn:schemas-microsoft-com:office:smarttags" w:element="metricconverter">
        <w:smartTagPr>
          <w:attr w:name="ProductID" w:val="1000 a"/>
        </w:smartTagPr>
        <w:r w:rsidRPr="00FD2F97">
          <w:rPr>
            <w:rFonts w:ascii="Arial" w:hAnsi="Arial" w:cs="Arial"/>
            <w:sz w:val="24"/>
            <w:szCs w:val="24"/>
          </w:rPr>
          <w:t>1000 a</w:t>
        </w:r>
      </w:smartTag>
      <w:r w:rsidRPr="00FD2F97">
        <w:rPr>
          <w:rFonts w:ascii="Arial" w:hAnsi="Arial" w:cs="Arial"/>
          <w:sz w:val="24"/>
          <w:szCs w:val="24"/>
        </w:rPr>
        <w:t xml:space="preserve"> 1810)</w:t>
      </w:r>
      <w:r w:rsidRPr="00D814DB">
        <w:rPr>
          <w:rFonts w:ascii="Arial" w:hAnsi="Arial" w:cs="Arial"/>
          <w:sz w:val="24"/>
          <w:szCs w:val="24"/>
        </w:rPr>
        <w:t xml:space="preserve"> de la Organización Internacional de Entidades Fiscalizadoras Superiores (INTOSAI). La responsabilidad del Tribunal bajo estas normas se describe con más detalle en la sección de </w:t>
      </w:r>
      <w:r w:rsidRPr="00697137">
        <w:rPr>
          <w:rFonts w:ascii="Arial" w:hAnsi="Arial" w:cs="Arial"/>
          <w:sz w:val="24"/>
          <w:szCs w:val="24"/>
        </w:rPr>
        <w:t>Responsabilidad del Tribunal de Cuentas por la auditoría de los estados financieros</w:t>
      </w:r>
      <w:r w:rsidRPr="00D814DB">
        <w:rPr>
          <w:rFonts w:ascii="Arial" w:hAnsi="Arial" w:cs="Arial"/>
          <w:sz w:val="24"/>
          <w:szCs w:val="24"/>
        </w:rPr>
        <w:t>. Este Tribunal es independiente de</w:t>
      </w:r>
      <w:r>
        <w:rPr>
          <w:rFonts w:ascii="Arial" w:hAnsi="Arial" w:cs="Arial"/>
          <w:sz w:val="24"/>
          <w:szCs w:val="24"/>
        </w:rPr>
        <w:t>l BHU</w:t>
      </w:r>
      <w:r>
        <w:rPr>
          <w:rFonts w:ascii="Arial" w:hAnsi="Arial" w:cs="Arial"/>
          <w:i/>
          <w:sz w:val="24"/>
          <w:szCs w:val="24"/>
        </w:rPr>
        <w:t xml:space="preserve"> </w:t>
      </w:r>
      <w:r w:rsidRPr="00D814DB">
        <w:rPr>
          <w:rFonts w:ascii="Arial" w:hAnsi="Arial" w:cs="Arial"/>
          <w:sz w:val="24"/>
          <w:szCs w:val="24"/>
        </w:rPr>
        <w:t>y ha cumplido con las disposiciones de su Código de Ética</w:t>
      </w:r>
      <w:r>
        <w:rPr>
          <w:rFonts w:ascii="Arial" w:hAnsi="Arial" w:cs="Arial"/>
          <w:sz w:val="24"/>
          <w:szCs w:val="24"/>
        </w:rPr>
        <w:t xml:space="preserve">, elaborado en concordancia con el Código de Ética de la INTOSAI. </w:t>
      </w:r>
      <w:r w:rsidRPr="00D814DB">
        <w:rPr>
          <w:rFonts w:ascii="Arial" w:hAnsi="Arial" w:cs="Arial"/>
          <w:sz w:val="24"/>
          <w:szCs w:val="24"/>
        </w:rPr>
        <w:t>Se considera que la evidencia de auditoría obtenida es suficiente y adecuada para proporcionar una base razonable para sustentar la opinión</w:t>
      </w:r>
      <w:r>
        <w:rPr>
          <w:rFonts w:ascii="Arial" w:hAnsi="Arial" w:cs="Arial"/>
          <w:sz w:val="24"/>
          <w:szCs w:val="24"/>
        </w:rPr>
        <w:t>.</w:t>
      </w:r>
    </w:p>
    <w:p w:rsidR="00242D5A" w:rsidRDefault="00242D5A" w:rsidP="00937993">
      <w:pPr>
        <w:spacing w:after="0" w:line="360" w:lineRule="auto"/>
        <w:jc w:val="both"/>
        <w:rPr>
          <w:rFonts w:ascii="Arial" w:hAnsi="Arial" w:cs="Arial"/>
          <w:sz w:val="24"/>
          <w:szCs w:val="24"/>
        </w:rPr>
      </w:pPr>
    </w:p>
    <w:p w:rsidR="00242D5A" w:rsidRDefault="00242D5A" w:rsidP="00937993">
      <w:pPr>
        <w:spacing w:after="0" w:line="360" w:lineRule="auto"/>
        <w:jc w:val="both"/>
        <w:rPr>
          <w:rFonts w:ascii="Arial" w:hAnsi="Arial" w:cs="Arial"/>
          <w:sz w:val="24"/>
          <w:szCs w:val="24"/>
        </w:rPr>
      </w:pPr>
      <w:r w:rsidRPr="00937993">
        <w:rPr>
          <w:rFonts w:ascii="Arial" w:hAnsi="Arial" w:cs="Arial"/>
          <w:b/>
          <w:sz w:val="24"/>
          <w:szCs w:val="24"/>
        </w:rPr>
        <w:t>Responsabilidad del Directorio en relac</w:t>
      </w:r>
      <w:r>
        <w:rPr>
          <w:rFonts w:ascii="Arial" w:hAnsi="Arial" w:cs="Arial"/>
          <w:b/>
          <w:sz w:val="24"/>
          <w:szCs w:val="24"/>
        </w:rPr>
        <w:t>ión con los estados financieros</w:t>
      </w:r>
    </w:p>
    <w:p w:rsidR="00242D5A" w:rsidRPr="00937993" w:rsidRDefault="00242D5A" w:rsidP="00937993">
      <w:pPr>
        <w:spacing w:after="0" w:line="360" w:lineRule="auto"/>
        <w:jc w:val="both"/>
        <w:rPr>
          <w:rFonts w:ascii="Arial" w:hAnsi="Arial" w:cs="Arial"/>
          <w:sz w:val="24"/>
          <w:szCs w:val="24"/>
        </w:rPr>
      </w:pPr>
      <w:r w:rsidRPr="00937993">
        <w:rPr>
          <w:rFonts w:ascii="Arial" w:hAnsi="Arial" w:cs="Arial"/>
          <w:sz w:val="24"/>
          <w:szCs w:val="24"/>
        </w:rPr>
        <w:t>El Directorio de</w:t>
      </w:r>
      <w:r>
        <w:rPr>
          <w:rFonts w:ascii="Arial" w:hAnsi="Arial" w:cs="Arial"/>
          <w:sz w:val="24"/>
          <w:szCs w:val="24"/>
        </w:rPr>
        <w:t>l BHU</w:t>
      </w:r>
      <w:r>
        <w:rPr>
          <w:rFonts w:ascii="Arial" w:hAnsi="Arial" w:cs="Arial"/>
          <w:i/>
          <w:sz w:val="24"/>
          <w:szCs w:val="24"/>
        </w:rPr>
        <w:t xml:space="preserve"> </w:t>
      </w:r>
      <w:r w:rsidRPr="00937993">
        <w:rPr>
          <w:rFonts w:ascii="Arial" w:hAnsi="Arial" w:cs="Arial"/>
          <w:sz w:val="24"/>
          <w:szCs w:val="24"/>
        </w:rPr>
        <w:t>es responsable por la preparación y presentación razonable de los estados financieros de acuer</w:t>
      </w:r>
      <w:r>
        <w:rPr>
          <w:rFonts w:ascii="Arial" w:hAnsi="Arial" w:cs="Arial"/>
          <w:sz w:val="24"/>
          <w:szCs w:val="24"/>
        </w:rPr>
        <w:t xml:space="preserve">do con </w:t>
      </w:r>
      <w:r w:rsidRPr="002E4176">
        <w:rPr>
          <w:rFonts w:ascii="Arial" w:hAnsi="Arial" w:cs="Arial"/>
          <w:sz w:val="24"/>
          <w:szCs w:val="24"/>
        </w:rPr>
        <w:t xml:space="preserve">normas contables </w:t>
      </w:r>
      <w:r>
        <w:rPr>
          <w:rFonts w:ascii="Arial" w:hAnsi="Arial" w:cs="Arial"/>
          <w:sz w:val="24"/>
          <w:szCs w:val="24"/>
        </w:rPr>
        <w:t>y los criterios de valuación, clasificación de riesgos y presentación dictados por el Banco Central del Uruguay (BCU). En lo pertinente, la Dirección del BHU es responsable de aplicar los criterios establecidos en la Ordenanza Nº 89 del Tribunal de Cuentas</w:t>
      </w:r>
      <w:r w:rsidRPr="00937993">
        <w:rPr>
          <w:rFonts w:ascii="Arial" w:hAnsi="Arial" w:cs="Arial"/>
          <w:sz w:val="24"/>
          <w:szCs w:val="24"/>
        </w:rPr>
        <w:t xml:space="preserve"> y del control interno que la administración de la entidad consideró necesario para permitir la preparación de estados financieros libres de errores significativos ya sea debido a fraude o error.</w:t>
      </w:r>
    </w:p>
    <w:p w:rsidR="00242D5A" w:rsidRPr="00937993" w:rsidRDefault="00242D5A" w:rsidP="00937993">
      <w:pPr>
        <w:spacing w:after="0" w:line="360" w:lineRule="auto"/>
        <w:jc w:val="both"/>
        <w:rPr>
          <w:rFonts w:ascii="Arial" w:hAnsi="Arial" w:cs="Arial"/>
          <w:sz w:val="24"/>
          <w:szCs w:val="24"/>
        </w:rPr>
      </w:pPr>
      <w:r w:rsidRPr="00937993">
        <w:rPr>
          <w:rFonts w:ascii="Arial" w:hAnsi="Arial" w:cs="Arial"/>
          <w:sz w:val="24"/>
          <w:szCs w:val="24"/>
        </w:rPr>
        <w:t>El Directorio es responsable de supervisar el proceso de preparación de los estados financieros de</w:t>
      </w:r>
      <w:r>
        <w:rPr>
          <w:rFonts w:ascii="Arial" w:hAnsi="Arial" w:cs="Arial"/>
          <w:sz w:val="24"/>
          <w:szCs w:val="24"/>
        </w:rPr>
        <w:t>l</w:t>
      </w:r>
      <w:r w:rsidRPr="00937993">
        <w:rPr>
          <w:rFonts w:ascii="Arial" w:hAnsi="Arial" w:cs="Arial"/>
          <w:sz w:val="24"/>
          <w:szCs w:val="24"/>
        </w:rPr>
        <w:t xml:space="preserve"> BHU</w:t>
      </w:r>
      <w:r>
        <w:rPr>
          <w:rFonts w:ascii="Arial" w:hAnsi="Arial" w:cs="Arial"/>
          <w:sz w:val="24"/>
          <w:szCs w:val="24"/>
        </w:rPr>
        <w:t>.</w:t>
      </w:r>
    </w:p>
    <w:p w:rsidR="00242D5A" w:rsidRDefault="00242D5A" w:rsidP="00937993">
      <w:pPr>
        <w:spacing w:after="0" w:line="360" w:lineRule="auto"/>
        <w:jc w:val="both"/>
        <w:rPr>
          <w:rFonts w:ascii="Arial" w:hAnsi="Arial" w:cs="Arial"/>
          <w:b/>
          <w:sz w:val="24"/>
          <w:szCs w:val="24"/>
        </w:rPr>
      </w:pPr>
    </w:p>
    <w:p w:rsidR="00242D5A" w:rsidRDefault="00242D5A" w:rsidP="00937993">
      <w:pPr>
        <w:spacing w:after="0" w:line="360" w:lineRule="auto"/>
        <w:jc w:val="both"/>
        <w:rPr>
          <w:rFonts w:ascii="Arial" w:hAnsi="Arial" w:cs="Arial"/>
          <w:b/>
          <w:sz w:val="24"/>
          <w:szCs w:val="24"/>
        </w:rPr>
      </w:pPr>
      <w:r w:rsidRPr="00937993">
        <w:rPr>
          <w:rFonts w:ascii="Arial" w:hAnsi="Arial" w:cs="Arial"/>
          <w:b/>
          <w:sz w:val="24"/>
          <w:szCs w:val="24"/>
        </w:rPr>
        <w:t>Responsabilidad del Tribunal de Cuentas por la audit</w:t>
      </w:r>
      <w:r>
        <w:rPr>
          <w:rFonts w:ascii="Arial" w:hAnsi="Arial" w:cs="Arial"/>
          <w:b/>
          <w:sz w:val="24"/>
          <w:szCs w:val="24"/>
        </w:rPr>
        <w:t>oría de los estados financieros</w:t>
      </w:r>
    </w:p>
    <w:p w:rsidR="00242D5A" w:rsidRPr="00937993" w:rsidRDefault="00242D5A" w:rsidP="00937993">
      <w:pPr>
        <w:spacing w:after="0" w:line="360" w:lineRule="auto"/>
        <w:jc w:val="both"/>
        <w:rPr>
          <w:rFonts w:ascii="Arial" w:hAnsi="Arial" w:cs="Arial"/>
          <w:sz w:val="24"/>
          <w:szCs w:val="24"/>
        </w:rPr>
      </w:pPr>
      <w:r w:rsidRPr="00937993">
        <w:rPr>
          <w:rFonts w:ascii="Arial" w:hAnsi="Arial" w:cs="Arial"/>
          <w:sz w:val="24"/>
          <w:szCs w:val="24"/>
        </w:rPr>
        <w:t>El objetivo de la auditoría consiste en obtener una seguridad razonable acerca de que los estados financieros en su conjunto están libres de errores significativos, ya sea debido a fraude o error y emitir un dictamen de auditoría con la correspondiente opinión. Seguridad razonable es un alto nivel de seguridad, pero no garantiza que una auditoría siempre detectará un error significativo cuando exista. Los errores pueden surgir debido a fraudes o errores y se consideran significativos si, individualmente o en su conjunto, puede razonablemente esperarse que influyan en las decisiones económicas tomadas por los usuarios sobre la base de los estados financieros.</w:t>
      </w:r>
    </w:p>
    <w:p w:rsidR="00242D5A" w:rsidRPr="00937993" w:rsidRDefault="00242D5A" w:rsidP="00937993">
      <w:pPr>
        <w:spacing w:after="0" w:line="360" w:lineRule="auto"/>
        <w:jc w:val="both"/>
        <w:rPr>
          <w:rFonts w:ascii="Arial" w:hAnsi="Arial" w:cs="Arial"/>
          <w:sz w:val="24"/>
          <w:szCs w:val="24"/>
        </w:rPr>
      </w:pPr>
      <w:r w:rsidRPr="00937993">
        <w:rPr>
          <w:rFonts w:ascii="Arial" w:hAnsi="Arial" w:cs="Arial"/>
          <w:sz w:val="24"/>
          <w:szCs w:val="24"/>
        </w:rPr>
        <w:t xml:space="preserve">Como parte de una auditoría de acuerdo con las ISSAI referidas en la sección </w:t>
      </w:r>
      <w:r w:rsidRPr="009A1647">
        <w:rPr>
          <w:rFonts w:ascii="Arial" w:hAnsi="Arial" w:cs="Arial"/>
          <w:sz w:val="24"/>
          <w:szCs w:val="24"/>
        </w:rPr>
        <w:t>Bases para la Opinión</w:t>
      </w:r>
      <w:r>
        <w:rPr>
          <w:rFonts w:ascii="Arial" w:hAnsi="Arial" w:cs="Arial"/>
          <w:sz w:val="24"/>
          <w:szCs w:val="24"/>
        </w:rPr>
        <w:t xml:space="preserve"> sin salvedades</w:t>
      </w:r>
      <w:r w:rsidRPr="009A1647">
        <w:rPr>
          <w:rFonts w:ascii="Arial" w:hAnsi="Arial" w:cs="Arial"/>
          <w:sz w:val="24"/>
          <w:szCs w:val="24"/>
        </w:rPr>
        <w:t>,</w:t>
      </w:r>
      <w:r w:rsidRPr="00937993">
        <w:rPr>
          <w:rFonts w:ascii="Arial" w:hAnsi="Arial" w:cs="Arial"/>
          <w:sz w:val="24"/>
          <w:szCs w:val="24"/>
        </w:rPr>
        <w:t xml:space="preserve"> el Tribunal de Cuentas aplica su juicio profesional y mantiene el escepticismo profesional durante el proceso de auditoría. Asimismo:</w:t>
      </w:r>
    </w:p>
    <w:p w:rsidR="00242D5A" w:rsidRPr="00937993" w:rsidRDefault="00242D5A" w:rsidP="00242D5A">
      <w:pPr>
        <w:pStyle w:val="Prrafodelista"/>
        <w:numPr>
          <w:ilvl w:val="0"/>
          <w:numId w:val="11"/>
        </w:numPr>
        <w:spacing w:after="0" w:line="360" w:lineRule="auto"/>
        <w:ind w:left="426"/>
        <w:jc w:val="both"/>
        <w:rPr>
          <w:rFonts w:ascii="Arial" w:hAnsi="Arial" w:cs="Arial"/>
          <w:sz w:val="24"/>
          <w:szCs w:val="24"/>
        </w:rPr>
      </w:pPr>
      <w:r w:rsidRPr="00937993">
        <w:rPr>
          <w:rFonts w:ascii="Arial" w:hAnsi="Arial" w:cs="Arial"/>
          <w:sz w:val="24"/>
          <w:szCs w:val="24"/>
        </w:rPr>
        <w:t>Identifica y evalúa el riesgo de que existan errores significativos en los estados financieros, ya sea debido a fraude o error, diseña y realiza procedimientos de auditoría para responder a dichos riesgos y obtiene evidencia de auditoría suficiente y apropiada para fundamentar la base de la opinión. El riesgo de no detectar un error significativo resultante de un fraude es mayor que el resultante de un error, dado que el fraude puede implicar colusión, falsificación, omisiones intencionales, manifestaciones intencionalmente incorrectas o ap</w:t>
      </w:r>
      <w:r>
        <w:rPr>
          <w:rFonts w:ascii="Arial" w:hAnsi="Arial" w:cs="Arial"/>
          <w:sz w:val="24"/>
          <w:szCs w:val="24"/>
        </w:rPr>
        <w:t>artamientos de control interno.</w:t>
      </w:r>
    </w:p>
    <w:p w:rsidR="00242D5A" w:rsidRPr="00937993" w:rsidRDefault="00242D5A" w:rsidP="00242D5A">
      <w:pPr>
        <w:pStyle w:val="Prrafodelista"/>
        <w:numPr>
          <w:ilvl w:val="0"/>
          <w:numId w:val="11"/>
        </w:numPr>
        <w:spacing w:after="0" w:line="360" w:lineRule="auto"/>
        <w:ind w:left="426"/>
        <w:jc w:val="both"/>
        <w:rPr>
          <w:rFonts w:ascii="Arial" w:hAnsi="Arial" w:cs="Arial"/>
          <w:sz w:val="24"/>
          <w:szCs w:val="24"/>
        </w:rPr>
      </w:pPr>
      <w:r w:rsidRPr="00937993">
        <w:rPr>
          <w:rFonts w:ascii="Arial" w:hAnsi="Arial" w:cs="Arial"/>
          <w:sz w:val="24"/>
          <w:szCs w:val="24"/>
        </w:rPr>
        <w:t>Obtiene un entendimiento del control interno relevante para la auditoría con el propósito de diseñar procedimientos de auditoría que sean apropiados en las circunstancias, pero no con el propósito de expresar una opinión sobre la eficacia del control interno de la entidad.</w:t>
      </w:r>
    </w:p>
    <w:p w:rsidR="00242D5A" w:rsidRPr="00937993" w:rsidRDefault="00242D5A" w:rsidP="00242D5A">
      <w:pPr>
        <w:pStyle w:val="Prrafodelista"/>
        <w:numPr>
          <w:ilvl w:val="0"/>
          <w:numId w:val="11"/>
        </w:numPr>
        <w:spacing w:after="0" w:line="360" w:lineRule="auto"/>
        <w:ind w:left="426"/>
        <w:jc w:val="both"/>
        <w:rPr>
          <w:rFonts w:ascii="Arial" w:hAnsi="Arial" w:cs="Arial"/>
          <w:sz w:val="24"/>
          <w:szCs w:val="24"/>
        </w:rPr>
      </w:pPr>
      <w:r w:rsidRPr="00937993">
        <w:rPr>
          <w:rFonts w:ascii="Arial" w:hAnsi="Arial" w:cs="Arial"/>
          <w:sz w:val="24"/>
          <w:szCs w:val="24"/>
        </w:rPr>
        <w:t>Evalúa lo adecuado de las políticas contables adoptadas, la razonabilidad de las estimaciones contables y las revelaciones relacionadas realizadas por la Dirección.</w:t>
      </w:r>
    </w:p>
    <w:p w:rsidR="00242D5A" w:rsidRPr="00937993" w:rsidRDefault="00242D5A" w:rsidP="00242D5A">
      <w:pPr>
        <w:pStyle w:val="Prrafodelista"/>
        <w:numPr>
          <w:ilvl w:val="0"/>
          <w:numId w:val="11"/>
        </w:numPr>
        <w:spacing w:after="0" w:line="360" w:lineRule="auto"/>
        <w:ind w:left="426"/>
        <w:jc w:val="both"/>
        <w:rPr>
          <w:rFonts w:ascii="Arial" w:hAnsi="Arial" w:cs="Arial"/>
          <w:sz w:val="24"/>
          <w:szCs w:val="24"/>
        </w:rPr>
      </w:pPr>
      <w:r w:rsidRPr="00937993">
        <w:rPr>
          <w:rFonts w:ascii="Arial" w:hAnsi="Arial" w:cs="Arial"/>
          <w:sz w:val="24"/>
          <w:szCs w:val="24"/>
        </w:rPr>
        <w:t>Evalúa la presentación general, la estructura y contenido de los estados financieros, incluyendo las revelaciones y si los estados financieros representan las transacciones y eventos subyacentes de un modo que se logre una representación fiel de los mismos.</w:t>
      </w:r>
    </w:p>
    <w:p w:rsidR="00242D5A" w:rsidRPr="00937993" w:rsidRDefault="00242D5A" w:rsidP="00937993">
      <w:pPr>
        <w:pStyle w:val="Prrafodelista"/>
        <w:spacing w:after="0" w:line="360" w:lineRule="auto"/>
        <w:ind w:left="0"/>
        <w:jc w:val="both"/>
        <w:rPr>
          <w:rFonts w:ascii="Arial" w:hAnsi="Arial" w:cs="Arial"/>
          <w:sz w:val="24"/>
          <w:szCs w:val="24"/>
        </w:rPr>
      </w:pPr>
    </w:p>
    <w:p w:rsidR="00242D5A" w:rsidRPr="00937993" w:rsidRDefault="00242D5A" w:rsidP="00937993">
      <w:pPr>
        <w:pStyle w:val="Prrafodelista"/>
        <w:spacing w:after="0" w:line="360" w:lineRule="auto"/>
        <w:ind w:left="0"/>
        <w:jc w:val="both"/>
        <w:rPr>
          <w:rFonts w:ascii="Arial" w:hAnsi="Arial" w:cs="Arial"/>
          <w:sz w:val="24"/>
          <w:szCs w:val="24"/>
        </w:rPr>
      </w:pPr>
      <w:r w:rsidRPr="00937993">
        <w:rPr>
          <w:rFonts w:ascii="Arial" w:hAnsi="Arial" w:cs="Arial"/>
          <w:sz w:val="24"/>
          <w:szCs w:val="24"/>
        </w:rPr>
        <w:t>El Tribunal de Cuenta</w:t>
      </w:r>
      <w:r>
        <w:rPr>
          <w:rFonts w:ascii="Arial" w:hAnsi="Arial" w:cs="Arial"/>
          <w:sz w:val="24"/>
          <w:szCs w:val="24"/>
        </w:rPr>
        <w:t xml:space="preserve">s se </w:t>
      </w:r>
      <w:r w:rsidRPr="009B3AD6">
        <w:rPr>
          <w:rFonts w:ascii="Arial" w:hAnsi="Arial" w:cs="Arial"/>
          <w:sz w:val="24"/>
          <w:szCs w:val="24"/>
        </w:rPr>
        <w:t>comunicó con el Directorio,</w:t>
      </w:r>
      <w:r w:rsidRPr="00937993">
        <w:rPr>
          <w:rFonts w:ascii="Arial" w:hAnsi="Arial" w:cs="Arial"/>
          <w:sz w:val="24"/>
          <w:szCs w:val="24"/>
        </w:rPr>
        <w:t xml:space="preserve"> en relación, entre otros asuntos, al alcance y la oportunidad de los procedimientos de auditoría, los hallazgos significativos de auditoría incluidos, en caso de corresponder, y las deficiencias significativas en el control interno que se identificaron en </w:t>
      </w:r>
      <w:r>
        <w:rPr>
          <w:rFonts w:ascii="Arial" w:hAnsi="Arial" w:cs="Arial"/>
          <w:sz w:val="24"/>
          <w:szCs w:val="24"/>
        </w:rPr>
        <w:t>el transcurso de la auditoría.</w:t>
      </w:r>
    </w:p>
    <w:p w:rsidR="00242D5A" w:rsidRPr="00937993" w:rsidRDefault="00242D5A" w:rsidP="00937993">
      <w:pPr>
        <w:pStyle w:val="Prrafodelista"/>
        <w:spacing w:after="0" w:line="360" w:lineRule="auto"/>
        <w:ind w:left="0"/>
        <w:jc w:val="both"/>
        <w:rPr>
          <w:rFonts w:ascii="Arial" w:hAnsi="Arial" w:cs="Arial"/>
          <w:sz w:val="24"/>
          <w:szCs w:val="24"/>
        </w:rPr>
      </w:pPr>
    </w:p>
    <w:p w:rsidR="00242D5A" w:rsidRPr="00B965E0" w:rsidRDefault="00242D5A" w:rsidP="00937993">
      <w:pPr>
        <w:spacing w:after="0" w:line="360" w:lineRule="auto"/>
        <w:jc w:val="both"/>
        <w:rPr>
          <w:rFonts w:ascii="Arial" w:hAnsi="Arial" w:cs="Arial"/>
          <w:b/>
          <w:sz w:val="24"/>
          <w:szCs w:val="24"/>
        </w:rPr>
      </w:pPr>
      <w:r w:rsidRPr="00B965E0">
        <w:rPr>
          <w:rFonts w:ascii="Arial" w:hAnsi="Arial" w:cs="Arial"/>
          <w:b/>
          <w:sz w:val="24"/>
          <w:szCs w:val="24"/>
        </w:rPr>
        <w:t>Informe de cumplimiento de la normativa vigente</w:t>
      </w:r>
    </w:p>
    <w:p w:rsidR="00242D5A" w:rsidRDefault="00242D5A" w:rsidP="00937993">
      <w:pPr>
        <w:spacing w:after="0" w:line="360" w:lineRule="auto"/>
        <w:jc w:val="both"/>
        <w:rPr>
          <w:rFonts w:ascii="Arial" w:hAnsi="Arial" w:cs="Arial"/>
          <w:sz w:val="24"/>
          <w:szCs w:val="24"/>
        </w:rPr>
      </w:pPr>
      <w:r w:rsidRPr="00B965E0">
        <w:rPr>
          <w:rFonts w:ascii="Arial" w:hAnsi="Arial" w:cs="Arial"/>
          <w:sz w:val="24"/>
          <w:szCs w:val="24"/>
        </w:rPr>
        <w:t>Respecto a</w:t>
      </w:r>
      <w:r>
        <w:rPr>
          <w:rFonts w:ascii="Arial" w:hAnsi="Arial" w:cs="Arial"/>
          <w:sz w:val="24"/>
          <w:szCs w:val="24"/>
        </w:rPr>
        <w:t>l</w:t>
      </w:r>
      <w:r w:rsidRPr="00B965E0">
        <w:rPr>
          <w:rFonts w:ascii="Arial" w:hAnsi="Arial" w:cs="Arial"/>
          <w:sz w:val="24"/>
          <w:szCs w:val="24"/>
        </w:rPr>
        <w:t xml:space="preserve"> incumplimiento mencionado en el párrafo Opinión respecto al cumplimiento de la normativa legal aplicable</w:t>
      </w:r>
      <w:r w:rsidRPr="00B965E0">
        <w:rPr>
          <w:rFonts w:ascii="Arial" w:hAnsi="Arial" w:cs="Arial"/>
          <w:i/>
          <w:sz w:val="24"/>
          <w:szCs w:val="24"/>
        </w:rPr>
        <w:t xml:space="preserve"> </w:t>
      </w:r>
      <w:r w:rsidRPr="00B965E0">
        <w:rPr>
          <w:rFonts w:ascii="Arial" w:hAnsi="Arial" w:cs="Arial"/>
          <w:sz w:val="24"/>
          <w:szCs w:val="24"/>
        </w:rPr>
        <w:t>corres</w:t>
      </w:r>
      <w:r>
        <w:rPr>
          <w:rFonts w:ascii="Arial" w:hAnsi="Arial" w:cs="Arial"/>
          <w:sz w:val="24"/>
          <w:szCs w:val="24"/>
        </w:rPr>
        <w:t>ponde señalar lo siguiente:</w:t>
      </w:r>
    </w:p>
    <w:p w:rsidR="00242D5A" w:rsidRDefault="00242D5A" w:rsidP="00242D5A">
      <w:pPr>
        <w:numPr>
          <w:ilvl w:val="0"/>
          <w:numId w:val="2"/>
        </w:numPr>
        <w:tabs>
          <w:tab w:val="left" w:pos="284"/>
        </w:tabs>
        <w:spacing w:after="0" w:line="360" w:lineRule="auto"/>
        <w:ind w:left="0" w:firstLine="0"/>
        <w:jc w:val="both"/>
        <w:rPr>
          <w:rFonts w:ascii="Arial" w:hAnsi="Arial" w:cs="Arial"/>
          <w:sz w:val="24"/>
          <w:szCs w:val="24"/>
        </w:rPr>
      </w:pPr>
      <w:r w:rsidRPr="00A75A3F">
        <w:rPr>
          <w:rFonts w:ascii="Arial" w:hAnsi="Arial" w:cs="Arial"/>
          <w:sz w:val="24"/>
          <w:szCs w:val="24"/>
        </w:rPr>
        <w:t>Artículo 269 de la RNRCSF y Comunicación Nº 2014/210 de 09/12/2014</w:t>
      </w:r>
      <w:r>
        <w:rPr>
          <w:rFonts w:ascii="Arial" w:hAnsi="Arial" w:cs="Arial"/>
          <w:sz w:val="24"/>
          <w:szCs w:val="24"/>
        </w:rPr>
        <w:t>:</w:t>
      </w:r>
      <w:r w:rsidRPr="00A75A3F">
        <w:rPr>
          <w:rFonts w:ascii="Arial" w:hAnsi="Arial" w:cs="Arial"/>
          <w:sz w:val="24"/>
          <w:szCs w:val="24"/>
        </w:rPr>
        <w:t xml:space="preserve"> las carpetas de los titulares de créditos no han sido actualizadas</w:t>
      </w:r>
      <w:r>
        <w:rPr>
          <w:rFonts w:ascii="Arial" w:hAnsi="Arial" w:cs="Arial"/>
          <w:sz w:val="24"/>
          <w:szCs w:val="24"/>
        </w:rPr>
        <w:t xml:space="preserve"> de acuerdo a lo exigido en dicha normativa.</w:t>
      </w:r>
    </w:p>
    <w:p w:rsidR="00242D5A" w:rsidRDefault="00242D5A" w:rsidP="002F77DA">
      <w:pPr>
        <w:jc w:val="right"/>
        <w:rPr>
          <w:rFonts w:ascii="Arial" w:hAnsi="Arial" w:cs="Arial"/>
          <w:sz w:val="24"/>
          <w:szCs w:val="24"/>
        </w:rPr>
      </w:pPr>
      <w:r>
        <w:rPr>
          <w:rFonts w:ascii="Arial" w:hAnsi="Arial" w:cs="Arial"/>
          <w:sz w:val="24"/>
          <w:szCs w:val="24"/>
        </w:rPr>
        <w:t>Montevideo, 25 de setiembre de 2018</w:t>
      </w:r>
    </w:p>
    <w:p w:rsidR="00242D5A" w:rsidRDefault="00242D5A" w:rsidP="00620366">
      <w:pPr>
        <w:rPr>
          <w:rFonts w:ascii="Arial" w:hAnsi="Arial" w:cs="Arial"/>
          <w:sz w:val="24"/>
          <w:szCs w:val="24"/>
        </w:rPr>
      </w:pPr>
    </w:p>
    <w:p w:rsidR="00242D5A" w:rsidRDefault="00242D5A" w:rsidP="00620366">
      <w:pPr>
        <w:rPr>
          <w:rFonts w:ascii="Arial" w:hAnsi="Arial" w:cs="Arial"/>
          <w:sz w:val="24"/>
          <w:szCs w:val="24"/>
        </w:rPr>
      </w:pPr>
    </w:p>
    <w:p w:rsidR="00242D5A" w:rsidRDefault="00242D5A" w:rsidP="00620366">
      <w:pPr>
        <w:rPr>
          <w:rFonts w:ascii="Arial" w:hAnsi="Arial" w:cs="Arial"/>
          <w:sz w:val="24"/>
          <w:szCs w:val="24"/>
        </w:rPr>
      </w:pPr>
      <w:proofErr w:type="spellStart"/>
      <w:proofErr w:type="gramStart"/>
      <w:r>
        <w:rPr>
          <w:rFonts w:ascii="Arial" w:hAnsi="Arial" w:cs="Arial"/>
          <w:sz w:val="24"/>
          <w:szCs w:val="24"/>
        </w:rPr>
        <w:t>aa</w:t>
      </w:r>
      <w:proofErr w:type="spellEnd"/>
      <w:proofErr w:type="gramEnd"/>
    </w:p>
    <w:p w:rsidR="00C9175C" w:rsidRDefault="00C9175C" w:rsidP="00E827F7">
      <w:pPr>
        <w:spacing w:line="360" w:lineRule="auto"/>
        <w:jc w:val="center"/>
        <w:rPr>
          <w:rFonts w:ascii="Arial" w:eastAsia="Times New Roman" w:hAnsi="Arial" w:cs="Arial"/>
          <w:b/>
          <w:sz w:val="24"/>
          <w:szCs w:val="24"/>
          <w:lang w:val="es-UY" w:eastAsia="es-UY"/>
        </w:rPr>
      </w:pPr>
    </w:p>
    <w:p w:rsidR="00C9175C" w:rsidRDefault="00C9175C" w:rsidP="00E827F7">
      <w:pPr>
        <w:spacing w:line="360" w:lineRule="auto"/>
        <w:jc w:val="center"/>
        <w:rPr>
          <w:rFonts w:ascii="Arial" w:eastAsia="Times New Roman" w:hAnsi="Arial" w:cs="Arial"/>
          <w:b/>
          <w:sz w:val="24"/>
          <w:szCs w:val="24"/>
          <w:lang w:val="es-UY" w:eastAsia="es-UY"/>
        </w:rPr>
      </w:pPr>
    </w:p>
    <w:p w:rsidR="00C9175C" w:rsidRDefault="00C9175C" w:rsidP="00E827F7">
      <w:pPr>
        <w:spacing w:line="360" w:lineRule="auto"/>
        <w:jc w:val="center"/>
        <w:rPr>
          <w:rFonts w:ascii="Arial" w:eastAsia="Times New Roman" w:hAnsi="Arial" w:cs="Arial"/>
          <w:b/>
          <w:sz w:val="24"/>
          <w:szCs w:val="24"/>
          <w:lang w:val="es-UY" w:eastAsia="es-UY"/>
        </w:rPr>
      </w:pPr>
    </w:p>
    <w:p w:rsidR="00242D5A" w:rsidRDefault="00242D5A" w:rsidP="00E827F7">
      <w:pPr>
        <w:spacing w:line="360" w:lineRule="auto"/>
        <w:jc w:val="center"/>
        <w:rPr>
          <w:rFonts w:ascii="Arial" w:eastAsia="Times New Roman" w:hAnsi="Arial" w:cs="Arial"/>
          <w:b/>
          <w:sz w:val="24"/>
          <w:szCs w:val="24"/>
          <w:lang w:val="es-UY" w:eastAsia="es-UY"/>
        </w:rPr>
      </w:pPr>
    </w:p>
    <w:p w:rsidR="00242D5A" w:rsidRDefault="00242D5A" w:rsidP="00E827F7">
      <w:pPr>
        <w:spacing w:line="360" w:lineRule="auto"/>
        <w:jc w:val="center"/>
        <w:rPr>
          <w:rFonts w:ascii="Arial" w:eastAsia="Times New Roman" w:hAnsi="Arial" w:cs="Arial"/>
          <w:b/>
          <w:sz w:val="24"/>
          <w:szCs w:val="24"/>
          <w:lang w:val="es-UY" w:eastAsia="es-UY"/>
        </w:rPr>
      </w:pPr>
    </w:p>
    <w:p w:rsidR="00242D5A" w:rsidRDefault="00242D5A" w:rsidP="00E827F7">
      <w:pPr>
        <w:spacing w:line="360" w:lineRule="auto"/>
        <w:jc w:val="center"/>
        <w:rPr>
          <w:rFonts w:ascii="Arial" w:eastAsia="Times New Roman" w:hAnsi="Arial" w:cs="Arial"/>
          <w:b/>
          <w:sz w:val="24"/>
          <w:szCs w:val="24"/>
          <w:lang w:val="es-UY" w:eastAsia="es-UY"/>
        </w:rPr>
      </w:pPr>
    </w:p>
    <w:p w:rsidR="00242D5A" w:rsidRDefault="00242D5A" w:rsidP="00E827F7">
      <w:pPr>
        <w:spacing w:line="360" w:lineRule="auto"/>
        <w:jc w:val="center"/>
        <w:rPr>
          <w:rFonts w:ascii="Arial" w:eastAsia="Times New Roman" w:hAnsi="Arial" w:cs="Arial"/>
          <w:b/>
          <w:sz w:val="24"/>
          <w:szCs w:val="24"/>
          <w:lang w:val="es-UY" w:eastAsia="es-UY"/>
        </w:rPr>
      </w:pPr>
    </w:p>
    <w:p w:rsidR="00242D5A" w:rsidRDefault="00242D5A" w:rsidP="00E827F7">
      <w:pPr>
        <w:spacing w:line="360" w:lineRule="auto"/>
        <w:jc w:val="center"/>
        <w:rPr>
          <w:rFonts w:ascii="Arial" w:eastAsia="Times New Roman" w:hAnsi="Arial" w:cs="Arial"/>
          <w:b/>
          <w:sz w:val="24"/>
          <w:szCs w:val="24"/>
          <w:lang w:val="es-UY" w:eastAsia="es-UY"/>
        </w:rPr>
      </w:pPr>
    </w:p>
    <w:p w:rsidR="00242D5A" w:rsidRDefault="00242D5A" w:rsidP="00E827F7">
      <w:pPr>
        <w:spacing w:line="360" w:lineRule="auto"/>
        <w:jc w:val="center"/>
        <w:rPr>
          <w:rFonts w:ascii="Arial" w:eastAsia="Times New Roman" w:hAnsi="Arial" w:cs="Arial"/>
          <w:b/>
          <w:sz w:val="24"/>
          <w:szCs w:val="24"/>
          <w:lang w:val="es-UY" w:eastAsia="es-UY"/>
        </w:rPr>
      </w:pPr>
    </w:p>
    <w:p w:rsidR="00242D5A" w:rsidRDefault="00242D5A" w:rsidP="00E827F7">
      <w:pPr>
        <w:spacing w:line="360" w:lineRule="auto"/>
        <w:jc w:val="center"/>
        <w:rPr>
          <w:rFonts w:ascii="Arial" w:eastAsia="Times New Roman" w:hAnsi="Arial" w:cs="Arial"/>
          <w:b/>
          <w:sz w:val="24"/>
          <w:szCs w:val="24"/>
          <w:lang w:val="es-UY" w:eastAsia="es-UY"/>
        </w:rPr>
      </w:pPr>
    </w:p>
    <w:p w:rsidR="00421268" w:rsidRDefault="00421268" w:rsidP="00E827F7">
      <w:pPr>
        <w:spacing w:line="360" w:lineRule="auto"/>
        <w:jc w:val="center"/>
        <w:rPr>
          <w:rFonts w:ascii="Arial" w:eastAsia="Times New Roman" w:hAnsi="Arial" w:cs="Arial"/>
          <w:b/>
          <w:sz w:val="24"/>
          <w:szCs w:val="24"/>
          <w:lang w:val="es-UY" w:eastAsia="es-UY"/>
        </w:rPr>
      </w:pPr>
      <w:r w:rsidRPr="00E827F7">
        <w:rPr>
          <w:rFonts w:ascii="Arial" w:eastAsia="Times New Roman" w:hAnsi="Arial" w:cs="Arial"/>
          <w:b/>
          <w:sz w:val="24"/>
          <w:szCs w:val="24"/>
          <w:lang w:val="es-UY" w:eastAsia="es-UY"/>
        </w:rPr>
        <w:t>INFORME A LA ADMINISTRACION</w:t>
      </w:r>
    </w:p>
    <w:p w:rsidR="00421268" w:rsidRPr="00E827F7" w:rsidRDefault="00421268" w:rsidP="000041F4">
      <w:pPr>
        <w:spacing w:after="0" w:line="360" w:lineRule="auto"/>
        <w:jc w:val="both"/>
        <w:rPr>
          <w:rFonts w:ascii="Arial" w:eastAsia="Times New Roman" w:hAnsi="Arial" w:cs="Arial"/>
          <w:sz w:val="24"/>
          <w:szCs w:val="24"/>
          <w:lang w:val="es-UY" w:eastAsia="es-UY"/>
        </w:rPr>
      </w:pPr>
      <w:r w:rsidRPr="00E827F7">
        <w:rPr>
          <w:rFonts w:ascii="Arial" w:eastAsia="Times New Roman" w:hAnsi="Arial" w:cs="Arial"/>
          <w:sz w:val="24"/>
          <w:szCs w:val="24"/>
          <w:lang w:val="es-UY" w:eastAsia="es-UY"/>
        </w:rPr>
        <w:t xml:space="preserve">El Tribunal de Cuentas ha examinado los </w:t>
      </w:r>
      <w:r>
        <w:rPr>
          <w:rFonts w:ascii="Arial" w:eastAsia="Times New Roman" w:hAnsi="Arial" w:cs="Arial"/>
          <w:sz w:val="24"/>
          <w:szCs w:val="24"/>
          <w:lang w:val="es-UY" w:eastAsia="es-UY"/>
        </w:rPr>
        <w:t xml:space="preserve">estados financieros y </w:t>
      </w:r>
      <w:r w:rsidRPr="00A87215">
        <w:rPr>
          <w:rFonts w:ascii="Arial" w:eastAsia="Times New Roman" w:hAnsi="Arial" w:cs="Arial"/>
          <w:sz w:val="24"/>
          <w:szCs w:val="24"/>
          <w:lang w:val="es-UY" w:eastAsia="es-UY"/>
        </w:rPr>
        <w:t>el Estado</w:t>
      </w:r>
      <w:r>
        <w:rPr>
          <w:rFonts w:ascii="Arial" w:eastAsia="Times New Roman" w:hAnsi="Arial" w:cs="Arial"/>
          <w:sz w:val="24"/>
          <w:szCs w:val="24"/>
          <w:lang w:val="es-UY" w:eastAsia="es-UY"/>
        </w:rPr>
        <w:t xml:space="preserve"> de Ejecución Presupuestal del </w:t>
      </w:r>
      <w:r w:rsidRPr="00E827F7">
        <w:rPr>
          <w:rFonts w:ascii="Arial" w:eastAsia="Times New Roman" w:hAnsi="Arial" w:cs="Arial"/>
          <w:sz w:val="24"/>
          <w:szCs w:val="24"/>
          <w:lang w:val="es-UY" w:eastAsia="es-UY"/>
        </w:rPr>
        <w:t>Banco Hipotec</w:t>
      </w:r>
      <w:r>
        <w:rPr>
          <w:rFonts w:ascii="Arial" w:eastAsia="Times New Roman" w:hAnsi="Arial" w:cs="Arial"/>
          <w:sz w:val="24"/>
          <w:szCs w:val="24"/>
          <w:lang w:val="es-UY" w:eastAsia="es-UY"/>
        </w:rPr>
        <w:t>ario del Uruguay (BHU), por el E</w:t>
      </w:r>
      <w:r w:rsidRPr="00E827F7">
        <w:rPr>
          <w:rFonts w:ascii="Arial" w:eastAsia="Times New Roman" w:hAnsi="Arial" w:cs="Arial"/>
          <w:sz w:val="24"/>
          <w:szCs w:val="24"/>
          <w:lang w:val="es-UY" w:eastAsia="es-UY"/>
        </w:rPr>
        <w:t>jercicio finalizado el 31</w:t>
      </w:r>
      <w:r>
        <w:rPr>
          <w:rFonts w:ascii="Arial" w:eastAsia="Times New Roman" w:hAnsi="Arial" w:cs="Arial"/>
          <w:sz w:val="24"/>
          <w:szCs w:val="24"/>
          <w:lang w:val="es-UY" w:eastAsia="es-UY"/>
        </w:rPr>
        <w:t xml:space="preserve">/12/2017 </w:t>
      </w:r>
      <w:r w:rsidRPr="00E827F7">
        <w:rPr>
          <w:rFonts w:ascii="Arial" w:eastAsia="Times New Roman" w:hAnsi="Arial" w:cs="Arial"/>
          <w:sz w:val="24"/>
          <w:szCs w:val="24"/>
          <w:lang w:val="es-UY" w:eastAsia="es-UY"/>
        </w:rPr>
        <w:t>y ha emitido su</w:t>
      </w:r>
      <w:r>
        <w:rPr>
          <w:rFonts w:ascii="Arial" w:eastAsia="Times New Roman" w:hAnsi="Arial" w:cs="Arial"/>
          <w:sz w:val="24"/>
          <w:szCs w:val="24"/>
          <w:lang w:val="es-UY" w:eastAsia="es-UY"/>
        </w:rPr>
        <w:t>s</w:t>
      </w:r>
      <w:r w:rsidRPr="00E827F7">
        <w:rPr>
          <w:rFonts w:ascii="Arial" w:eastAsia="Times New Roman" w:hAnsi="Arial" w:cs="Arial"/>
          <w:sz w:val="24"/>
          <w:szCs w:val="24"/>
          <w:lang w:val="es-UY" w:eastAsia="es-UY"/>
        </w:rPr>
        <w:t xml:space="preserve"> Dict</w:t>
      </w:r>
      <w:r>
        <w:rPr>
          <w:rFonts w:ascii="Arial" w:eastAsia="Times New Roman" w:hAnsi="Arial" w:cs="Arial"/>
          <w:sz w:val="24"/>
          <w:szCs w:val="24"/>
          <w:lang w:val="es-UY" w:eastAsia="es-UY"/>
        </w:rPr>
        <w:t>ámenes</w:t>
      </w:r>
      <w:r w:rsidRPr="00E827F7">
        <w:rPr>
          <w:rFonts w:ascii="Arial" w:eastAsia="Times New Roman" w:hAnsi="Arial" w:cs="Arial"/>
          <w:sz w:val="24"/>
          <w:szCs w:val="24"/>
          <w:lang w:val="es-UY" w:eastAsia="es-UY"/>
        </w:rPr>
        <w:t>.</w:t>
      </w:r>
    </w:p>
    <w:p w:rsidR="00421268" w:rsidRPr="00E827F7" w:rsidRDefault="00421268" w:rsidP="000041F4">
      <w:pPr>
        <w:spacing w:after="0" w:line="360" w:lineRule="auto"/>
        <w:jc w:val="both"/>
        <w:rPr>
          <w:rFonts w:ascii="Arial" w:eastAsia="Times New Roman" w:hAnsi="Arial" w:cs="Arial"/>
          <w:sz w:val="24"/>
          <w:szCs w:val="24"/>
          <w:lang w:val="es-UY" w:eastAsia="es-UY"/>
        </w:rPr>
      </w:pPr>
      <w:r w:rsidRPr="00E827F7">
        <w:rPr>
          <w:rFonts w:ascii="Arial" w:eastAsia="Times New Roman" w:hAnsi="Arial" w:cs="Arial"/>
          <w:sz w:val="24"/>
          <w:szCs w:val="24"/>
          <w:lang w:val="es-UY" w:eastAsia="es-UY"/>
        </w:rPr>
        <w:t xml:space="preserve">Este informe contiene consideraciones relativas a la evaluación de control interno. Se </w:t>
      </w:r>
      <w:r>
        <w:rPr>
          <w:rFonts w:ascii="Arial" w:eastAsia="Times New Roman" w:hAnsi="Arial" w:cs="Arial"/>
          <w:sz w:val="24"/>
          <w:szCs w:val="24"/>
          <w:lang w:val="es-UY" w:eastAsia="es-UY"/>
        </w:rPr>
        <w:t>incluyen</w:t>
      </w:r>
      <w:r w:rsidRPr="0051545A">
        <w:rPr>
          <w:rFonts w:ascii="Arial" w:eastAsia="Times New Roman" w:hAnsi="Arial" w:cs="Arial"/>
          <w:sz w:val="24"/>
          <w:szCs w:val="24"/>
          <w:lang w:val="es-UY" w:eastAsia="es-UY"/>
        </w:rPr>
        <w:t xml:space="preserve"> además</w:t>
      </w:r>
      <w:r w:rsidRPr="00E827F7">
        <w:rPr>
          <w:rFonts w:ascii="Arial" w:eastAsia="Times New Roman" w:hAnsi="Arial" w:cs="Arial"/>
          <w:sz w:val="24"/>
          <w:szCs w:val="24"/>
          <w:lang w:val="es-UY" w:eastAsia="es-UY"/>
        </w:rPr>
        <w:t xml:space="preserve"> comentarios que se ha entendido conveniente exponer, relacionados</w:t>
      </w:r>
      <w:r>
        <w:rPr>
          <w:rFonts w:ascii="Arial" w:eastAsia="Times New Roman" w:hAnsi="Arial" w:cs="Arial"/>
          <w:sz w:val="24"/>
          <w:szCs w:val="24"/>
          <w:lang w:val="es-UY" w:eastAsia="es-UY"/>
        </w:rPr>
        <w:t xml:space="preserve"> con la presentación de los estados</w:t>
      </w:r>
      <w:r w:rsidRPr="00E827F7">
        <w:rPr>
          <w:rFonts w:ascii="Arial" w:eastAsia="Times New Roman" w:hAnsi="Arial" w:cs="Arial"/>
          <w:sz w:val="24"/>
          <w:szCs w:val="24"/>
          <w:lang w:val="es-UY" w:eastAsia="es-UY"/>
        </w:rPr>
        <w:t>.</w:t>
      </w:r>
      <w:r>
        <w:rPr>
          <w:rFonts w:ascii="Arial" w:eastAsia="Times New Roman" w:hAnsi="Arial" w:cs="Arial"/>
          <w:sz w:val="24"/>
          <w:szCs w:val="24"/>
          <w:lang w:val="es-UY" w:eastAsia="es-UY"/>
        </w:rPr>
        <w:t xml:space="preserve"> </w:t>
      </w:r>
      <w:r w:rsidRPr="00E827F7">
        <w:rPr>
          <w:rFonts w:ascii="Arial" w:eastAsia="Times New Roman" w:hAnsi="Arial" w:cs="Arial"/>
          <w:sz w:val="24"/>
          <w:szCs w:val="24"/>
          <w:lang w:val="es-UY" w:eastAsia="es-UY"/>
        </w:rPr>
        <w:t xml:space="preserve">También se agregan las principales recomendaciones que </w:t>
      </w:r>
      <w:proofErr w:type="gramStart"/>
      <w:r w:rsidRPr="00E827F7">
        <w:rPr>
          <w:rFonts w:ascii="Arial" w:eastAsia="Times New Roman" w:hAnsi="Arial" w:cs="Arial"/>
          <w:sz w:val="24"/>
          <w:szCs w:val="24"/>
          <w:lang w:val="es-UY" w:eastAsia="es-UY"/>
        </w:rPr>
        <w:t>deberá</w:t>
      </w:r>
      <w:proofErr w:type="gramEnd"/>
      <w:r w:rsidRPr="00E827F7">
        <w:rPr>
          <w:rFonts w:ascii="Arial" w:eastAsia="Times New Roman" w:hAnsi="Arial" w:cs="Arial"/>
          <w:sz w:val="24"/>
          <w:szCs w:val="24"/>
          <w:lang w:val="es-UY" w:eastAsia="es-UY"/>
        </w:rPr>
        <w:t xml:space="preserve"> atender el Organismo y una evaluación del cumplimiento de las recomendaciones presentadas en </w:t>
      </w:r>
      <w:r>
        <w:rPr>
          <w:rFonts w:ascii="Arial" w:eastAsia="Times New Roman" w:hAnsi="Arial" w:cs="Arial"/>
          <w:sz w:val="24"/>
          <w:szCs w:val="24"/>
          <w:lang w:val="es-UY" w:eastAsia="es-UY"/>
        </w:rPr>
        <w:t>los</w:t>
      </w:r>
      <w:r w:rsidRPr="00E827F7">
        <w:rPr>
          <w:rFonts w:ascii="Arial" w:eastAsia="Times New Roman" w:hAnsi="Arial" w:cs="Arial"/>
          <w:sz w:val="24"/>
          <w:szCs w:val="24"/>
          <w:lang w:val="es-UY" w:eastAsia="es-UY"/>
        </w:rPr>
        <w:t xml:space="preserve"> informe</w:t>
      </w:r>
      <w:r>
        <w:rPr>
          <w:rFonts w:ascii="Arial" w:eastAsia="Times New Roman" w:hAnsi="Arial" w:cs="Arial"/>
          <w:sz w:val="24"/>
          <w:szCs w:val="24"/>
          <w:lang w:val="es-UY" w:eastAsia="es-UY"/>
        </w:rPr>
        <w:t>s de auditoría del E</w:t>
      </w:r>
      <w:r w:rsidRPr="00E827F7">
        <w:rPr>
          <w:rFonts w:ascii="Arial" w:eastAsia="Times New Roman" w:hAnsi="Arial" w:cs="Arial"/>
          <w:sz w:val="24"/>
          <w:szCs w:val="24"/>
          <w:lang w:val="es-UY" w:eastAsia="es-UY"/>
        </w:rPr>
        <w:t>jercicio anterior.</w:t>
      </w:r>
    </w:p>
    <w:p w:rsidR="00421268" w:rsidRDefault="00421268" w:rsidP="000041F4">
      <w:pPr>
        <w:spacing w:after="0" w:line="360" w:lineRule="auto"/>
        <w:jc w:val="both"/>
        <w:rPr>
          <w:rFonts w:ascii="Arial" w:eastAsia="Times New Roman" w:hAnsi="Arial" w:cs="Arial"/>
          <w:b/>
          <w:sz w:val="24"/>
          <w:szCs w:val="24"/>
          <w:lang w:val="es-UY" w:eastAsia="es-UY"/>
        </w:rPr>
      </w:pPr>
    </w:p>
    <w:p w:rsidR="00421268" w:rsidRPr="00895F9B" w:rsidRDefault="00421268" w:rsidP="000041F4">
      <w:pPr>
        <w:spacing w:after="0" w:line="360" w:lineRule="auto"/>
        <w:jc w:val="both"/>
        <w:rPr>
          <w:rFonts w:ascii="Arial" w:eastAsia="Times New Roman" w:hAnsi="Arial" w:cs="Arial"/>
          <w:b/>
          <w:sz w:val="24"/>
          <w:szCs w:val="24"/>
          <w:lang w:val="es-UY" w:eastAsia="es-UY"/>
        </w:rPr>
      </w:pPr>
      <w:r w:rsidRPr="00895F9B">
        <w:rPr>
          <w:rFonts w:ascii="Arial" w:eastAsia="Times New Roman" w:hAnsi="Arial" w:cs="Arial"/>
          <w:b/>
          <w:sz w:val="24"/>
          <w:szCs w:val="24"/>
          <w:lang w:val="es-UY" w:eastAsia="es-UY"/>
        </w:rPr>
        <w:t>Presentación de los Estados</w:t>
      </w:r>
    </w:p>
    <w:p w:rsidR="00421268" w:rsidRDefault="00421268" w:rsidP="000041F4">
      <w:pPr>
        <w:spacing w:after="0" w:line="360" w:lineRule="auto"/>
        <w:jc w:val="both"/>
        <w:rPr>
          <w:rFonts w:ascii="Arial" w:eastAsia="Times New Roman" w:hAnsi="Arial" w:cs="Arial"/>
          <w:sz w:val="24"/>
          <w:szCs w:val="24"/>
          <w:lang w:val="es-UY" w:eastAsia="es-UY"/>
        </w:rPr>
      </w:pPr>
      <w:r w:rsidRPr="00895F9B">
        <w:rPr>
          <w:rFonts w:ascii="Arial" w:eastAsia="Times New Roman" w:hAnsi="Arial" w:cs="Arial"/>
          <w:sz w:val="24"/>
          <w:szCs w:val="24"/>
          <w:lang w:val="es-UY" w:eastAsia="es-UY"/>
        </w:rPr>
        <w:t>Los estados financieros del BHU</w:t>
      </w:r>
      <w:r>
        <w:rPr>
          <w:rFonts w:ascii="Arial" w:eastAsia="Times New Roman" w:hAnsi="Arial" w:cs="Arial"/>
          <w:sz w:val="24"/>
          <w:szCs w:val="24"/>
          <w:lang w:val="es-UY" w:eastAsia="es-UY"/>
        </w:rPr>
        <w:t xml:space="preserve"> correspondientes al E</w:t>
      </w:r>
      <w:r w:rsidRPr="00895F9B">
        <w:rPr>
          <w:rFonts w:ascii="Arial" w:eastAsia="Times New Roman" w:hAnsi="Arial" w:cs="Arial"/>
          <w:sz w:val="24"/>
          <w:szCs w:val="24"/>
          <w:lang w:val="es-UY" w:eastAsia="es-UY"/>
        </w:rPr>
        <w:t>jercicio finalizado el 31/12/2017</w:t>
      </w:r>
      <w:r w:rsidRPr="00050576">
        <w:rPr>
          <w:rFonts w:ascii="Arial" w:eastAsia="Times New Roman" w:hAnsi="Arial" w:cs="Arial"/>
          <w:sz w:val="24"/>
          <w:szCs w:val="24"/>
          <w:lang w:val="es-UY" w:eastAsia="es-UY"/>
        </w:rPr>
        <w:t>, fueron aprobados por las siguiente</w:t>
      </w:r>
      <w:r>
        <w:rPr>
          <w:rFonts w:ascii="Arial" w:eastAsia="Times New Roman" w:hAnsi="Arial" w:cs="Arial"/>
          <w:sz w:val="24"/>
          <w:szCs w:val="24"/>
          <w:lang w:val="es-UY" w:eastAsia="es-UY"/>
        </w:rPr>
        <w:t>s Resoluciones de Directorio Nº</w:t>
      </w:r>
      <w:r w:rsidRPr="00050576">
        <w:rPr>
          <w:rFonts w:ascii="Arial" w:eastAsia="Times New Roman" w:hAnsi="Arial" w:cs="Arial"/>
          <w:sz w:val="24"/>
          <w:szCs w:val="24"/>
          <w:lang w:val="es-UY" w:eastAsia="es-UY"/>
        </w:rPr>
        <w:t>0034/</w:t>
      </w:r>
      <w:r>
        <w:rPr>
          <w:rFonts w:ascii="Arial" w:eastAsia="Times New Roman" w:hAnsi="Arial" w:cs="Arial"/>
          <w:sz w:val="24"/>
          <w:szCs w:val="24"/>
          <w:lang w:val="es-UY" w:eastAsia="es-UY"/>
        </w:rPr>
        <w:t xml:space="preserve">18 </w:t>
      </w:r>
      <w:r w:rsidRPr="00050576">
        <w:rPr>
          <w:rFonts w:ascii="Arial" w:eastAsia="Times New Roman" w:hAnsi="Arial" w:cs="Arial"/>
          <w:sz w:val="24"/>
          <w:szCs w:val="24"/>
          <w:lang w:val="es-UY" w:eastAsia="es-UY"/>
        </w:rPr>
        <w:t>de</w:t>
      </w:r>
      <w:r>
        <w:rPr>
          <w:rFonts w:ascii="Arial" w:eastAsia="Times New Roman" w:hAnsi="Arial" w:cs="Arial"/>
          <w:sz w:val="24"/>
          <w:szCs w:val="24"/>
          <w:lang w:val="es-UY" w:eastAsia="es-UY"/>
        </w:rPr>
        <w:t xml:space="preserve"> </w:t>
      </w:r>
      <w:r w:rsidRPr="00050576">
        <w:rPr>
          <w:rFonts w:ascii="Arial" w:eastAsia="Times New Roman" w:hAnsi="Arial" w:cs="Arial"/>
          <w:sz w:val="24"/>
          <w:szCs w:val="24"/>
          <w:lang w:val="es-UY" w:eastAsia="es-UY"/>
        </w:rPr>
        <w:t>24/01/2018; 0087/</w:t>
      </w:r>
      <w:r>
        <w:rPr>
          <w:rFonts w:ascii="Arial" w:eastAsia="Times New Roman" w:hAnsi="Arial" w:cs="Arial"/>
          <w:sz w:val="24"/>
          <w:szCs w:val="24"/>
          <w:lang w:val="es-UY" w:eastAsia="es-UY"/>
        </w:rPr>
        <w:t xml:space="preserve">18 y </w:t>
      </w:r>
      <w:r w:rsidRPr="00050576">
        <w:rPr>
          <w:rFonts w:ascii="Arial" w:eastAsia="Times New Roman" w:hAnsi="Arial" w:cs="Arial"/>
          <w:sz w:val="24"/>
          <w:szCs w:val="24"/>
          <w:lang w:val="es-UY" w:eastAsia="es-UY"/>
        </w:rPr>
        <w:t>0089/18</w:t>
      </w:r>
      <w:r>
        <w:rPr>
          <w:rFonts w:ascii="Arial" w:eastAsia="Times New Roman" w:hAnsi="Arial" w:cs="Arial"/>
          <w:sz w:val="24"/>
          <w:szCs w:val="24"/>
          <w:lang w:val="es-UY" w:eastAsia="es-UY"/>
        </w:rPr>
        <w:t xml:space="preserve"> </w:t>
      </w:r>
      <w:r w:rsidRPr="00050576">
        <w:rPr>
          <w:rFonts w:ascii="Arial" w:eastAsia="Times New Roman" w:hAnsi="Arial" w:cs="Arial"/>
          <w:sz w:val="24"/>
          <w:szCs w:val="24"/>
          <w:lang w:val="es-UY" w:eastAsia="es-UY"/>
        </w:rPr>
        <w:t>de 21/03/2018</w:t>
      </w:r>
      <w:r>
        <w:rPr>
          <w:rFonts w:ascii="Arial" w:eastAsia="Times New Roman" w:hAnsi="Arial" w:cs="Arial"/>
          <w:sz w:val="24"/>
          <w:szCs w:val="24"/>
          <w:lang w:val="es-UY" w:eastAsia="es-UY"/>
        </w:rPr>
        <w:t>, y remitidos para su examen a este</w:t>
      </w:r>
      <w:r w:rsidRPr="00050576">
        <w:rPr>
          <w:rFonts w:ascii="Arial" w:eastAsia="Times New Roman" w:hAnsi="Arial" w:cs="Arial"/>
          <w:sz w:val="24"/>
          <w:szCs w:val="24"/>
          <w:lang w:val="es-UY" w:eastAsia="es-UY"/>
        </w:rPr>
        <w:t xml:space="preserve"> Tribunal</w:t>
      </w:r>
      <w:r>
        <w:rPr>
          <w:rFonts w:ascii="Arial" w:eastAsia="Times New Roman" w:hAnsi="Arial" w:cs="Arial"/>
          <w:sz w:val="24"/>
          <w:szCs w:val="24"/>
          <w:lang w:val="es-UY" w:eastAsia="es-UY"/>
        </w:rPr>
        <w:t xml:space="preserve"> el </w:t>
      </w:r>
      <w:r w:rsidRPr="00050576">
        <w:rPr>
          <w:rFonts w:ascii="Arial" w:eastAsia="Times New Roman" w:hAnsi="Arial" w:cs="Arial"/>
          <w:sz w:val="24"/>
          <w:szCs w:val="24"/>
          <w:lang w:val="es-UY" w:eastAsia="es-UY"/>
        </w:rPr>
        <w:t>22/03/2018</w:t>
      </w:r>
      <w:r>
        <w:rPr>
          <w:rFonts w:ascii="Arial" w:eastAsia="Times New Roman" w:hAnsi="Arial" w:cs="Arial"/>
          <w:sz w:val="24"/>
          <w:szCs w:val="24"/>
          <w:lang w:val="es-UY" w:eastAsia="es-UY"/>
        </w:rPr>
        <w:t>.</w:t>
      </w:r>
    </w:p>
    <w:p w:rsidR="00421268" w:rsidRPr="008900DC" w:rsidRDefault="00421268" w:rsidP="008900DC">
      <w:pPr>
        <w:spacing w:after="0" w:line="360" w:lineRule="auto"/>
        <w:jc w:val="both"/>
        <w:rPr>
          <w:rFonts w:ascii="Arial" w:eastAsia="Times New Roman" w:hAnsi="Arial" w:cs="Arial"/>
          <w:sz w:val="24"/>
          <w:szCs w:val="24"/>
          <w:highlight w:val="yellow"/>
          <w:lang w:val="es-UY" w:eastAsia="es-UY"/>
        </w:rPr>
      </w:pPr>
      <w:r w:rsidRPr="00C7171A">
        <w:rPr>
          <w:rFonts w:ascii="Arial" w:eastAsia="Times New Roman" w:hAnsi="Arial" w:cs="Arial"/>
          <w:sz w:val="24"/>
          <w:szCs w:val="24"/>
          <w:lang w:val="es-UY" w:eastAsia="es-UY"/>
        </w:rPr>
        <w:t>Dichos estados se presentan de acuerdo con las normas contables y los criterios de valuación y clasificación de riesgos crediticios dictados por el Banco Central del Uruguay (BCU) y a los criterios estab</w:t>
      </w:r>
      <w:r>
        <w:rPr>
          <w:rFonts w:ascii="Arial" w:eastAsia="Times New Roman" w:hAnsi="Arial" w:cs="Arial"/>
          <w:sz w:val="24"/>
          <w:szCs w:val="24"/>
          <w:lang w:val="es-UY" w:eastAsia="es-UY"/>
        </w:rPr>
        <w:t>lecidos por la Ordenanza Nº</w:t>
      </w:r>
      <w:r w:rsidRPr="00C7171A">
        <w:rPr>
          <w:rFonts w:ascii="Arial" w:eastAsia="Times New Roman" w:hAnsi="Arial" w:cs="Arial"/>
          <w:sz w:val="24"/>
          <w:szCs w:val="24"/>
          <w:lang w:val="es-UY" w:eastAsia="es-UY"/>
        </w:rPr>
        <w:t>89 del Tribunal de Cuentas.</w:t>
      </w:r>
    </w:p>
    <w:p w:rsidR="00421268" w:rsidRDefault="00421268" w:rsidP="00C7171A">
      <w:pPr>
        <w:tabs>
          <w:tab w:val="left" w:pos="0"/>
        </w:tabs>
        <w:spacing w:after="0" w:line="360" w:lineRule="auto"/>
        <w:contextualSpacing/>
        <w:jc w:val="both"/>
        <w:rPr>
          <w:rFonts w:ascii="Arial" w:eastAsia="Times New Roman" w:hAnsi="Arial" w:cs="Arial"/>
          <w:sz w:val="24"/>
          <w:szCs w:val="24"/>
          <w:lang w:val="es-UY" w:eastAsia="es-UY"/>
        </w:rPr>
      </w:pPr>
      <w:r w:rsidRPr="00A87215">
        <w:rPr>
          <w:rFonts w:ascii="Arial" w:eastAsia="Times New Roman" w:hAnsi="Arial" w:cs="Arial"/>
          <w:sz w:val="24"/>
          <w:szCs w:val="24"/>
          <w:lang w:val="es-UY" w:eastAsia="es-UY"/>
        </w:rPr>
        <w:t>El Estado de</w:t>
      </w:r>
      <w:r>
        <w:rPr>
          <w:rFonts w:ascii="Arial" w:eastAsia="Times New Roman" w:hAnsi="Arial" w:cs="Arial"/>
          <w:sz w:val="24"/>
          <w:szCs w:val="24"/>
          <w:lang w:val="es-UY" w:eastAsia="es-UY"/>
        </w:rPr>
        <w:t xml:space="preserve"> Ejecución Presupuestal por el E</w:t>
      </w:r>
      <w:r w:rsidRPr="00A87215">
        <w:rPr>
          <w:rFonts w:ascii="Arial" w:eastAsia="Times New Roman" w:hAnsi="Arial" w:cs="Arial"/>
          <w:sz w:val="24"/>
          <w:szCs w:val="24"/>
          <w:lang w:val="es-UY" w:eastAsia="es-UY"/>
        </w:rPr>
        <w:t>jercicio finalizado el 31/12/2017 fue aprobado por la Resolución de Directorio Nº 0088/18 de 31/03/2018; y remitido para su examen a este Tribunal el 22/03/2018</w:t>
      </w:r>
      <w:r>
        <w:rPr>
          <w:rFonts w:ascii="Arial" w:eastAsia="Times New Roman" w:hAnsi="Arial" w:cs="Arial"/>
          <w:sz w:val="24"/>
          <w:szCs w:val="24"/>
          <w:lang w:val="es-UY" w:eastAsia="es-UY"/>
        </w:rPr>
        <w:t xml:space="preserve">. El </w:t>
      </w:r>
      <w:r w:rsidRPr="00A87215">
        <w:rPr>
          <w:rFonts w:ascii="Arial" w:eastAsia="Times New Roman" w:hAnsi="Arial" w:cs="Arial"/>
          <w:sz w:val="24"/>
          <w:szCs w:val="24"/>
          <w:lang w:val="es-UY" w:eastAsia="es-UY"/>
        </w:rPr>
        <w:t>21/08/2018</w:t>
      </w:r>
      <w:r>
        <w:rPr>
          <w:rFonts w:ascii="Arial" w:eastAsia="Times New Roman" w:hAnsi="Arial" w:cs="Arial"/>
          <w:sz w:val="24"/>
          <w:szCs w:val="24"/>
          <w:lang w:val="es-UY" w:eastAsia="es-UY"/>
        </w:rPr>
        <w:t xml:space="preserve"> se agregó una pequeña rectificación al Estado</w:t>
      </w:r>
      <w:r w:rsidRPr="00A87215">
        <w:rPr>
          <w:rFonts w:ascii="Arial" w:eastAsia="Times New Roman" w:hAnsi="Arial" w:cs="Arial"/>
          <w:sz w:val="24"/>
          <w:szCs w:val="24"/>
          <w:lang w:val="es-UY" w:eastAsia="es-UY"/>
        </w:rPr>
        <w:t>. Dicho Estado se presenta de</w:t>
      </w:r>
      <w:r>
        <w:rPr>
          <w:rFonts w:ascii="Arial" w:eastAsia="Times New Roman" w:hAnsi="Arial" w:cs="Arial"/>
          <w:sz w:val="24"/>
          <w:szCs w:val="24"/>
          <w:lang w:val="es-UY" w:eastAsia="es-UY"/>
        </w:rPr>
        <w:t xml:space="preserve"> acuerdo con lo establecido en el TOCAF, en el Presupuesto vigente para el Ejercicio 2017 y en la Ordenanza Nº 75 de fecha 16/09/1998 del Tribunal de Cuentas.</w:t>
      </w:r>
    </w:p>
    <w:p w:rsidR="00421268" w:rsidRDefault="00421268" w:rsidP="00A938F5">
      <w:pPr>
        <w:tabs>
          <w:tab w:val="left" w:pos="426"/>
        </w:tabs>
        <w:spacing w:after="0" w:line="360" w:lineRule="auto"/>
        <w:jc w:val="both"/>
        <w:rPr>
          <w:rFonts w:ascii="Arial" w:eastAsia="Calibri" w:hAnsi="Arial" w:cs="Arial"/>
          <w:sz w:val="24"/>
          <w:szCs w:val="24"/>
          <w:lang w:val="es-UY"/>
        </w:rPr>
      </w:pPr>
    </w:p>
    <w:p w:rsidR="00421268" w:rsidRDefault="00421268" w:rsidP="00A938F5">
      <w:pPr>
        <w:tabs>
          <w:tab w:val="left" w:pos="426"/>
        </w:tabs>
        <w:spacing w:after="0" w:line="360" w:lineRule="auto"/>
        <w:jc w:val="both"/>
        <w:rPr>
          <w:rFonts w:ascii="Arial" w:eastAsia="Calibri" w:hAnsi="Arial" w:cs="Arial"/>
          <w:sz w:val="24"/>
          <w:szCs w:val="24"/>
        </w:rPr>
      </w:pPr>
      <w:r w:rsidRPr="004774BB">
        <w:rPr>
          <w:rFonts w:ascii="Arial" w:eastAsia="Calibri" w:hAnsi="Arial" w:cs="Arial"/>
          <w:sz w:val="24"/>
          <w:szCs w:val="24"/>
        </w:rPr>
        <w:t>Corresponde señalar que, si bien se elaboraron los estados financieros consolidados con su subsidiaria SADUF, de la cual el BHU es propietario de la totalidad de las acciones, los mismos no fueron remitidos a este Tribunal.</w:t>
      </w:r>
    </w:p>
    <w:p w:rsidR="00421268" w:rsidRDefault="00421268" w:rsidP="006C4E42">
      <w:pPr>
        <w:spacing w:after="0" w:line="360" w:lineRule="auto"/>
        <w:jc w:val="both"/>
        <w:rPr>
          <w:rFonts w:ascii="Arial" w:eastAsia="Times New Roman" w:hAnsi="Arial" w:cs="Arial"/>
          <w:b/>
          <w:sz w:val="24"/>
          <w:szCs w:val="24"/>
          <w:lang w:val="es-UY" w:eastAsia="es-UY"/>
        </w:rPr>
      </w:pPr>
    </w:p>
    <w:p w:rsidR="00421268" w:rsidRPr="00461B52" w:rsidRDefault="00421268" w:rsidP="006C4E42">
      <w:pPr>
        <w:spacing w:after="0" w:line="360" w:lineRule="auto"/>
        <w:jc w:val="both"/>
        <w:rPr>
          <w:rFonts w:ascii="Arial" w:eastAsia="Times New Roman" w:hAnsi="Arial" w:cs="Arial"/>
          <w:b/>
          <w:sz w:val="24"/>
          <w:szCs w:val="24"/>
          <w:lang w:val="es-UY" w:eastAsia="es-UY"/>
        </w:rPr>
      </w:pPr>
      <w:r w:rsidRPr="00461B52">
        <w:rPr>
          <w:rFonts w:ascii="Arial" w:eastAsia="Times New Roman" w:hAnsi="Arial" w:cs="Arial"/>
          <w:b/>
          <w:sz w:val="24"/>
          <w:szCs w:val="24"/>
          <w:lang w:val="es-UY" w:eastAsia="es-UY"/>
        </w:rPr>
        <w:t>Evaluación de control interno</w:t>
      </w:r>
    </w:p>
    <w:p w:rsidR="00421268" w:rsidRDefault="00421268" w:rsidP="006C4E42">
      <w:pPr>
        <w:spacing w:after="0" w:line="360" w:lineRule="auto"/>
        <w:jc w:val="both"/>
        <w:rPr>
          <w:rFonts w:ascii="Arial" w:eastAsia="Times New Roman" w:hAnsi="Arial" w:cs="Arial"/>
          <w:bCs/>
          <w:sz w:val="24"/>
          <w:szCs w:val="24"/>
          <w:lang w:val="es-UY" w:eastAsia="es-ES"/>
        </w:rPr>
      </w:pPr>
      <w:r w:rsidRPr="009963E3">
        <w:rPr>
          <w:rFonts w:ascii="Arial" w:eastAsia="Times New Roman" w:hAnsi="Arial" w:cs="Arial"/>
          <w:bCs/>
          <w:sz w:val="24"/>
          <w:szCs w:val="24"/>
          <w:lang w:val="es-UY" w:eastAsia="es-ES"/>
        </w:rPr>
        <w:t xml:space="preserve">El examen de los aspectos de control interno relevantes para la preparación y presentación razonable de los estados financieros </w:t>
      </w:r>
      <w:r>
        <w:rPr>
          <w:rFonts w:ascii="Arial" w:eastAsia="Times New Roman" w:hAnsi="Arial" w:cs="Arial"/>
          <w:bCs/>
          <w:sz w:val="24"/>
          <w:szCs w:val="24"/>
          <w:lang w:val="es-UY" w:eastAsia="es-ES"/>
        </w:rPr>
        <w:t xml:space="preserve">y </w:t>
      </w:r>
      <w:r w:rsidRPr="009963E3">
        <w:rPr>
          <w:rFonts w:ascii="Arial" w:eastAsia="Times New Roman" w:hAnsi="Arial" w:cs="Arial"/>
          <w:bCs/>
          <w:sz w:val="24"/>
          <w:szCs w:val="24"/>
          <w:lang w:val="es-UY" w:eastAsia="es-ES"/>
        </w:rPr>
        <w:t xml:space="preserve">del </w:t>
      </w:r>
      <w:r>
        <w:rPr>
          <w:rFonts w:ascii="Arial" w:eastAsia="Times New Roman" w:hAnsi="Arial" w:cs="Arial"/>
          <w:bCs/>
          <w:sz w:val="24"/>
          <w:szCs w:val="24"/>
          <w:lang w:val="es-UY" w:eastAsia="es-ES"/>
        </w:rPr>
        <w:t>Estado</w:t>
      </w:r>
      <w:r w:rsidRPr="009963E3">
        <w:rPr>
          <w:rFonts w:ascii="Arial" w:eastAsia="Times New Roman" w:hAnsi="Arial" w:cs="Arial"/>
          <w:bCs/>
          <w:sz w:val="24"/>
          <w:szCs w:val="24"/>
          <w:lang w:val="es-UY" w:eastAsia="es-ES"/>
        </w:rPr>
        <w:t xml:space="preserve"> de Ejecución Presupuestal permitió constatar </w:t>
      </w:r>
      <w:r>
        <w:rPr>
          <w:rFonts w:ascii="Arial" w:eastAsia="Times New Roman" w:hAnsi="Arial" w:cs="Arial"/>
          <w:bCs/>
          <w:sz w:val="24"/>
          <w:szCs w:val="24"/>
          <w:lang w:val="es-UY" w:eastAsia="es-ES"/>
        </w:rPr>
        <w:t>que el mismo es adecuado.</w:t>
      </w:r>
    </w:p>
    <w:p w:rsidR="00421268" w:rsidRDefault="00421268" w:rsidP="006970B8">
      <w:pPr>
        <w:spacing w:after="0" w:line="360" w:lineRule="auto"/>
        <w:jc w:val="both"/>
        <w:rPr>
          <w:rFonts w:ascii="Arial" w:eastAsia="Times New Roman" w:hAnsi="Arial" w:cs="Arial"/>
          <w:bCs/>
          <w:sz w:val="24"/>
          <w:szCs w:val="24"/>
          <w:lang w:val="es-UY" w:eastAsia="es-ES"/>
        </w:rPr>
      </w:pPr>
    </w:p>
    <w:p w:rsidR="00421268" w:rsidRPr="009963E3" w:rsidRDefault="00421268" w:rsidP="00E827F7">
      <w:pPr>
        <w:spacing w:after="0" w:line="360" w:lineRule="auto"/>
        <w:jc w:val="both"/>
        <w:rPr>
          <w:rFonts w:ascii="Arial" w:eastAsia="Times New Roman" w:hAnsi="Arial" w:cs="Arial"/>
          <w:b/>
          <w:sz w:val="24"/>
          <w:szCs w:val="24"/>
          <w:lang w:val="es-UY" w:eastAsia="es-ES"/>
        </w:rPr>
      </w:pPr>
      <w:r w:rsidRPr="009963E3">
        <w:rPr>
          <w:rFonts w:ascii="Arial" w:eastAsia="Times New Roman" w:hAnsi="Arial" w:cs="Arial"/>
          <w:b/>
          <w:sz w:val="24"/>
          <w:szCs w:val="24"/>
          <w:lang w:val="es-UY" w:eastAsia="es-ES"/>
        </w:rPr>
        <w:t>Recomendaciones</w:t>
      </w:r>
    </w:p>
    <w:p w:rsidR="00421268" w:rsidRPr="00364BE0" w:rsidRDefault="00421268" w:rsidP="00E827F7">
      <w:pPr>
        <w:tabs>
          <w:tab w:val="left" w:pos="567"/>
        </w:tabs>
        <w:spacing w:after="0" w:line="360" w:lineRule="auto"/>
        <w:jc w:val="both"/>
        <w:rPr>
          <w:rFonts w:ascii="Arial" w:eastAsia="Times New Roman" w:hAnsi="Arial" w:cs="Arial"/>
          <w:b/>
          <w:bCs/>
          <w:sz w:val="24"/>
          <w:szCs w:val="24"/>
          <w:lang w:val="es-UY" w:eastAsia="es-ES"/>
        </w:rPr>
      </w:pPr>
      <w:r w:rsidRPr="00364BE0">
        <w:rPr>
          <w:rFonts w:ascii="Arial" w:eastAsia="Times New Roman" w:hAnsi="Arial" w:cs="Arial"/>
          <w:b/>
          <w:bCs/>
          <w:sz w:val="24"/>
          <w:szCs w:val="24"/>
          <w:lang w:val="es-UY" w:eastAsia="es-ES"/>
        </w:rPr>
        <w:t xml:space="preserve">1) </w:t>
      </w:r>
      <w:r w:rsidRPr="00364BE0">
        <w:rPr>
          <w:rFonts w:ascii="Arial" w:eastAsia="Times New Roman" w:hAnsi="Arial" w:cs="Arial"/>
          <w:b/>
          <w:bCs/>
          <w:sz w:val="24"/>
          <w:szCs w:val="24"/>
          <w:lang w:val="es-UY" w:eastAsia="es-ES"/>
        </w:rPr>
        <w:tab/>
        <w:t>Recomendaciones de ejercicios anteriores</w:t>
      </w:r>
    </w:p>
    <w:p w:rsidR="00421268" w:rsidRPr="00364BE0" w:rsidRDefault="00421268" w:rsidP="00E827F7">
      <w:pPr>
        <w:spacing w:line="360" w:lineRule="auto"/>
        <w:jc w:val="both"/>
        <w:rPr>
          <w:rFonts w:ascii="Arial" w:eastAsia="Times New Roman" w:hAnsi="Arial" w:cs="Arial"/>
          <w:b/>
          <w:bCs/>
          <w:sz w:val="24"/>
          <w:szCs w:val="24"/>
          <w:lang w:val="es-UY" w:eastAsia="es-ES"/>
        </w:rPr>
      </w:pPr>
      <w:r w:rsidRPr="00364BE0">
        <w:rPr>
          <w:rFonts w:ascii="Arial" w:eastAsia="Times New Roman" w:hAnsi="Arial" w:cs="Arial"/>
          <w:b/>
          <w:bCs/>
          <w:sz w:val="24"/>
          <w:szCs w:val="24"/>
          <w:lang w:val="es-UY" w:eastAsia="es-ES"/>
        </w:rPr>
        <w:t>1.1) Cumplidas</w:t>
      </w:r>
    </w:p>
    <w:p w:rsidR="00421268" w:rsidRPr="006266BE" w:rsidRDefault="00421268" w:rsidP="00C444CE">
      <w:pPr>
        <w:numPr>
          <w:ilvl w:val="0"/>
          <w:numId w:val="3"/>
        </w:numPr>
        <w:spacing w:after="0" w:line="360" w:lineRule="auto"/>
        <w:ind w:left="714" w:hanging="357"/>
        <w:jc w:val="both"/>
        <w:rPr>
          <w:rFonts w:ascii="Arial" w:eastAsia="Times New Roman" w:hAnsi="Arial" w:cs="Arial"/>
          <w:b/>
          <w:bCs/>
          <w:sz w:val="24"/>
          <w:szCs w:val="24"/>
          <w:lang w:val="es-UY" w:eastAsia="es-ES"/>
        </w:rPr>
      </w:pPr>
      <w:r w:rsidRPr="006266BE">
        <w:rPr>
          <w:rFonts w:ascii="Arial" w:eastAsia="Times New Roman" w:hAnsi="Arial" w:cs="Arial"/>
          <w:sz w:val="24"/>
          <w:szCs w:val="24"/>
          <w:lang w:val="es-UY" w:eastAsia="es-UY"/>
        </w:rPr>
        <w:t>Se elaboraron estados financieros consolidados con su subsidiaria.</w:t>
      </w:r>
    </w:p>
    <w:p w:rsidR="00421268" w:rsidRPr="006266BE" w:rsidRDefault="00421268" w:rsidP="00C444CE">
      <w:pPr>
        <w:pStyle w:val="Prrafodelista"/>
        <w:numPr>
          <w:ilvl w:val="0"/>
          <w:numId w:val="3"/>
        </w:numPr>
        <w:spacing w:after="0" w:line="360" w:lineRule="auto"/>
        <w:ind w:left="714" w:hanging="357"/>
        <w:jc w:val="both"/>
        <w:rPr>
          <w:rFonts w:ascii="Calibri" w:eastAsia="Times New Roman" w:hAnsi="Calibri" w:cs="Arial"/>
          <w:sz w:val="24"/>
          <w:szCs w:val="24"/>
          <w:lang w:val="es-UY" w:eastAsia="es-UY"/>
        </w:rPr>
      </w:pPr>
      <w:r>
        <w:rPr>
          <w:rFonts w:ascii="Arial" w:hAnsi="Arial" w:cs="Arial"/>
          <w:sz w:val="24"/>
          <w:szCs w:val="24"/>
          <w:lang w:val="es-CO"/>
        </w:rPr>
        <w:t xml:space="preserve">Se ajustó la mayor parte </w:t>
      </w:r>
      <w:r w:rsidRPr="006266BE">
        <w:rPr>
          <w:rFonts w:ascii="Arial" w:eastAsia="Times New Roman" w:hAnsi="Arial" w:cs="Arial"/>
          <w:sz w:val="24"/>
          <w:szCs w:val="24"/>
          <w:lang w:val="es-UY" w:eastAsia="es-UY"/>
        </w:rPr>
        <w:t xml:space="preserve">de las partidas transitorias </w:t>
      </w:r>
      <w:r w:rsidRPr="006266BE">
        <w:rPr>
          <w:rFonts w:ascii="Arial" w:hAnsi="Arial" w:cs="Arial"/>
          <w:sz w:val="24"/>
          <w:szCs w:val="24"/>
          <w:lang w:val="es-CO"/>
        </w:rPr>
        <w:t>pendientes de identificación</w:t>
      </w:r>
      <w:r w:rsidRPr="006266BE">
        <w:rPr>
          <w:rFonts w:ascii="Arial" w:eastAsia="Times New Roman" w:hAnsi="Arial" w:cs="Arial"/>
          <w:sz w:val="24"/>
          <w:szCs w:val="24"/>
          <w:lang w:val="es-UY" w:eastAsia="es-UY"/>
        </w:rPr>
        <w:t xml:space="preserve"> incluidas en Créditos (OPINT).</w:t>
      </w:r>
    </w:p>
    <w:p w:rsidR="00421268" w:rsidRPr="006266BE" w:rsidRDefault="00421268" w:rsidP="00364BE0">
      <w:pPr>
        <w:pStyle w:val="Prrafodelista"/>
        <w:numPr>
          <w:ilvl w:val="0"/>
          <w:numId w:val="3"/>
        </w:numPr>
        <w:tabs>
          <w:tab w:val="left" w:pos="426"/>
        </w:tabs>
        <w:spacing w:after="0" w:line="360" w:lineRule="auto"/>
        <w:ind w:hanging="357"/>
        <w:jc w:val="both"/>
        <w:rPr>
          <w:rFonts w:ascii="Arial" w:eastAsia="Times New Roman" w:hAnsi="Arial" w:cs="Arial"/>
          <w:b/>
          <w:bCs/>
          <w:sz w:val="24"/>
          <w:szCs w:val="24"/>
          <w:lang w:val="es-UY" w:eastAsia="es-ES"/>
        </w:rPr>
      </w:pPr>
      <w:r w:rsidRPr="006266BE">
        <w:rPr>
          <w:rFonts w:ascii="Arial" w:eastAsia="Times New Roman" w:hAnsi="Arial" w:cs="Arial"/>
          <w:bCs/>
          <w:spacing w:val="-3"/>
          <w:sz w:val="24"/>
          <w:szCs w:val="24"/>
          <w:lang w:val="es-ES_tradnl" w:eastAsia="es-ES"/>
        </w:rPr>
        <w:t xml:space="preserve">Artículo 15 del TOCAF al no </w:t>
      </w:r>
      <w:r>
        <w:rPr>
          <w:rFonts w:ascii="Arial" w:eastAsia="Times New Roman" w:hAnsi="Arial" w:cs="Arial"/>
          <w:bCs/>
          <w:spacing w:val="-3"/>
          <w:sz w:val="24"/>
          <w:szCs w:val="24"/>
          <w:lang w:val="es-ES_tradnl" w:eastAsia="es-ES"/>
        </w:rPr>
        <w:t xml:space="preserve">haberse </w:t>
      </w:r>
      <w:r w:rsidRPr="006266BE">
        <w:rPr>
          <w:rFonts w:ascii="Arial" w:eastAsia="Times New Roman" w:hAnsi="Arial" w:cs="Arial"/>
          <w:bCs/>
          <w:spacing w:val="-3"/>
          <w:sz w:val="24"/>
          <w:szCs w:val="24"/>
          <w:lang w:val="es-ES_tradnl" w:eastAsia="es-ES"/>
        </w:rPr>
        <w:t>compromet</w:t>
      </w:r>
      <w:r>
        <w:rPr>
          <w:rFonts w:ascii="Arial" w:eastAsia="Times New Roman" w:hAnsi="Arial" w:cs="Arial"/>
          <w:bCs/>
          <w:spacing w:val="-3"/>
          <w:sz w:val="24"/>
          <w:szCs w:val="24"/>
          <w:lang w:val="es-ES_tradnl" w:eastAsia="es-ES"/>
        </w:rPr>
        <w:t>ido</w:t>
      </w:r>
      <w:r w:rsidRPr="006266BE">
        <w:rPr>
          <w:rFonts w:ascii="Arial" w:eastAsia="Times New Roman" w:hAnsi="Arial" w:cs="Arial"/>
          <w:bCs/>
          <w:spacing w:val="-3"/>
          <w:sz w:val="24"/>
          <w:szCs w:val="24"/>
          <w:lang w:val="es-ES_tradnl" w:eastAsia="es-ES"/>
        </w:rPr>
        <w:t xml:space="preserve"> gastos sin crédito disponible.</w:t>
      </w:r>
    </w:p>
    <w:p w:rsidR="00421268" w:rsidRPr="006266BE" w:rsidRDefault="00421268" w:rsidP="00364BE0">
      <w:pPr>
        <w:spacing w:line="360" w:lineRule="auto"/>
        <w:ind w:left="720"/>
        <w:jc w:val="both"/>
        <w:rPr>
          <w:rFonts w:ascii="Arial" w:eastAsia="Times New Roman" w:hAnsi="Arial" w:cs="Arial"/>
          <w:b/>
          <w:bCs/>
          <w:sz w:val="24"/>
          <w:szCs w:val="24"/>
          <w:lang w:val="es-UY" w:eastAsia="es-ES"/>
        </w:rPr>
      </w:pPr>
    </w:p>
    <w:p w:rsidR="00421268" w:rsidRPr="006266BE" w:rsidRDefault="00421268" w:rsidP="00E827F7">
      <w:pPr>
        <w:spacing w:after="0" w:line="360" w:lineRule="auto"/>
        <w:rPr>
          <w:rFonts w:ascii="Arial" w:eastAsia="Times New Roman" w:hAnsi="Arial" w:cs="Arial"/>
          <w:b/>
          <w:bCs/>
          <w:sz w:val="24"/>
          <w:szCs w:val="24"/>
          <w:lang w:val="es-UY" w:eastAsia="es-ES"/>
        </w:rPr>
      </w:pPr>
      <w:r w:rsidRPr="006266BE">
        <w:rPr>
          <w:rFonts w:ascii="Arial" w:eastAsia="Times New Roman" w:hAnsi="Arial" w:cs="Arial"/>
          <w:b/>
          <w:bCs/>
          <w:sz w:val="24"/>
          <w:szCs w:val="24"/>
          <w:lang w:val="es-UY" w:eastAsia="es-ES"/>
        </w:rPr>
        <w:t>1.2) No cumplidas</w:t>
      </w:r>
    </w:p>
    <w:p w:rsidR="00421268" w:rsidRPr="006266BE" w:rsidRDefault="00421268" w:rsidP="00BD2E18">
      <w:pPr>
        <w:pStyle w:val="Prrafodelista"/>
        <w:widowControl w:val="0"/>
        <w:numPr>
          <w:ilvl w:val="0"/>
          <w:numId w:val="7"/>
        </w:numPr>
        <w:spacing w:line="360" w:lineRule="auto"/>
        <w:jc w:val="both"/>
        <w:rPr>
          <w:rFonts w:ascii="Arial" w:hAnsi="Arial" w:cs="Arial"/>
          <w:spacing w:val="-3"/>
          <w:sz w:val="24"/>
          <w:szCs w:val="24"/>
        </w:rPr>
      </w:pPr>
      <w:r>
        <w:rPr>
          <w:rFonts w:ascii="Arial" w:hAnsi="Arial" w:cs="Arial"/>
          <w:spacing w:val="-3"/>
          <w:sz w:val="24"/>
          <w:szCs w:val="24"/>
        </w:rPr>
        <w:t>No se dio cumplimiento con</w:t>
      </w:r>
      <w:r w:rsidRPr="006266BE">
        <w:rPr>
          <w:rFonts w:ascii="Arial" w:hAnsi="Arial" w:cs="Arial"/>
          <w:spacing w:val="-3"/>
          <w:sz w:val="24"/>
          <w:szCs w:val="24"/>
        </w:rPr>
        <w:t xml:space="preserve"> lo dispuesto por los Artículos 211 Literal B) de la Constitución de la República y </w:t>
      </w:r>
      <w:r w:rsidRPr="006266BE">
        <w:rPr>
          <w:rFonts w:ascii="Arial" w:hAnsi="Arial" w:cs="Arial"/>
          <w:bCs/>
          <w:sz w:val="24"/>
          <w:szCs w:val="24"/>
        </w:rPr>
        <w:t>3 de Ley Nº 19.149 de fecha 24/10/2013</w:t>
      </w:r>
      <w:r w:rsidRPr="006266BE">
        <w:rPr>
          <w:rFonts w:ascii="Arial" w:hAnsi="Arial" w:cs="Arial"/>
          <w:spacing w:val="-3"/>
          <w:sz w:val="24"/>
          <w:szCs w:val="24"/>
        </w:rPr>
        <w:t>, respecto a las formalidades previstas para los contratos de arrendamiento de obra con los supernumerarios.</w:t>
      </w:r>
    </w:p>
    <w:p w:rsidR="00421268" w:rsidRDefault="00421268" w:rsidP="00BD2E18">
      <w:pPr>
        <w:pStyle w:val="Prrafodelista"/>
        <w:widowControl w:val="0"/>
        <w:numPr>
          <w:ilvl w:val="0"/>
          <w:numId w:val="7"/>
        </w:numPr>
        <w:spacing w:line="360" w:lineRule="auto"/>
        <w:jc w:val="both"/>
        <w:rPr>
          <w:rFonts w:ascii="Arial" w:hAnsi="Arial" w:cs="Arial"/>
          <w:spacing w:val="-3"/>
          <w:sz w:val="24"/>
          <w:szCs w:val="24"/>
        </w:rPr>
      </w:pPr>
      <w:r w:rsidRPr="00E40F50">
        <w:rPr>
          <w:rFonts w:ascii="Arial" w:eastAsia="Arial Unicode MS" w:hAnsi="Arial" w:cs="Arial"/>
          <w:bCs/>
          <w:sz w:val="24"/>
          <w:szCs w:val="24"/>
        </w:rPr>
        <w:t xml:space="preserve">No se dio </w:t>
      </w:r>
      <w:r>
        <w:rPr>
          <w:rFonts w:ascii="Arial" w:hAnsi="Arial" w:cs="Arial"/>
          <w:spacing w:val="-3"/>
          <w:sz w:val="24"/>
          <w:szCs w:val="24"/>
        </w:rPr>
        <w:t>cumplimiento con el</w:t>
      </w:r>
      <w:r w:rsidRPr="00E40F50">
        <w:rPr>
          <w:rFonts w:ascii="Arial" w:hAnsi="Arial" w:cs="Arial"/>
          <w:spacing w:val="-3"/>
          <w:sz w:val="24"/>
          <w:szCs w:val="24"/>
        </w:rPr>
        <w:t xml:space="preserve"> </w:t>
      </w:r>
      <w:r>
        <w:rPr>
          <w:rFonts w:ascii="Arial" w:hAnsi="Arial" w:cs="Arial"/>
          <w:spacing w:val="-3"/>
          <w:sz w:val="24"/>
          <w:szCs w:val="24"/>
        </w:rPr>
        <w:t>Artículo 5 L</w:t>
      </w:r>
      <w:r w:rsidRPr="00E40F50">
        <w:rPr>
          <w:rFonts w:ascii="Arial" w:hAnsi="Arial" w:cs="Arial"/>
          <w:spacing w:val="-3"/>
          <w:sz w:val="24"/>
          <w:szCs w:val="24"/>
        </w:rPr>
        <w:t>iteral d) de la Ley Nº 18.381 de fecha 07/11/2008 al no publicar en la página web del Banco, información sobre presupuesto asignado, su ejecución, con los resultados de las auditorías que en cada caso corresponda.</w:t>
      </w:r>
    </w:p>
    <w:p w:rsidR="00421268" w:rsidRDefault="00421268" w:rsidP="00AD3FC1">
      <w:pPr>
        <w:pStyle w:val="Prrafodelista"/>
        <w:widowControl w:val="0"/>
        <w:spacing w:line="360" w:lineRule="auto"/>
        <w:jc w:val="both"/>
        <w:rPr>
          <w:rFonts w:ascii="Arial" w:hAnsi="Arial" w:cs="Arial"/>
          <w:spacing w:val="-3"/>
          <w:sz w:val="24"/>
          <w:szCs w:val="24"/>
        </w:rPr>
      </w:pPr>
    </w:p>
    <w:p w:rsidR="00421268" w:rsidRPr="00AD3FC1" w:rsidRDefault="00421268" w:rsidP="00AD3FC1">
      <w:pPr>
        <w:pStyle w:val="Prrafodelista"/>
        <w:widowControl w:val="0"/>
        <w:numPr>
          <w:ilvl w:val="0"/>
          <w:numId w:val="7"/>
        </w:numPr>
        <w:spacing w:line="360" w:lineRule="auto"/>
        <w:jc w:val="both"/>
        <w:rPr>
          <w:rFonts w:ascii="Arial" w:hAnsi="Arial" w:cs="Arial"/>
          <w:spacing w:val="-3"/>
          <w:sz w:val="24"/>
          <w:szCs w:val="24"/>
        </w:rPr>
      </w:pPr>
      <w:r w:rsidRPr="00AD3FC1">
        <w:rPr>
          <w:rFonts w:ascii="Arial" w:hAnsi="Arial" w:cs="Arial"/>
          <w:spacing w:val="-3"/>
          <w:sz w:val="24"/>
          <w:szCs w:val="24"/>
        </w:rPr>
        <w:t>No se implementaron los mecanismos necesario para contar con un inventario valuado y actualizado de bienes de uso, no dando cumplimiento con lo dispues</w:t>
      </w:r>
      <w:r w:rsidR="00C9175C">
        <w:rPr>
          <w:rFonts w:ascii="Arial" w:hAnsi="Arial" w:cs="Arial"/>
          <w:spacing w:val="-3"/>
          <w:sz w:val="24"/>
          <w:szCs w:val="24"/>
        </w:rPr>
        <w:t>to en el Artículo 84 del TOCAF.</w:t>
      </w:r>
    </w:p>
    <w:p w:rsidR="00421268" w:rsidRPr="006266BE" w:rsidRDefault="00421268" w:rsidP="001626DD">
      <w:pPr>
        <w:pStyle w:val="Prrafodelista"/>
        <w:numPr>
          <w:ilvl w:val="0"/>
          <w:numId w:val="7"/>
        </w:numPr>
        <w:spacing w:after="0" w:line="360" w:lineRule="auto"/>
        <w:jc w:val="both"/>
        <w:rPr>
          <w:rFonts w:ascii="Arial" w:eastAsia="Times New Roman" w:hAnsi="Arial" w:cs="Arial"/>
          <w:sz w:val="24"/>
          <w:szCs w:val="24"/>
          <w:lang w:val="es-UY" w:eastAsia="es-UY"/>
        </w:rPr>
      </w:pPr>
      <w:r w:rsidRPr="006266BE">
        <w:rPr>
          <w:rFonts w:ascii="Arial" w:eastAsia="Times New Roman" w:hAnsi="Arial" w:cs="Arial"/>
          <w:sz w:val="24"/>
          <w:szCs w:val="24"/>
          <w:lang w:val="es-UY" w:eastAsia="es-UY"/>
        </w:rPr>
        <w:t xml:space="preserve">No se actualizó la información que debe contener las carpetas de clientes de acuerdo con el Artículo 269 de la RNRCSF y la Comunicación Nº 2014/210 del </w:t>
      </w:r>
      <w:r>
        <w:rPr>
          <w:rFonts w:ascii="Arial" w:eastAsia="Times New Roman" w:hAnsi="Arial" w:cs="Arial"/>
          <w:sz w:val="24"/>
          <w:szCs w:val="24"/>
          <w:lang w:val="es-UY" w:eastAsia="es-UY"/>
        </w:rPr>
        <w:t>0</w:t>
      </w:r>
      <w:r w:rsidRPr="006266BE">
        <w:rPr>
          <w:rFonts w:ascii="Arial" w:eastAsia="Times New Roman" w:hAnsi="Arial" w:cs="Arial"/>
          <w:sz w:val="24"/>
          <w:szCs w:val="24"/>
          <w:lang w:val="es-UY" w:eastAsia="es-UY"/>
        </w:rPr>
        <w:t>9/12/2014.</w:t>
      </w:r>
    </w:p>
    <w:p w:rsidR="00421268" w:rsidRPr="006266BE" w:rsidRDefault="00421268" w:rsidP="001626DD">
      <w:pPr>
        <w:pStyle w:val="Prrafodelista"/>
        <w:numPr>
          <w:ilvl w:val="0"/>
          <w:numId w:val="7"/>
        </w:numPr>
        <w:spacing w:line="360" w:lineRule="auto"/>
        <w:jc w:val="both"/>
        <w:rPr>
          <w:rFonts w:ascii="Arial" w:eastAsia="Times New Roman" w:hAnsi="Arial" w:cs="Arial"/>
          <w:sz w:val="24"/>
          <w:szCs w:val="24"/>
          <w:lang w:val="es-UY" w:eastAsia="es-UY"/>
        </w:rPr>
      </w:pPr>
      <w:r w:rsidRPr="006266BE">
        <w:rPr>
          <w:rFonts w:ascii="Arial" w:eastAsia="Times New Roman" w:hAnsi="Arial" w:cs="Arial"/>
          <w:sz w:val="24"/>
          <w:szCs w:val="24"/>
          <w:lang w:val="es-UY" w:eastAsia="es-UY"/>
        </w:rPr>
        <w:t>No se finalizaron los trámites sobre la emisión de las acciones por las capitalizaciones efectuadas en la empresa SADUF.</w:t>
      </w:r>
    </w:p>
    <w:p w:rsidR="00421268" w:rsidRPr="003B487A" w:rsidRDefault="00421268" w:rsidP="00E827F7">
      <w:pPr>
        <w:spacing w:after="0" w:line="360" w:lineRule="auto"/>
        <w:jc w:val="both"/>
        <w:rPr>
          <w:rFonts w:ascii="Arial" w:eastAsia="Times New Roman" w:hAnsi="Arial" w:cs="Arial"/>
          <w:b/>
          <w:bCs/>
          <w:sz w:val="24"/>
          <w:szCs w:val="24"/>
          <w:lang w:val="es-UY" w:eastAsia="es-ES"/>
        </w:rPr>
      </w:pPr>
      <w:r w:rsidRPr="003B487A">
        <w:rPr>
          <w:rFonts w:ascii="Arial" w:eastAsia="Times New Roman" w:hAnsi="Arial" w:cs="Arial"/>
          <w:b/>
          <w:bCs/>
          <w:sz w:val="24"/>
          <w:szCs w:val="24"/>
          <w:lang w:val="es-UY" w:eastAsia="es-ES"/>
        </w:rPr>
        <w:t>2)</w:t>
      </w:r>
      <w:r>
        <w:rPr>
          <w:rFonts w:ascii="Arial" w:eastAsia="Times New Roman" w:hAnsi="Arial" w:cs="Arial"/>
          <w:b/>
          <w:bCs/>
          <w:sz w:val="24"/>
          <w:szCs w:val="24"/>
          <w:lang w:val="es-UY" w:eastAsia="es-ES"/>
        </w:rPr>
        <w:t xml:space="preserve"> </w:t>
      </w:r>
      <w:r>
        <w:rPr>
          <w:rFonts w:ascii="Arial" w:eastAsia="Times New Roman" w:hAnsi="Arial" w:cs="Arial"/>
          <w:b/>
          <w:bCs/>
          <w:sz w:val="24"/>
          <w:szCs w:val="24"/>
          <w:lang w:val="es-UY" w:eastAsia="es-ES"/>
        </w:rPr>
        <w:tab/>
        <w:t>Recomendaciones del presente E</w:t>
      </w:r>
      <w:r w:rsidR="00C9175C">
        <w:rPr>
          <w:rFonts w:ascii="Arial" w:eastAsia="Times New Roman" w:hAnsi="Arial" w:cs="Arial"/>
          <w:b/>
          <w:bCs/>
          <w:sz w:val="24"/>
          <w:szCs w:val="24"/>
          <w:lang w:val="es-UY" w:eastAsia="es-ES"/>
        </w:rPr>
        <w:t>jercicio</w:t>
      </w:r>
    </w:p>
    <w:p w:rsidR="00421268" w:rsidRPr="003B487A" w:rsidRDefault="00421268" w:rsidP="00E827F7">
      <w:pPr>
        <w:tabs>
          <w:tab w:val="num" w:pos="360"/>
        </w:tabs>
        <w:spacing w:after="0" w:line="360" w:lineRule="auto"/>
        <w:ind w:right="-2"/>
        <w:jc w:val="both"/>
        <w:rPr>
          <w:rFonts w:ascii="Arial" w:eastAsia="Times New Roman" w:hAnsi="Arial" w:cs="Arial"/>
          <w:sz w:val="24"/>
          <w:szCs w:val="24"/>
          <w:lang w:val="es-UY" w:eastAsia="es-ES"/>
        </w:rPr>
      </w:pPr>
      <w:r w:rsidRPr="003B487A">
        <w:rPr>
          <w:rFonts w:ascii="Arial" w:eastAsia="Times New Roman" w:hAnsi="Arial" w:cs="Arial"/>
          <w:sz w:val="24"/>
          <w:szCs w:val="24"/>
          <w:lang w:val="es-UY" w:eastAsia="es-ES"/>
        </w:rPr>
        <w:t>Se reiteran las r</w:t>
      </w:r>
      <w:r>
        <w:rPr>
          <w:rFonts w:ascii="Arial" w:eastAsia="Times New Roman" w:hAnsi="Arial" w:cs="Arial"/>
          <w:sz w:val="24"/>
          <w:szCs w:val="24"/>
          <w:lang w:val="es-UY" w:eastAsia="es-ES"/>
        </w:rPr>
        <w:t>ecomendaciones no cumplidas de E</w:t>
      </w:r>
      <w:r w:rsidRPr="003B487A">
        <w:rPr>
          <w:rFonts w:ascii="Arial" w:eastAsia="Times New Roman" w:hAnsi="Arial" w:cs="Arial"/>
          <w:sz w:val="24"/>
          <w:szCs w:val="24"/>
          <w:lang w:val="es-UY" w:eastAsia="es-ES"/>
        </w:rPr>
        <w:t xml:space="preserve">jercicios </w:t>
      </w:r>
      <w:r>
        <w:rPr>
          <w:rFonts w:ascii="Arial" w:eastAsia="Times New Roman" w:hAnsi="Arial" w:cs="Arial"/>
          <w:sz w:val="24"/>
          <w:szCs w:val="24"/>
          <w:lang w:val="es-UY" w:eastAsia="es-ES"/>
        </w:rPr>
        <w:t>anteriores, a las que se agrega</w:t>
      </w:r>
      <w:r w:rsidRPr="003B487A">
        <w:rPr>
          <w:rFonts w:ascii="Arial" w:eastAsia="Times New Roman" w:hAnsi="Arial" w:cs="Arial"/>
          <w:sz w:val="24"/>
          <w:szCs w:val="24"/>
          <w:lang w:val="es-UY" w:eastAsia="es-ES"/>
        </w:rPr>
        <w:t xml:space="preserve"> la siguiente:</w:t>
      </w:r>
    </w:p>
    <w:p w:rsidR="00421268" w:rsidRPr="00245B66" w:rsidRDefault="00421268" w:rsidP="00245B66">
      <w:pPr>
        <w:pStyle w:val="Prrafodelista"/>
        <w:numPr>
          <w:ilvl w:val="0"/>
          <w:numId w:val="8"/>
        </w:numPr>
        <w:spacing w:after="0" w:line="360" w:lineRule="auto"/>
        <w:ind w:right="-2"/>
        <w:jc w:val="both"/>
        <w:rPr>
          <w:rFonts w:ascii="Arial" w:eastAsia="Times New Roman" w:hAnsi="Arial" w:cs="Arial"/>
          <w:sz w:val="24"/>
          <w:szCs w:val="24"/>
          <w:lang w:val="es-UY" w:eastAsia="es-ES"/>
        </w:rPr>
      </w:pPr>
      <w:r w:rsidRPr="00245B66">
        <w:rPr>
          <w:rFonts w:ascii="Arial" w:eastAsia="Times New Roman" w:hAnsi="Arial" w:cs="Arial"/>
          <w:sz w:val="24"/>
          <w:lang w:val="es-UY" w:eastAsia="es-UY"/>
        </w:rPr>
        <w:t xml:space="preserve">Implementar los procedimientos necesarios para evitar que se produzcan los incumplimientos de las disposiciones legales señalados en </w:t>
      </w:r>
      <w:r>
        <w:rPr>
          <w:rFonts w:ascii="Arial" w:eastAsia="Times New Roman" w:hAnsi="Arial" w:cs="Arial"/>
          <w:sz w:val="24"/>
          <w:lang w:val="es-UY" w:eastAsia="es-UY"/>
        </w:rPr>
        <w:t>los Dictámenes.</w:t>
      </w:r>
    </w:p>
    <w:p w:rsidR="00421268" w:rsidRDefault="00421268" w:rsidP="00E827F7">
      <w:pPr>
        <w:spacing w:line="360" w:lineRule="auto"/>
        <w:ind w:left="720"/>
        <w:jc w:val="both"/>
        <w:rPr>
          <w:rFonts w:ascii="Arial" w:eastAsia="Times New Roman" w:hAnsi="Arial" w:cs="Arial"/>
          <w:sz w:val="24"/>
          <w:szCs w:val="24"/>
          <w:highlight w:val="yellow"/>
          <w:lang w:val="es-UY" w:eastAsia="es-UY"/>
        </w:rPr>
      </w:pPr>
    </w:p>
    <w:p w:rsidR="00421268" w:rsidRDefault="00421268" w:rsidP="00E827F7">
      <w:pPr>
        <w:spacing w:line="360" w:lineRule="auto"/>
        <w:ind w:left="720"/>
        <w:jc w:val="both"/>
        <w:rPr>
          <w:rFonts w:ascii="Arial" w:eastAsia="Times New Roman" w:hAnsi="Arial" w:cs="Arial"/>
          <w:sz w:val="24"/>
          <w:szCs w:val="24"/>
          <w:highlight w:val="yellow"/>
          <w:lang w:val="es-UY" w:eastAsia="es-UY"/>
        </w:rPr>
      </w:pPr>
    </w:p>
    <w:p w:rsidR="00421268" w:rsidRDefault="00421268" w:rsidP="00E827F7">
      <w:pPr>
        <w:spacing w:line="360" w:lineRule="auto"/>
        <w:ind w:left="720"/>
        <w:jc w:val="both"/>
        <w:rPr>
          <w:rFonts w:ascii="Arial" w:eastAsia="Times New Roman" w:hAnsi="Arial" w:cs="Arial"/>
          <w:sz w:val="24"/>
          <w:szCs w:val="24"/>
          <w:highlight w:val="yellow"/>
          <w:lang w:val="es-UY" w:eastAsia="es-UY"/>
        </w:rPr>
      </w:pPr>
    </w:p>
    <w:p w:rsidR="00421268" w:rsidRPr="007B075D" w:rsidRDefault="00421268" w:rsidP="00421268">
      <w:pPr>
        <w:spacing w:line="360" w:lineRule="auto"/>
        <w:rPr>
          <w:rFonts w:ascii="Arial" w:eastAsia="Calibri" w:hAnsi="Arial" w:cs="Arial"/>
          <w:sz w:val="24"/>
          <w:szCs w:val="24"/>
          <w:lang w:val="es-UY"/>
        </w:rPr>
      </w:pPr>
      <w:proofErr w:type="gramStart"/>
      <w:r>
        <w:rPr>
          <w:rFonts w:ascii="Arial" w:eastAsia="Times New Roman" w:hAnsi="Arial" w:cs="Arial"/>
          <w:sz w:val="24"/>
          <w:szCs w:val="24"/>
          <w:lang w:val="es-UY" w:eastAsia="es-UY"/>
        </w:rPr>
        <w:t>dc</w:t>
      </w:r>
      <w:proofErr w:type="gramEnd"/>
    </w:p>
    <w:p w:rsidR="00421268" w:rsidRDefault="00421268" w:rsidP="0023285C">
      <w:pPr>
        <w:tabs>
          <w:tab w:val="left" w:pos="426"/>
        </w:tabs>
        <w:spacing w:after="0" w:line="360" w:lineRule="auto"/>
        <w:ind w:left="357" w:hanging="783"/>
        <w:jc w:val="both"/>
        <w:rPr>
          <w:rFonts w:ascii="Arial" w:eastAsia="Times New Roman" w:hAnsi="Arial" w:cs="Arial"/>
          <w:sz w:val="24"/>
          <w:szCs w:val="24"/>
          <w:lang w:val="es-UY" w:eastAsia="es-UY"/>
        </w:rPr>
      </w:pPr>
    </w:p>
    <w:p w:rsidR="00421268" w:rsidRDefault="00421268" w:rsidP="0023285C">
      <w:pPr>
        <w:tabs>
          <w:tab w:val="left" w:pos="426"/>
        </w:tabs>
        <w:spacing w:after="0" w:line="360" w:lineRule="auto"/>
        <w:ind w:left="357" w:hanging="783"/>
        <w:jc w:val="both"/>
        <w:rPr>
          <w:rFonts w:ascii="Arial" w:eastAsia="Times New Roman" w:hAnsi="Arial" w:cs="Arial"/>
          <w:sz w:val="24"/>
          <w:szCs w:val="24"/>
          <w:lang w:val="es-UY" w:eastAsia="es-UY"/>
        </w:rPr>
      </w:pPr>
    </w:p>
    <w:p w:rsidR="00421268" w:rsidRDefault="00421268" w:rsidP="0023285C">
      <w:pPr>
        <w:tabs>
          <w:tab w:val="left" w:pos="426"/>
        </w:tabs>
        <w:spacing w:after="0" w:line="360" w:lineRule="auto"/>
        <w:ind w:left="357" w:hanging="783"/>
        <w:jc w:val="both"/>
        <w:rPr>
          <w:rFonts w:ascii="Arial" w:eastAsia="Times New Roman" w:hAnsi="Arial" w:cs="Arial"/>
          <w:sz w:val="24"/>
          <w:szCs w:val="24"/>
          <w:lang w:val="es-UY" w:eastAsia="es-UY"/>
        </w:rPr>
      </w:pPr>
    </w:p>
    <w:p w:rsidR="00421268" w:rsidRDefault="00421268" w:rsidP="0023285C">
      <w:pPr>
        <w:tabs>
          <w:tab w:val="left" w:pos="426"/>
        </w:tabs>
        <w:spacing w:after="0" w:line="360" w:lineRule="auto"/>
        <w:ind w:left="357" w:hanging="783"/>
        <w:jc w:val="both"/>
        <w:rPr>
          <w:rFonts w:ascii="Arial" w:eastAsia="Times New Roman" w:hAnsi="Arial" w:cs="Arial"/>
          <w:sz w:val="24"/>
          <w:szCs w:val="24"/>
          <w:lang w:val="es-UY" w:eastAsia="es-UY"/>
        </w:rPr>
      </w:pPr>
    </w:p>
    <w:p w:rsidR="00421268" w:rsidRDefault="00421268" w:rsidP="0023285C">
      <w:pPr>
        <w:tabs>
          <w:tab w:val="left" w:pos="426"/>
        </w:tabs>
        <w:spacing w:after="0" w:line="360" w:lineRule="auto"/>
        <w:ind w:left="357" w:hanging="783"/>
        <w:jc w:val="both"/>
        <w:rPr>
          <w:rFonts w:ascii="Arial" w:eastAsia="Times New Roman" w:hAnsi="Arial" w:cs="Arial"/>
          <w:sz w:val="24"/>
          <w:szCs w:val="24"/>
          <w:lang w:val="es-UY" w:eastAsia="es-UY"/>
        </w:rPr>
      </w:pPr>
    </w:p>
    <w:p w:rsidR="00421268" w:rsidRDefault="00421268" w:rsidP="0023285C">
      <w:pPr>
        <w:tabs>
          <w:tab w:val="left" w:pos="426"/>
        </w:tabs>
        <w:spacing w:after="0" w:line="360" w:lineRule="auto"/>
        <w:ind w:left="357" w:hanging="783"/>
        <w:jc w:val="both"/>
        <w:rPr>
          <w:rFonts w:ascii="Arial" w:eastAsia="Times New Roman" w:hAnsi="Arial" w:cs="Arial"/>
          <w:sz w:val="24"/>
          <w:szCs w:val="24"/>
          <w:lang w:val="es-UY" w:eastAsia="es-UY"/>
        </w:rPr>
      </w:pPr>
    </w:p>
    <w:p w:rsidR="00421268" w:rsidRDefault="00421268" w:rsidP="0023285C">
      <w:pPr>
        <w:tabs>
          <w:tab w:val="left" w:pos="426"/>
        </w:tabs>
        <w:spacing w:after="0" w:line="360" w:lineRule="auto"/>
        <w:ind w:left="357" w:hanging="783"/>
        <w:jc w:val="both"/>
        <w:rPr>
          <w:rFonts w:ascii="Arial" w:eastAsia="Times New Roman" w:hAnsi="Arial" w:cs="Arial"/>
          <w:sz w:val="24"/>
          <w:szCs w:val="24"/>
          <w:lang w:val="es-UY" w:eastAsia="es-UY"/>
        </w:rPr>
      </w:pPr>
    </w:p>
    <w:p w:rsidR="00421268" w:rsidRDefault="00421268" w:rsidP="0023285C">
      <w:pPr>
        <w:tabs>
          <w:tab w:val="left" w:pos="426"/>
        </w:tabs>
        <w:spacing w:after="0" w:line="360" w:lineRule="auto"/>
        <w:ind w:left="357" w:hanging="783"/>
        <w:jc w:val="both"/>
        <w:rPr>
          <w:rFonts w:ascii="Arial" w:eastAsia="Times New Roman" w:hAnsi="Arial" w:cs="Arial"/>
          <w:sz w:val="24"/>
          <w:szCs w:val="24"/>
          <w:lang w:val="es-UY" w:eastAsia="es-UY"/>
        </w:rPr>
      </w:pPr>
    </w:p>
    <w:p w:rsidR="00421268" w:rsidRDefault="00421268" w:rsidP="00094A5A">
      <w:pPr>
        <w:spacing w:after="0" w:line="360" w:lineRule="auto"/>
        <w:jc w:val="right"/>
        <w:rPr>
          <w:rFonts w:ascii="Arial" w:eastAsia="Calibri" w:hAnsi="Arial" w:cs="Arial"/>
          <w:sz w:val="24"/>
          <w:szCs w:val="24"/>
          <w:lang w:val="es-UY"/>
        </w:rPr>
      </w:pPr>
      <w:r>
        <w:rPr>
          <w:rFonts w:ascii="Arial" w:eastAsia="Calibri" w:hAnsi="Arial" w:cs="Arial"/>
          <w:sz w:val="24"/>
          <w:szCs w:val="24"/>
          <w:lang w:val="es-UY"/>
        </w:rPr>
        <w:t>Montevideo, 19 de noviembre 2018.-</w:t>
      </w:r>
    </w:p>
    <w:p w:rsidR="00421268" w:rsidRDefault="00421268" w:rsidP="00094A5A">
      <w:pPr>
        <w:spacing w:after="0" w:line="360" w:lineRule="auto"/>
        <w:jc w:val="right"/>
        <w:rPr>
          <w:rFonts w:ascii="Arial" w:eastAsia="Calibri" w:hAnsi="Arial" w:cs="Arial"/>
          <w:sz w:val="24"/>
          <w:szCs w:val="24"/>
          <w:lang w:val="es-UY"/>
        </w:rPr>
      </w:pPr>
    </w:p>
    <w:p w:rsidR="00421268" w:rsidRDefault="00C9175C" w:rsidP="00094A5A">
      <w:pPr>
        <w:spacing w:after="0" w:line="360" w:lineRule="auto"/>
        <w:rPr>
          <w:rFonts w:ascii="Arial" w:eastAsia="Calibri" w:hAnsi="Arial" w:cs="Arial"/>
          <w:sz w:val="24"/>
          <w:szCs w:val="24"/>
          <w:lang w:val="es-UY"/>
        </w:rPr>
      </w:pPr>
      <w:r>
        <w:rPr>
          <w:rFonts w:ascii="Arial" w:eastAsia="Calibri" w:hAnsi="Arial" w:cs="Arial"/>
          <w:sz w:val="24"/>
          <w:szCs w:val="24"/>
          <w:lang w:val="es-UY"/>
        </w:rPr>
        <w:t>Señor</w:t>
      </w:r>
    </w:p>
    <w:p w:rsidR="00421268" w:rsidRPr="007B075D" w:rsidRDefault="00421268" w:rsidP="00094A5A">
      <w:pPr>
        <w:spacing w:after="0" w:line="360" w:lineRule="auto"/>
        <w:rPr>
          <w:rFonts w:ascii="Arial" w:eastAsia="Calibri" w:hAnsi="Arial" w:cs="Arial"/>
          <w:sz w:val="24"/>
          <w:szCs w:val="24"/>
          <w:lang w:val="es-UY"/>
        </w:rPr>
      </w:pPr>
      <w:r w:rsidRPr="007B075D">
        <w:rPr>
          <w:rFonts w:ascii="Arial" w:eastAsia="Calibri" w:hAnsi="Arial" w:cs="Arial"/>
          <w:sz w:val="24"/>
          <w:szCs w:val="24"/>
          <w:lang w:val="es-UY"/>
        </w:rPr>
        <w:t>Presidente del</w:t>
      </w:r>
    </w:p>
    <w:p w:rsidR="00421268" w:rsidRDefault="00C9175C" w:rsidP="00094A5A">
      <w:pPr>
        <w:spacing w:after="0" w:line="360" w:lineRule="auto"/>
        <w:rPr>
          <w:rFonts w:ascii="Arial" w:eastAsia="Calibri" w:hAnsi="Arial" w:cs="Arial"/>
          <w:sz w:val="24"/>
          <w:szCs w:val="24"/>
          <w:lang w:val="es-UY"/>
        </w:rPr>
      </w:pPr>
      <w:r>
        <w:rPr>
          <w:rFonts w:ascii="Arial" w:eastAsia="Calibri" w:hAnsi="Arial" w:cs="Arial"/>
          <w:sz w:val="24"/>
          <w:szCs w:val="24"/>
          <w:lang w:val="es-UY"/>
        </w:rPr>
        <w:t>Servicio de Comunicación</w:t>
      </w:r>
    </w:p>
    <w:p w:rsidR="00421268" w:rsidRPr="007B075D" w:rsidRDefault="00421268" w:rsidP="00094A5A">
      <w:pPr>
        <w:spacing w:after="0" w:line="360" w:lineRule="auto"/>
        <w:rPr>
          <w:rFonts w:ascii="Arial" w:eastAsia="Calibri" w:hAnsi="Arial" w:cs="Arial"/>
          <w:sz w:val="24"/>
          <w:szCs w:val="24"/>
          <w:lang w:val="es-UY"/>
        </w:rPr>
      </w:pPr>
      <w:r w:rsidRPr="007B075D">
        <w:rPr>
          <w:rFonts w:ascii="Arial" w:eastAsia="Calibri" w:hAnsi="Arial" w:cs="Arial"/>
          <w:sz w:val="24"/>
          <w:szCs w:val="24"/>
          <w:lang w:val="es-UY"/>
        </w:rPr>
        <w:t xml:space="preserve">Audiovisual Nacional </w:t>
      </w:r>
      <w:r w:rsidR="00C9175C">
        <w:rPr>
          <w:rFonts w:ascii="Arial" w:eastAsia="Calibri" w:hAnsi="Arial" w:cs="Arial"/>
          <w:sz w:val="24"/>
          <w:szCs w:val="24"/>
          <w:lang w:val="es-UY"/>
        </w:rPr>
        <w:t>(SECAN)</w:t>
      </w:r>
    </w:p>
    <w:p w:rsidR="00421268" w:rsidRDefault="00421268" w:rsidP="00094A5A">
      <w:pPr>
        <w:spacing w:after="0" w:line="360" w:lineRule="auto"/>
        <w:rPr>
          <w:rFonts w:ascii="Arial" w:eastAsia="Calibri" w:hAnsi="Arial" w:cs="Arial"/>
          <w:bCs/>
          <w:sz w:val="24"/>
          <w:szCs w:val="24"/>
          <w:bdr w:val="none" w:sz="0" w:space="0" w:color="auto" w:frame="1"/>
          <w:shd w:val="clear" w:color="auto" w:fill="FFFFFF"/>
          <w:lang w:val="es-UY"/>
        </w:rPr>
      </w:pPr>
      <w:r>
        <w:rPr>
          <w:rFonts w:ascii="Arial" w:eastAsia="Calibri" w:hAnsi="Arial" w:cs="Arial"/>
          <w:bCs/>
          <w:sz w:val="24"/>
          <w:szCs w:val="24"/>
          <w:bdr w:val="none" w:sz="0" w:space="0" w:color="auto" w:frame="1"/>
          <w:shd w:val="clear" w:color="auto" w:fill="FFFFFF"/>
          <w:lang w:val="es-UY"/>
        </w:rPr>
        <w:t xml:space="preserve">Ernesto </w:t>
      </w:r>
      <w:proofErr w:type="spellStart"/>
      <w:r>
        <w:rPr>
          <w:rFonts w:ascii="Arial" w:eastAsia="Calibri" w:hAnsi="Arial" w:cs="Arial"/>
          <w:bCs/>
          <w:sz w:val="24"/>
          <w:szCs w:val="24"/>
          <w:bdr w:val="none" w:sz="0" w:space="0" w:color="auto" w:frame="1"/>
          <w:shd w:val="clear" w:color="auto" w:fill="FFFFFF"/>
          <w:lang w:val="es-UY"/>
        </w:rPr>
        <w:t>Kreimerman</w:t>
      </w:r>
      <w:proofErr w:type="spellEnd"/>
    </w:p>
    <w:p w:rsidR="00421268" w:rsidRDefault="00421268" w:rsidP="00094A5A">
      <w:pPr>
        <w:spacing w:after="0" w:line="360" w:lineRule="auto"/>
        <w:jc w:val="right"/>
        <w:rPr>
          <w:rFonts w:ascii="Arial" w:eastAsia="Calibri" w:hAnsi="Arial" w:cs="Arial"/>
          <w:bCs/>
          <w:sz w:val="24"/>
          <w:szCs w:val="24"/>
          <w:bdr w:val="none" w:sz="0" w:space="0" w:color="auto" w:frame="1"/>
          <w:shd w:val="clear" w:color="auto" w:fill="FFFFFF"/>
          <w:lang w:val="es-UY"/>
        </w:rPr>
      </w:pPr>
      <w:r>
        <w:rPr>
          <w:rFonts w:ascii="Arial" w:eastAsia="Calibri" w:hAnsi="Arial" w:cs="Arial"/>
          <w:bCs/>
          <w:sz w:val="24"/>
          <w:szCs w:val="24"/>
          <w:bdr w:val="none" w:sz="0" w:space="0" w:color="auto" w:frame="1"/>
          <w:shd w:val="clear" w:color="auto" w:fill="FFFFFF"/>
          <w:lang w:val="es-UY"/>
        </w:rPr>
        <w:t>E.</w:t>
      </w:r>
      <w:r w:rsidR="00C9175C">
        <w:rPr>
          <w:rFonts w:ascii="Arial" w:eastAsia="Calibri" w:hAnsi="Arial" w:cs="Arial"/>
          <w:bCs/>
          <w:sz w:val="24"/>
          <w:szCs w:val="24"/>
          <w:bdr w:val="none" w:sz="0" w:space="0" w:color="auto" w:frame="1"/>
          <w:shd w:val="clear" w:color="auto" w:fill="FFFFFF"/>
          <w:lang w:val="es-UY"/>
        </w:rPr>
        <w:t xml:space="preserve"> </w:t>
      </w:r>
      <w:r>
        <w:rPr>
          <w:rFonts w:ascii="Arial" w:eastAsia="Calibri" w:hAnsi="Arial" w:cs="Arial"/>
          <w:bCs/>
          <w:sz w:val="24"/>
          <w:szCs w:val="24"/>
          <w:bdr w:val="none" w:sz="0" w:space="0" w:color="auto" w:frame="1"/>
          <w:shd w:val="clear" w:color="auto" w:fill="FFFFFF"/>
          <w:lang w:val="es-UY"/>
        </w:rPr>
        <w:t>E.</w:t>
      </w:r>
      <w:r w:rsidR="00C9175C">
        <w:rPr>
          <w:rFonts w:ascii="Arial" w:eastAsia="Calibri" w:hAnsi="Arial" w:cs="Arial"/>
          <w:bCs/>
          <w:sz w:val="24"/>
          <w:szCs w:val="24"/>
          <w:bdr w:val="none" w:sz="0" w:space="0" w:color="auto" w:frame="1"/>
          <w:shd w:val="clear" w:color="auto" w:fill="FFFFFF"/>
          <w:lang w:val="es-UY"/>
        </w:rPr>
        <w:t xml:space="preserve"> </w:t>
      </w:r>
      <w:r>
        <w:rPr>
          <w:rFonts w:ascii="Arial" w:eastAsia="Calibri" w:hAnsi="Arial" w:cs="Arial"/>
          <w:bCs/>
          <w:sz w:val="24"/>
          <w:szCs w:val="24"/>
          <w:bdr w:val="none" w:sz="0" w:space="0" w:color="auto" w:frame="1"/>
          <w:shd w:val="clear" w:color="auto" w:fill="FFFFFF"/>
          <w:lang w:val="es-UY"/>
        </w:rPr>
        <w:t>2018-17-1-0002117</w:t>
      </w:r>
    </w:p>
    <w:p w:rsidR="00421268" w:rsidRDefault="00421268" w:rsidP="00094A5A">
      <w:pPr>
        <w:spacing w:after="0" w:line="360" w:lineRule="auto"/>
        <w:jc w:val="right"/>
        <w:rPr>
          <w:rFonts w:ascii="Arial" w:eastAsia="Calibri" w:hAnsi="Arial" w:cs="Arial"/>
          <w:bCs/>
          <w:sz w:val="24"/>
          <w:szCs w:val="24"/>
          <w:bdr w:val="none" w:sz="0" w:space="0" w:color="auto" w:frame="1"/>
          <w:shd w:val="clear" w:color="auto" w:fill="FFFFFF"/>
          <w:lang w:val="es-UY"/>
        </w:rPr>
      </w:pPr>
      <w:proofErr w:type="spellStart"/>
      <w:r>
        <w:rPr>
          <w:rFonts w:ascii="Arial" w:eastAsia="Calibri" w:hAnsi="Arial" w:cs="Arial"/>
          <w:bCs/>
          <w:sz w:val="24"/>
          <w:szCs w:val="24"/>
          <w:bdr w:val="none" w:sz="0" w:space="0" w:color="auto" w:frame="1"/>
          <w:shd w:val="clear" w:color="auto" w:fill="FFFFFF"/>
          <w:lang w:val="es-UY"/>
        </w:rPr>
        <w:t>Ents</w:t>
      </w:r>
      <w:proofErr w:type="spellEnd"/>
      <w:r>
        <w:rPr>
          <w:rFonts w:ascii="Arial" w:eastAsia="Calibri" w:hAnsi="Arial" w:cs="Arial"/>
          <w:bCs/>
          <w:sz w:val="24"/>
          <w:szCs w:val="24"/>
          <w:bdr w:val="none" w:sz="0" w:space="0" w:color="auto" w:frame="1"/>
          <w:shd w:val="clear" w:color="auto" w:fill="FFFFFF"/>
          <w:lang w:val="es-UY"/>
        </w:rPr>
        <w:t xml:space="preserve">. 1581/18, 1582/18, </w:t>
      </w:r>
    </w:p>
    <w:p w:rsidR="00421268" w:rsidRDefault="00421268" w:rsidP="00094A5A">
      <w:pPr>
        <w:spacing w:after="0" w:line="360" w:lineRule="auto"/>
        <w:jc w:val="right"/>
        <w:rPr>
          <w:rFonts w:ascii="Arial" w:eastAsia="Calibri" w:hAnsi="Arial" w:cs="Arial"/>
          <w:bCs/>
          <w:sz w:val="24"/>
          <w:szCs w:val="24"/>
          <w:bdr w:val="none" w:sz="0" w:space="0" w:color="auto" w:frame="1"/>
          <w:shd w:val="clear" w:color="auto" w:fill="FFFFFF"/>
          <w:lang w:val="es-UY"/>
        </w:rPr>
      </w:pPr>
      <w:r>
        <w:rPr>
          <w:rFonts w:ascii="Arial" w:eastAsia="Calibri" w:hAnsi="Arial" w:cs="Arial"/>
          <w:bCs/>
          <w:sz w:val="24"/>
          <w:szCs w:val="24"/>
          <w:bdr w:val="none" w:sz="0" w:space="0" w:color="auto" w:frame="1"/>
          <w:shd w:val="clear" w:color="auto" w:fill="FFFFFF"/>
          <w:lang w:val="es-UY"/>
        </w:rPr>
        <w:t>3509/18 y 4291/18</w:t>
      </w:r>
    </w:p>
    <w:p w:rsidR="00421268" w:rsidRDefault="00421268" w:rsidP="00094A5A">
      <w:pPr>
        <w:spacing w:after="0" w:line="360" w:lineRule="auto"/>
        <w:jc w:val="right"/>
        <w:rPr>
          <w:rFonts w:ascii="Arial" w:eastAsia="Calibri" w:hAnsi="Arial" w:cs="Arial"/>
          <w:bCs/>
          <w:sz w:val="24"/>
          <w:szCs w:val="24"/>
          <w:bdr w:val="none" w:sz="0" w:space="0" w:color="auto" w:frame="1"/>
          <w:shd w:val="clear" w:color="auto" w:fill="FFFFFF"/>
          <w:lang w:val="es-UY"/>
        </w:rPr>
      </w:pPr>
      <w:r>
        <w:rPr>
          <w:rFonts w:ascii="Arial" w:eastAsia="Calibri" w:hAnsi="Arial" w:cs="Arial"/>
          <w:bCs/>
          <w:sz w:val="24"/>
          <w:szCs w:val="24"/>
          <w:bdr w:val="none" w:sz="0" w:space="0" w:color="auto" w:frame="1"/>
          <w:shd w:val="clear" w:color="auto" w:fill="FFFFFF"/>
          <w:lang w:val="es-UY"/>
        </w:rPr>
        <w:t>Oficio 7975/18</w:t>
      </w:r>
    </w:p>
    <w:p w:rsidR="00242D5A" w:rsidRDefault="00242D5A" w:rsidP="00094A5A">
      <w:pPr>
        <w:spacing w:after="0" w:line="360" w:lineRule="auto"/>
        <w:jc w:val="right"/>
        <w:rPr>
          <w:rFonts w:ascii="Arial" w:eastAsia="Calibri" w:hAnsi="Arial" w:cs="Arial"/>
          <w:bCs/>
          <w:sz w:val="24"/>
          <w:szCs w:val="24"/>
          <w:bdr w:val="none" w:sz="0" w:space="0" w:color="auto" w:frame="1"/>
          <w:shd w:val="clear" w:color="auto" w:fill="FFFFFF"/>
          <w:lang w:val="es-UY"/>
        </w:rPr>
      </w:pPr>
    </w:p>
    <w:p w:rsidR="00421268" w:rsidRDefault="00421268" w:rsidP="001955B6">
      <w:pPr>
        <w:spacing w:after="0" w:line="360" w:lineRule="auto"/>
        <w:ind w:firstLine="851"/>
        <w:jc w:val="both"/>
        <w:rPr>
          <w:rFonts w:ascii="Arial" w:eastAsia="Calibri" w:hAnsi="Arial" w:cs="Arial"/>
          <w:sz w:val="24"/>
          <w:szCs w:val="24"/>
          <w:lang w:val="es-UY"/>
        </w:rPr>
      </w:pPr>
      <w:r w:rsidRPr="007B075D">
        <w:rPr>
          <w:rFonts w:ascii="Arial" w:eastAsia="Calibri" w:hAnsi="Arial" w:cs="Arial"/>
          <w:sz w:val="24"/>
          <w:szCs w:val="24"/>
          <w:lang w:val="es-UY"/>
        </w:rPr>
        <w:t>El Tribunal de Cuentas, en oportunidad de dictaminar sobre el Estado</w:t>
      </w:r>
      <w:r>
        <w:rPr>
          <w:rFonts w:ascii="Arial" w:eastAsia="Calibri" w:hAnsi="Arial" w:cs="Arial"/>
          <w:sz w:val="24"/>
          <w:szCs w:val="24"/>
          <w:lang w:val="es-UY"/>
        </w:rPr>
        <w:t xml:space="preserve"> de Ejecución Presupuestal del E</w:t>
      </w:r>
      <w:r w:rsidRPr="007B075D">
        <w:rPr>
          <w:rFonts w:ascii="Arial" w:eastAsia="Calibri" w:hAnsi="Arial" w:cs="Arial"/>
          <w:sz w:val="24"/>
          <w:szCs w:val="24"/>
          <w:lang w:val="es-UY"/>
        </w:rPr>
        <w:t xml:space="preserve">jercicio 2017 del Banco Hipotecario del Uruguay (BHU), verificó los aspectos referidos a lo dispuesto en los Artículos 226 de la Ley Nº 18.172 de 31/08/2007 y 17 de la Ley Nº 17.904 de </w:t>
      </w:r>
      <w:r>
        <w:rPr>
          <w:rFonts w:ascii="Arial" w:eastAsia="Calibri" w:hAnsi="Arial" w:cs="Arial"/>
          <w:sz w:val="24"/>
          <w:szCs w:val="24"/>
          <w:lang w:val="es-UY"/>
        </w:rPr>
        <w:t>0</w:t>
      </w:r>
      <w:r w:rsidRPr="007B075D">
        <w:rPr>
          <w:rFonts w:ascii="Arial" w:eastAsia="Calibri" w:hAnsi="Arial" w:cs="Arial"/>
          <w:sz w:val="24"/>
          <w:szCs w:val="24"/>
          <w:lang w:val="es-UY"/>
        </w:rPr>
        <w:t>7/10/2005.</w:t>
      </w:r>
    </w:p>
    <w:p w:rsidR="00421268" w:rsidRPr="007B075D" w:rsidRDefault="00421268" w:rsidP="00094A5A">
      <w:pPr>
        <w:spacing w:after="0" w:line="360" w:lineRule="auto"/>
        <w:ind w:firstLine="851"/>
        <w:jc w:val="both"/>
        <w:rPr>
          <w:rFonts w:ascii="Arial" w:eastAsia="Calibri" w:hAnsi="Arial" w:cs="Arial"/>
          <w:sz w:val="24"/>
          <w:szCs w:val="24"/>
          <w:lang w:val="es-UY"/>
        </w:rPr>
      </w:pPr>
      <w:r w:rsidRPr="007B075D">
        <w:rPr>
          <w:rFonts w:ascii="Arial" w:eastAsia="Calibri" w:hAnsi="Arial" w:cs="Arial"/>
          <w:sz w:val="24"/>
          <w:szCs w:val="24"/>
          <w:lang w:val="es-UY"/>
        </w:rPr>
        <w:t>El BHU realizó gastos por pautas publici</w:t>
      </w:r>
      <w:r>
        <w:rPr>
          <w:rFonts w:ascii="Arial" w:eastAsia="Calibri" w:hAnsi="Arial" w:cs="Arial"/>
          <w:sz w:val="24"/>
          <w:szCs w:val="24"/>
          <w:lang w:val="es-UY"/>
        </w:rPr>
        <w:t>tarias con privados durante el E</w:t>
      </w:r>
      <w:r w:rsidRPr="007B075D">
        <w:rPr>
          <w:rFonts w:ascii="Arial" w:eastAsia="Calibri" w:hAnsi="Arial" w:cs="Arial"/>
          <w:sz w:val="24"/>
          <w:szCs w:val="24"/>
          <w:lang w:val="es-UY"/>
        </w:rPr>
        <w:t xml:space="preserve">jercicio 2017 por un total de </w:t>
      </w:r>
      <w:r w:rsidRPr="007B075D">
        <w:rPr>
          <w:rFonts w:ascii="Arial" w:eastAsia="Calibri" w:hAnsi="Arial" w:cs="Arial"/>
          <w:bCs/>
          <w:spacing w:val="-3"/>
          <w:sz w:val="24"/>
          <w:szCs w:val="24"/>
          <w:lang w:val="es-ES_tradnl"/>
        </w:rPr>
        <w:t xml:space="preserve">$ 5:759.662 </w:t>
      </w:r>
      <w:r w:rsidRPr="007B075D">
        <w:rPr>
          <w:rFonts w:ascii="Arial" w:eastAsia="Calibri" w:hAnsi="Arial" w:cs="Arial"/>
          <w:color w:val="000000"/>
          <w:sz w:val="24"/>
          <w:szCs w:val="24"/>
          <w:lang w:eastAsia="es-ES"/>
        </w:rPr>
        <w:t xml:space="preserve">los cuales corresponden a gastos por publicidad en televisión a $ 4:092.412 y a gastos por publicidad en </w:t>
      </w:r>
      <w:r>
        <w:rPr>
          <w:rFonts w:ascii="Arial" w:eastAsia="Calibri" w:hAnsi="Arial" w:cs="Arial"/>
          <w:sz w:val="24"/>
          <w:szCs w:val="24"/>
          <w:lang w:val="es-UY"/>
        </w:rPr>
        <w:t>radio $</w:t>
      </w:r>
      <w:r w:rsidRPr="007B075D">
        <w:rPr>
          <w:rFonts w:ascii="Arial" w:eastAsia="Calibri" w:hAnsi="Arial" w:cs="Arial"/>
          <w:sz w:val="24"/>
          <w:szCs w:val="24"/>
          <w:lang w:val="es-UY"/>
        </w:rPr>
        <w:t>1:662.250. Lo contratado en los medios de d</w:t>
      </w:r>
      <w:r>
        <w:rPr>
          <w:rFonts w:ascii="Arial" w:eastAsia="Calibri" w:hAnsi="Arial" w:cs="Arial"/>
          <w:sz w:val="24"/>
          <w:szCs w:val="24"/>
          <w:lang w:val="es-UY"/>
        </w:rPr>
        <w:t xml:space="preserve">ifusión del SODRE </w:t>
      </w:r>
      <w:proofErr w:type="gramStart"/>
      <w:r>
        <w:rPr>
          <w:rFonts w:ascii="Arial" w:eastAsia="Calibri" w:hAnsi="Arial" w:cs="Arial"/>
          <w:sz w:val="24"/>
          <w:szCs w:val="24"/>
          <w:lang w:val="es-UY"/>
        </w:rPr>
        <w:t>ascienden</w:t>
      </w:r>
      <w:proofErr w:type="gramEnd"/>
      <w:r>
        <w:rPr>
          <w:rFonts w:ascii="Arial" w:eastAsia="Calibri" w:hAnsi="Arial" w:cs="Arial"/>
          <w:sz w:val="24"/>
          <w:szCs w:val="24"/>
          <w:lang w:val="es-UY"/>
        </w:rPr>
        <w:t xml:space="preserve"> a $</w:t>
      </w:r>
      <w:r w:rsidRPr="007B075D">
        <w:rPr>
          <w:rFonts w:ascii="Arial" w:eastAsia="Calibri" w:hAnsi="Arial" w:cs="Arial"/>
          <w:sz w:val="24"/>
          <w:szCs w:val="24"/>
          <w:lang w:val="es-UY"/>
        </w:rPr>
        <w:t xml:space="preserve">818.482 en televisión y a $ 332.450 </w:t>
      </w:r>
      <w:r w:rsidRPr="007B075D">
        <w:rPr>
          <w:rFonts w:ascii="Arial" w:eastAsia="Calibri" w:hAnsi="Arial" w:cs="Arial"/>
          <w:bCs/>
          <w:spacing w:val="-3"/>
          <w:sz w:val="24"/>
          <w:szCs w:val="24"/>
          <w:lang w:val="es-ES_tradnl"/>
        </w:rPr>
        <w:t>lo</w:t>
      </w:r>
      <w:r>
        <w:rPr>
          <w:rFonts w:ascii="Arial" w:eastAsia="Calibri" w:hAnsi="Arial" w:cs="Arial"/>
          <w:sz w:val="24"/>
          <w:szCs w:val="24"/>
          <w:lang w:val="es-UY"/>
        </w:rPr>
        <w:t xml:space="preserve"> que representa el 20</w:t>
      </w:r>
      <w:r w:rsidRPr="007B075D">
        <w:rPr>
          <w:rFonts w:ascii="Arial" w:eastAsia="Calibri" w:hAnsi="Arial" w:cs="Arial"/>
          <w:sz w:val="24"/>
          <w:szCs w:val="24"/>
          <w:lang w:val="es-UY"/>
        </w:rPr>
        <w:t>% del total gastado en ambos casos, dando cumplimiento al porcentaje legal establecido.</w:t>
      </w:r>
    </w:p>
    <w:p w:rsidR="00421268" w:rsidRDefault="00421268" w:rsidP="00094A5A">
      <w:pPr>
        <w:widowControl w:val="0"/>
        <w:tabs>
          <w:tab w:val="left" w:pos="-720"/>
        </w:tabs>
        <w:suppressAutoHyphens/>
        <w:spacing w:line="360" w:lineRule="auto"/>
        <w:jc w:val="right"/>
        <w:rPr>
          <w:rFonts w:ascii="Arial" w:eastAsia="Calibri" w:hAnsi="Arial" w:cs="Arial"/>
          <w:snapToGrid w:val="0"/>
          <w:sz w:val="24"/>
          <w:szCs w:val="24"/>
          <w:lang w:val="es-UY"/>
        </w:rPr>
      </w:pPr>
      <w:r w:rsidRPr="007B075D">
        <w:rPr>
          <w:rFonts w:ascii="Arial" w:eastAsia="Calibri" w:hAnsi="Arial" w:cs="Arial"/>
          <w:snapToGrid w:val="0"/>
          <w:sz w:val="24"/>
          <w:szCs w:val="24"/>
          <w:lang w:val="es-UY"/>
        </w:rPr>
        <w:t>Saludamos a Usted atentamente</w:t>
      </w:r>
    </w:p>
    <w:p w:rsidR="00421268" w:rsidRDefault="00421268" w:rsidP="00094A5A">
      <w:pPr>
        <w:widowControl w:val="0"/>
        <w:tabs>
          <w:tab w:val="left" w:pos="-720"/>
        </w:tabs>
        <w:suppressAutoHyphens/>
        <w:spacing w:line="360" w:lineRule="auto"/>
        <w:jc w:val="right"/>
        <w:rPr>
          <w:rFonts w:ascii="Arial" w:eastAsia="Calibri" w:hAnsi="Arial" w:cs="Arial"/>
          <w:snapToGrid w:val="0"/>
          <w:sz w:val="24"/>
          <w:szCs w:val="24"/>
          <w:lang w:val="es-UY"/>
        </w:rPr>
      </w:pPr>
    </w:p>
    <w:p w:rsidR="00421268" w:rsidRDefault="00421268" w:rsidP="00094A5A">
      <w:pPr>
        <w:widowControl w:val="0"/>
        <w:tabs>
          <w:tab w:val="left" w:pos="-720"/>
        </w:tabs>
        <w:suppressAutoHyphens/>
        <w:spacing w:line="360" w:lineRule="auto"/>
        <w:jc w:val="right"/>
        <w:rPr>
          <w:rFonts w:ascii="Arial" w:eastAsia="Calibri" w:hAnsi="Arial" w:cs="Arial"/>
          <w:snapToGrid w:val="0"/>
          <w:sz w:val="24"/>
          <w:szCs w:val="24"/>
          <w:lang w:val="es-UY"/>
        </w:rPr>
      </w:pPr>
    </w:p>
    <w:p w:rsidR="00421268" w:rsidRPr="00421268" w:rsidRDefault="00421268" w:rsidP="00421268">
      <w:pPr>
        <w:widowControl w:val="0"/>
        <w:tabs>
          <w:tab w:val="left" w:pos="-720"/>
        </w:tabs>
        <w:suppressAutoHyphens/>
        <w:spacing w:line="360" w:lineRule="auto"/>
        <w:ind w:hanging="426"/>
      </w:pPr>
      <w:proofErr w:type="gramStart"/>
      <w:r>
        <w:rPr>
          <w:rFonts w:ascii="Arial" w:eastAsia="Calibri" w:hAnsi="Arial" w:cs="Arial"/>
          <w:snapToGrid w:val="0"/>
          <w:sz w:val="24"/>
          <w:szCs w:val="24"/>
          <w:lang w:val="es-UY"/>
        </w:rPr>
        <w:t>dc</w:t>
      </w:r>
      <w:proofErr w:type="gramEnd"/>
    </w:p>
    <w:sectPr w:rsidR="00421268" w:rsidRPr="00421268" w:rsidSect="0023285C">
      <w:headerReference w:type="default" r:id="rId8"/>
      <w:pgSz w:w="11906" w:h="16838" w:code="9"/>
      <w:pgMar w:top="3119" w:right="1701" w:bottom="1701" w:left="1701" w:header="709" w:footer="709" w:gutter="0"/>
      <w:paperSrc w:first="4" w:other="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49DF" w:rsidRDefault="00AE49DF">
      <w:pPr>
        <w:spacing w:after="0" w:line="240" w:lineRule="auto"/>
      </w:pPr>
      <w:r>
        <w:separator/>
      </w:r>
    </w:p>
  </w:endnote>
  <w:endnote w:type="continuationSeparator" w:id="0">
    <w:p w:rsidR="00AE49DF" w:rsidRDefault="00AE49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49DF" w:rsidRDefault="00AE49DF">
      <w:pPr>
        <w:spacing w:after="0" w:line="240" w:lineRule="auto"/>
      </w:pPr>
      <w:r>
        <w:separator/>
      </w:r>
    </w:p>
  </w:footnote>
  <w:footnote w:type="continuationSeparator" w:id="0">
    <w:p w:rsidR="00AE49DF" w:rsidRDefault="00AE49D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1D63" w:rsidRPr="0078703A" w:rsidRDefault="00151D63" w:rsidP="00895F9B">
    <w:pPr>
      <w:tabs>
        <w:tab w:val="center" w:pos="4252"/>
        <w:tab w:val="right" w:pos="8504"/>
      </w:tabs>
      <w:spacing w:after="0" w:line="240" w:lineRule="auto"/>
      <w:rPr>
        <w:rFonts w:eastAsia="Calibri"/>
      </w:rPr>
    </w:pPr>
  </w:p>
  <w:p w:rsidR="00151D63" w:rsidRPr="0078703A" w:rsidRDefault="00151D6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4514B"/>
    <w:multiLevelType w:val="multilevel"/>
    <w:tmpl w:val="07440E1A"/>
    <w:lvl w:ilvl="0">
      <w:start w:val="1"/>
      <w:numFmt w:val="decimal"/>
      <w:lvlText w:val="%1."/>
      <w:lvlJc w:val="left"/>
      <w:pPr>
        <w:ind w:left="405" w:hanging="40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
    <w:nsid w:val="0CFC4430"/>
    <w:multiLevelType w:val="hybridMultilevel"/>
    <w:tmpl w:val="E0BAE5E0"/>
    <w:lvl w:ilvl="0" w:tplc="DC2642FA">
      <w:start w:val="2"/>
      <w:numFmt w:val="bullet"/>
      <w:lvlText w:val="-"/>
      <w:lvlJc w:val="left"/>
      <w:pPr>
        <w:ind w:left="720" w:hanging="360"/>
      </w:pPr>
      <w:rPr>
        <w:rFonts w:ascii="Arial" w:eastAsia="Calibri" w:hAnsi="Arial" w:cs="Arial" w:hint="default"/>
      </w:rPr>
    </w:lvl>
    <w:lvl w:ilvl="1" w:tplc="380A0003">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2">
    <w:nsid w:val="158C4A36"/>
    <w:multiLevelType w:val="hybridMultilevel"/>
    <w:tmpl w:val="CEDE9844"/>
    <w:lvl w:ilvl="0" w:tplc="380A0001">
      <w:start w:val="1"/>
      <w:numFmt w:val="bullet"/>
      <w:lvlText w:val=""/>
      <w:lvlJc w:val="left"/>
      <w:pPr>
        <w:ind w:left="720" w:hanging="360"/>
      </w:pPr>
      <w:rPr>
        <w:rFonts w:ascii="Symbol" w:hAnsi="Symbol" w:hint="default"/>
      </w:rPr>
    </w:lvl>
    <w:lvl w:ilvl="1" w:tplc="380A0003">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3">
    <w:nsid w:val="28C70697"/>
    <w:multiLevelType w:val="hybridMultilevel"/>
    <w:tmpl w:val="3AA096B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nsid w:val="2D001E79"/>
    <w:multiLevelType w:val="hybridMultilevel"/>
    <w:tmpl w:val="38429FE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40B52BE1"/>
    <w:multiLevelType w:val="hybridMultilevel"/>
    <w:tmpl w:val="1D9899C6"/>
    <w:lvl w:ilvl="0" w:tplc="7A72CC78">
      <w:numFmt w:val="bullet"/>
      <w:lvlText w:val="-"/>
      <w:lvlJc w:val="left"/>
      <w:pPr>
        <w:tabs>
          <w:tab w:val="num" w:pos="720"/>
        </w:tabs>
        <w:ind w:left="720" w:hanging="360"/>
      </w:pPr>
      <w:rPr>
        <w:rFonts w:ascii="Times New Roman" w:eastAsia="SimSu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44775BFC"/>
    <w:multiLevelType w:val="hybridMultilevel"/>
    <w:tmpl w:val="21844E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457679EA"/>
    <w:multiLevelType w:val="hybridMultilevel"/>
    <w:tmpl w:val="1C58DE32"/>
    <w:lvl w:ilvl="0" w:tplc="FBCEA0D8">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5B2F5B69"/>
    <w:multiLevelType w:val="hybridMultilevel"/>
    <w:tmpl w:val="3ED83234"/>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9">
    <w:nsid w:val="639A6740"/>
    <w:multiLevelType w:val="hybridMultilevel"/>
    <w:tmpl w:val="BD78343C"/>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0">
    <w:nsid w:val="698D12B2"/>
    <w:multiLevelType w:val="hybridMultilevel"/>
    <w:tmpl w:val="81F29D6C"/>
    <w:lvl w:ilvl="0" w:tplc="380A0005">
      <w:start w:val="1"/>
      <w:numFmt w:val="bullet"/>
      <w:lvlText w:val=""/>
      <w:lvlJc w:val="left"/>
      <w:pPr>
        <w:ind w:left="720" w:hanging="360"/>
      </w:pPr>
      <w:rPr>
        <w:rFonts w:ascii="Wingdings" w:hAnsi="Wingdings"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3"/>
  </w:num>
  <w:num w:numId="4">
    <w:abstractNumId w:val="8"/>
  </w:num>
  <w:num w:numId="5">
    <w:abstractNumId w:val="7"/>
  </w:num>
  <w:num w:numId="6">
    <w:abstractNumId w:val="4"/>
  </w:num>
  <w:num w:numId="7">
    <w:abstractNumId w:val="6"/>
  </w:num>
  <w:num w:numId="8">
    <w:abstractNumId w:val="9"/>
  </w:num>
  <w:num w:numId="9">
    <w:abstractNumId w:val="2"/>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27F7"/>
    <w:rsid w:val="00013A9D"/>
    <w:rsid w:val="00030390"/>
    <w:rsid w:val="00034FDA"/>
    <w:rsid w:val="00050576"/>
    <w:rsid w:val="00063B18"/>
    <w:rsid w:val="00063B4F"/>
    <w:rsid w:val="00066ECA"/>
    <w:rsid w:val="000F020D"/>
    <w:rsid w:val="0012448B"/>
    <w:rsid w:val="00136A4F"/>
    <w:rsid w:val="00151D63"/>
    <w:rsid w:val="00154ACF"/>
    <w:rsid w:val="001626DD"/>
    <w:rsid w:val="001A781B"/>
    <w:rsid w:val="001B21D1"/>
    <w:rsid w:val="001C27F9"/>
    <w:rsid w:val="002171BF"/>
    <w:rsid w:val="0023285C"/>
    <w:rsid w:val="00242D5A"/>
    <w:rsid w:val="00245B66"/>
    <w:rsid w:val="002756F5"/>
    <w:rsid w:val="002C42B0"/>
    <w:rsid w:val="00354460"/>
    <w:rsid w:val="00363BF6"/>
    <w:rsid w:val="00364BE0"/>
    <w:rsid w:val="003935C2"/>
    <w:rsid w:val="003B487A"/>
    <w:rsid w:val="003C0B28"/>
    <w:rsid w:val="003C4EDB"/>
    <w:rsid w:val="003F048C"/>
    <w:rsid w:val="00400092"/>
    <w:rsid w:val="0040311D"/>
    <w:rsid w:val="00421268"/>
    <w:rsid w:val="00461B52"/>
    <w:rsid w:val="0047429C"/>
    <w:rsid w:val="004774BB"/>
    <w:rsid w:val="00483307"/>
    <w:rsid w:val="00491567"/>
    <w:rsid w:val="00491732"/>
    <w:rsid w:val="004A0500"/>
    <w:rsid w:val="004A3A9E"/>
    <w:rsid w:val="0051545A"/>
    <w:rsid w:val="00595C30"/>
    <w:rsid w:val="005C3199"/>
    <w:rsid w:val="005E40FC"/>
    <w:rsid w:val="006266BE"/>
    <w:rsid w:val="006524DD"/>
    <w:rsid w:val="006800E7"/>
    <w:rsid w:val="006844CB"/>
    <w:rsid w:val="006970B8"/>
    <w:rsid w:val="006C591A"/>
    <w:rsid w:val="00716417"/>
    <w:rsid w:val="0073769F"/>
    <w:rsid w:val="00785A0F"/>
    <w:rsid w:val="007923AE"/>
    <w:rsid w:val="007A4A24"/>
    <w:rsid w:val="007B075D"/>
    <w:rsid w:val="007C0FF1"/>
    <w:rsid w:val="007E6B4F"/>
    <w:rsid w:val="00822FFA"/>
    <w:rsid w:val="00845FEF"/>
    <w:rsid w:val="00875994"/>
    <w:rsid w:val="00885BCF"/>
    <w:rsid w:val="008900DC"/>
    <w:rsid w:val="00895F9B"/>
    <w:rsid w:val="008A0646"/>
    <w:rsid w:val="008A2F3E"/>
    <w:rsid w:val="008C2E89"/>
    <w:rsid w:val="008D75A3"/>
    <w:rsid w:val="00952890"/>
    <w:rsid w:val="009633E6"/>
    <w:rsid w:val="00963A29"/>
    <w:rsid w:val="00967DA9"/>
    <w:rsid w:val="009779D2"/>
    <w:rsid w:val="009963E3"/>
    <w:rsid w:val="009C67A2"/>
    <w:rsid w:val="00A15428"/>
    <w:rsid w:val="00A33363"/>
    <w:rsid w:val="00A51D1A"/>
    <w:rsid w:val="00A559D1"/>
    <w:rsid w:val="00A87215"/>
    <w:rsid w:val="00A938F5"/>
    <w:rsid w:val="00AA56DC"/>
    <w:rsid w:val="00AB63DE"/>
    <w:rsid w:val="00AD6CA4"/>
    <w:rsid w:val="00AE49DF"/>
    <w:rsid w:val="00AF3C29"/>
    <w:rsid w:val="00B036DE"/>
    <w:rsid w:val="00B10DBF"/>
    <w:rsid w:val="00B1132E"/>
    <w:rsid w:val="00B12B7F"/>
    <w:rsid w:val="00B25DB0"/>
    <w:rsid w:val="00B3493B"/>
    <w:rsid w:val="00B965F2"/>
    <w:rsid w:val="00BC453F"/>
    <w:rsid w:val="00BD2E18"/>
    <w:rsid w:val="00BD556E"/>
    <w:rsid w:val="00BE0782"/>
    <w:rsid w:val="00C005F4"/>
    <w:rsid w:val="00C444CE"/>
    <w:rsid w:val="00C7171A"/>
    <w:rsid w:val="00C90550"/>
    <w:rsid w:val="00C9175C"/>
    <w:rsid w:val="00C95D73"/>
    <w:rsid w:val="00CE730E"/>
    <w:rsid w:val="00D00FFE"/>
    <w:rsid w:val="00D912EE"/>
    <w:rsid w:val="00D92AB4"/>
    <w:rsid w:val="00DB217F"/>
    <w:rsid w:val="00E2067E"/>
    <w:rsid w:val="00E24620"/>
    <w:rsid w:val="00E40F50"/>
    <w:rsid w:val="00E4779B"/>
    <w:rsid w:val="00E66C3B"/>
    <w:rsid w:val="00E827F7"/>
    <w:rsid w:val="00EC0C5C"/>
    <w:rsid w:val="00ED10E5"/>
    <w:rsid w:val="00F2176F"/>
    <w:rsid w:val="00F9062B"/>
    <w:rsid w:val="00FB1F1C"/>
    <w:rsid w:val="00FF152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33E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E827F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E827F7"/>
  </w:style>
  <w:style w:type="paragraph" w:customStyle="1" w:styleId="Sangradetextonormal1">
    <w:name w:val="Sangría de texto normal1"/>
    <w:basedOn w:val="Normal"/>
    <w:rsid w:val="009963E3"/>
    <w:pPr>
      <w:tabs>
        <w:tab w:val="left" w:pos="2552"/>
      </w:tabs>
      <w:spacing w:after="0" w:line="360" w:lineRule="auto"/>
      <w:jc w:val="both"/>
    </w:pPr>
    <w:rPr>
      <w:rFonts w:ascii="Arial" w:eastAsia="Times New Roman" w:hAnsi="Arial" w:cs="Arial"/>
      <w:sz w:val="24"/>
      <w:szCs w:val="24"/>
      <w:lang w:val="es-MX" w:eastAsia="es-ES"/>
    </w:rPr>
  </w:style>
  <w:style w:type="paragraph" w:styleId="Prrafodelista">
    <w:name w:val="List Paragraph"/>
    <w:basedOn w:val="Normal"/>
    <w:uiPriority w:val="34"/>
    <w:qFormat/>
    <w:rsid w:val="00354460"/>
    <w:pPr>
      <w:ind w:left="720"/>
      <w:contextualSpacing/>
    </w:pPr>
  </w:style>
  <w:style w:type="character" w:customStyle="1" w:styleId="qowt-font3-arial">
    <w:name w:val="qowt-font3-arial"/>
    <w:rsid w:val="0042126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33E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E827F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E827F7"/>
  </w:style>
  <w:style w:type="paragraph" w:customStyle="1" w:styleId="Sangradetextonormal1">
    <w:name w:val="Sangría de texto normal1"/>
    <w:basedOn w:val="Normal"/>
    <w:rsid w:val="009963E3"/>
    <w:pPr>
      <w:tabs>
        <w:tab w:val="left" w:pos="2552"/>
      </w:tabs>
      <w:spacing w:after="0" w:line="360" w:lineRule="auto"/>
      <w:jc w:val="both"/>
    </w:pPr>
    <w:rPr>
      <w:rFonts w:ascii="Arial" w:eastAsia="Times New Roman" w:hAnsi="Arial" w:cs="Arial"/>
      <w:sz w:val="24"/>
      <w:szCs w:val="24"/>
      <w:lang w:val="es-MX" w:eastAsia="es-ES"/>
    </w:rPr>
  </w:style>
  <w:style w:type="paragraph" w:styleId="Prrafodelista">
    <w:name w:val="List Paragraph"/>
    <w:basedOn w:val="Normal"/>
    <w:uiPriority w:val="34"/>
    <w:qFormat/>
    <w:rsid w:val="00354460"/>
    <w:pPr>
      <w:ind w:left="720"/>
      <w:contextualSpacing/>
    </w:pPr>
  </w:style>
  <w:style w:type="character" w:customStyle="1" w:styleId="qowt-font3-arial">
    <w:name w:val="qowt-font3-arial"/>
    <w:rsid w:val="004212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15</Pages>
  <Words>3023</Words>
  <Characters>16631</Characters>
  <Application>Microsoft Office Word</Application>
  <DocSecurity>0</DocSecurity>
  <Lines>138</Lines>
  <Paragraphs>39</Paragraphs>
  <ScaleCrop>false</ScaleCrop>
  <HeadingPairs>
    <vt:vector size="2" baseType="variant">
      <vt:variant>
        <vt:lpstr>Título</vt:lpstr>
      </vt:variant>
      <vt:variant>
        <vt:i4>1</vt:i4>
      </vt:variant>
    </vt:vector>
  </HeadingPairs>
  <TitlesOfParts>
    <vt:vector size="1" baseType="lpstr">
      <vt:lpstr/>
    </vt:vector>
  </TitlesOfParts>
  <Company>BHU</Company>
  <LinksUpToDate>false</LinksUpToDate>
  <CharactersWithSpaces>19615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Soledad Torres</dc:creator>
  <cp:lastModifiedBy>Tribunal1</cp:lastModifiedBy>
  <cp:revision>6</cp:revision>
  <cp:lastPrinted>2018-11-19T15:31:00Z</cp:lastPrinted>
  <dcterms:created xsi:type="dcterms:W3CDTF">2018-11-19T15:33:00Z</dcterms:created>
  <dcterms:modified xsi:type="dcterms:W3CDTF">2018-12-20T19:27:00Z</dcterms:modified>
</cp:coreProperties>
</file>