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C52" w:rsidRPr="00835C52" w:rsidRDefault="00835C52" w:rsidP="00835C52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3415/18</w:t>
      </w:r>
    </w:p>
    <w:p w:rsidR="00835C52" w:rsidRPr="00835C52" w:rsidRDefault="00835C52" w:rsidP="00835C5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35C52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835C52" w:rsidRPr="00835C52" w:rsidRDefault="00835C52" w:rsidP="00835C5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35C52" w:rsidRPr="00835C52" w:rsidRDefault="00835C52" w:rsidP="00835C5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35C52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835C52" w:rsidRPr="00835C52" w:rsidRDefault="00835C52" w:rsidP="00835C5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35C52" w:rsidRPr="00835C52" w:rsidRDefault="00835C52" w:rsidP="00835C5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35C52">
        <w:rPr>
          <w:rFonts w:ascii="Arial" w:hAnsi="Arial" w:cs="Arial"/>
          <w:b/>
          <w:sz w:val="24"/>
          <w:szCs w:val="24"/>
          <w:lang w:val="es-ES_tradnl"/>
        </w:rPr>
        <w:t xml:space="preserve">EN SESION DE FECHA 7 DE NOVIEMBRE </w:t>
      </w:r>
      <w:r w:rsidRPr="00835C52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835C52" w:rsidRPr="00835C52" w:rsidRDefault="00835C52" w:rsidP="00835C5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35C52" w:rsidRPr="00835C52" w:rsidRDefault="00835C52" w:rsidP="00835C5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835C52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 w:rsidRPr="00835C52"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  <w:t>2018-17-1-0006296</w:t>
      </w:r>
      <w:r w:rsidRPr="00835C52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835C52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835C52">
        <w:rPr>
          <w:rFonts w:ascii="Arial" w:hAnsi="Arial" w:cs="Arial"/>
          <w:b/>
          <w:sz w:val="24"/>
          <w:szCs w:val="24"/>
          <w:lang w:val="en-US"/>
        </w:rPr>
        <w:t>. N°4852/18)</w:t>
      </w:r>
    </w:p>
    <w:p w:rsidR="0005771F" w:rsidRPr="0005771F" w:rsidRDefault="0005771F" w:rsidP="0005771F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UY" w:eastAsia="es-ES"/>
        </w:rPr>
      </w:pPr>
    </w:p>
    <w:p w:rsidR="0005771F" w:rsidRPr="0005771F" w:rsidRDefault="00C45320" w:rsidP="00835C52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UY" w:eastAsia="es-ES"/>
        </w:rPr>
      </w:pPr>
      <w:r>
        <w:rPr>
          <w:rFonts w:ascii="Arial" w:eastAsia="Times New Roman" w:hAnsi="Arial" w:cs="Times New Roman"/>
          <w:b/>
          <w:sz w:val="24"/>
          <w:szCs w:val="24"/>
          <w:lang w:val="es-UY" w:eastAsia="es-ES"/>
        </w:rPr>
        <w:t xml:space="preserve"> </w:t>
      </w:r>
      <w:r w:rsidR="0005771F" w:rsidRPr="0005771F">
        <w:rPr>
          <w:rFonts w:ascii="Arial" w:eastAsia="Times New Roman" w:hAnsi="Arial" w:cs="Times New Roman"/>
          <w:b/>
          <w:sz w:val="24"/>
          <w:szCs w:val="24"/>
          <w:lang w:val="es-UY" w:eastAsia="es-ES"/>
        </w:rPr>
        <w:t>VISTO</w:t>
      </w:r>
      <w:r w:rsidR="0005771F" w:rsidRPr="0005771F">
        <w:rPr>
          <w:rFonts w:ascii="Arial" w:eastAsia="Times New Roman" w:hAnsi="Arial" w:cs="Times New Roman"/>
          <w:b/>
          <w:bCs/>
          <w:sz w:val="24"/>
          <w:szCs w:val="24"/>
          <w:lang w:val="es-UY" w:eastAsia="es-ES"/>
        </w:rPr>
        <w:t>:</w:t>
      </w:r>
      <w:r w:rsidR="0005771F" w:rsidRPr="0005771F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las</w:t>
      </w:r>
      <w:r w:rsidR="00C61E1E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nuevas</w:t>
      </w:r>
      <w:r w:rsidR="0005771F" w:rsidRPr="0005771F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actuaciones remitidas por el </w:t>
      </w:r>
      <w:r w:rsidR="00D17B7B" w:rsidRPr="00D17B7B">
        <w:rPr>
          <w:rFonts w:ascii="Arial" w:eastAsia="Times New Roman" w:hAnsi="Arial" w:cs="Times New Roman"/>
          <w:sz w:val="24"/>
          <w:szCs w:val="24"/>
          <w:lang w:val="es-UY" w:eastAsia="es-ES"/>
        </w:rPr>
        <w:t>Ministerio de Economía y Finanzas (MEF) – Dirección Nacional de Aduanas (DNA)</w:t>
      </w:r>
      <w:r w:rsidR="00D17B7B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, </w:t>
      </w:r>
      <w:r w:rsidR="00D17B7B" w:rsidRPr="00D17B7B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referentes con la </w:t>
      </w:r>
      <w:r>
        <w:rPr>
          <w:rFonts w:ascii="Arial" w:eastAsia="Times New Roman" w:hAnsi="Arial" w:cs="Times New Roman"/>
          <w:sz w:val="24"/>
          <w:szCs w:val="24"/>
          <w:lang w:val="es-UY" w:eastAsia="es-ES"/>
        </w:rPr>
        <w:t>C</w:t>
      </w:r>
      <w:r w:rsidR="00D17B7B" w:rsidRPr="00D17B7B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ompra </w:t>
      </w:r>
      <w:r>
        <w:rPr>
          <w:rFonts w:ascii="Arial" w:eastAsia="Times New Roman" w:hAnsi="Arial" w:cs="Times New Roman"/>
          <w:sz w:val="24"/>
          <w:szCs w:val="24"/>
          <w:lang w:val="es-UY" w:eastAsia="es-ES"/>
        </w:rPr>
        <w:t>D</w:t>
      </w:r>
      <w:r w:rsidR="00D17B7B" w:rsidRPr="00D17B7B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irecta por </w:t>
      </w:r>
      <w:r w:rsidR="00940432">
        <w:rPr>
          <w:rFonts w:ascii="Arial" w:eastAsia="Times New Roman" w:hAnsi="Arial" w:cs="Times New Roman"/>
          <w:sz w:val="24"/>
          <w:szCs w:val="24"/>
          <w:lang w:val="es-UY" w:eastAsia="es-ES"/>
        </w:rPr>
        <w:t>e</w:t>
      </w:r>
      <w:r w:rsidR="00D17B7B" w:rsidRPr="00D17B7B">
        <w:rPr>
          <w:rFonts w:ascii="Arial" w:eastAsia="Times New Roman" w:hAnsi="Arial" w:cs="Times New Roman"/>
          <w:sz w:val="24"/>
          <w:szCs w:val="24"/>
          <w:lang w:val="es-UY" w:eastAsia="es-ES"/>
        </w:rPr>
        <w:t>xcepción N° 16/2017</w:t>
      </w:r>
      <w:r w:rsidR="00940432">
        <w:rPr>
          <w:rFonts w:ascii="Arial" w:eastAsia="Times New Roman" w:hAnsi="Arial" w:cs="Times New Roman"/>
          <w:sz w:val="24"/>
          <w:szCs w:val="24"/>
          <w:lang w:val="es-UY" w:eastAsia="es-ES"/>
        </w:rPr>
        <w:t>,</w:t>
      </w:r>
      <w:r w:rsidR="00D17B7B" w:rsidRPr="00D17B7B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para </w:t>
      </w:r>
      <w:r w:rsidR="00D17B7B" w:rsidRPr="00D17B7B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la “</w:t>
      </w:r>
      <w:r w:rsidR="00940432">
        <w:rPr>
          <w:rFonts w:ascii="Arial" w:eastAsia="Times New Roman" w:hAnsi="Arial" w:cs="Times New Roman"/>
          <w:sz w:val="24"/>
          <w:szCs w:val="24"/>
          <w:lang w:val="es-UY" w:eastAsia="es-ES"/>
        </w:rPr>
        <w:t>c</w:t>
      </w:r>
      <w:r w:rsidR="00D17B7B" w:rsidRPr="00D17B7B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ontratación de servicios de recaudación mediante medios electrónicos de pago por tarjeta de crédito/débito para operaciones de menor cuantía”, al amparo del </w:t>
      </w:r>
      <w:r w:rsidR="00940432">
        <w:rPr>
          <w:rFonts w:ascii="Arial" w:eastAsia="Times New Roman" w:hAnsi="Arial" w:cs="Times New Roman"/>
          <w:sz w:val="24"/>
          <w:szCs w:val="24"/>
          <w:lang w:val="es-UY" w:eastAsia="es-ES"/>
        </w:rPr>
        <w:t>a</w:t>
      </w:r>
      <w:r w:rsidR="00D17B7B" w:rsidRPr="00D17B7B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rtículo 33, </w:t>
      </w:r>
      <w:r w:rsidR="00940432">
        <w:rPr>
          <w:rFonts w:ascii="Arial" w:eastAsia="Times New Roman" w:hAnsi="Arial" w:cs="Times New Roman"/>
          <w:sz w:val="24"/>
          <w:szCs w:val="24"/>
          <w:lang w:val="es-UY" w:eastAsia="es-ES"/>
        </w:rPr>
        <w:t>l</w:t>
      </w:r>
      <w:r w:rsidR="00D17B7B" w:rsidRPr="00D17B7B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iteral C), </w:t>
      </w:r>
      <w:r w:rsidR="00940432">
        <w:rPr>
          <w:rFonts w:ascii="Arial" w:eastAsia="Times New Roman" w:hAnsi="Arial" w:cs="Times New Roman"/>
          <w:sz w:val="24"/>
          <w:szCs w:val="24"/>
          <w:lang w:val="es-UY" w:eastAsia="es-ES"/>
        </w:rPr>
        <w:t>numeral</w:t>
      </w:r>
      <w:r w:rsidR="00D17B7B" w:rsidRPr="00D17B7B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2)</w:t>
      </w:r>
      <w:r w:rsidR="00940432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</w:t>
      </w:r>
      <w:r w:rsidR="00940432" w:rsidRPr="00940432">
        <w:rPr>
          <w:rFonts w:ascii="Arial" w:eastAsia="Times New Roman" w:hAnsi="Arial" w:cs="Times New Roman"/>
          <w:sz w:val="24"/>
          <w:szCs w:val="24"/>
          <w:lang w:val="es-UY" w:eastAsia="es-ES"/>
        </w:rPr>
        <w:t>del TOCAF</w:t>
      </w:r>
      <w:r w:rsidR="0005771F" w:rsidRPr="0005771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;</w:t>
      </w:r>
      <w:r w:rsidR="0005771F" w:rsidRPr="0005771F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</w:t>
      </w:r>
    </w:p>
    <w:p w:rsidR="009F669A" w:rsidRPr="0005771F" w:rsidRDefault="0005771F" w:rsidP="00835C52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bCs/>
          <w:sz w:val="24"/>
          <w:szCs w:val="24"/>
          <w:lang w:eastAsia="es-ES"/>
        </w:rPr>
      </w:pPr>
      <w:r w:rsidRPr="0005771F">
        <w:rPr>
          <w:rFonts w:ascii="Arial" w:eastAsia="Times New Roman" w:hAnsi="Arial" w:cs="Times New Roman"/>
          <w:b/>
          <w:sz w:val="24"/>
          <w:szCs w:val="24"/>
          <w:lang w:val="es-UY" w:eastAsia="es-ES"/>
        </w:rPr>
        <w:t>RESULTANDO</w:t>
      </w:r>
      <w:r w:rsidRPr="0005771F">
        <w:rPr>
          <w:rFonts w:ascii="Arial" w:eastAsia="Times New Roman" w:hAnsi="Arial" w:cs="Times New Roman"/>
          <w:b/>
          <w:bCs/>
          <w:sz w:val="24"/>
          <w:szCs w:val="24"/>
          <w:lang w:val="es-UY" w:eastAsia="es-ES"/>
        </w:rPr>
        <w:t>:</w:t>
      </w:r>
      <w:r w:rsidRPr="0005771F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</w:t>
      </w:r>
      <w:r w:rsidRPr="0005771F">
        <w:rPr>
          <w:rFonts w:ascii="Arial" w:eastAsia="Times New Roman" w:hAnsi="Arial" w:cs="Times New Roman"/>
          <w:b/>
          <w:bCs/>
          <w:sz w:val="24"/>
          <w:szCs w:val="24"/>
          <w:lang w:val="es-UY" w:eastAsia="es-ES"/>
        </w:rPr>
        <w:t>1)</w:t>
      </w:r>
      <w:r w:rsidRPr="0005771F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que</w:t>
      </w:r>
      <w:r w:rsidR="00C61E1E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se adjunta</w:t>
      </w:r>
      <w:r w:rsidR="00D17B7B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</w:t>
      </w:r>
      <w:r w:rsidR="00940432">
        <w:rPr>
          <w:rFonts w:ascii="Arial" w:eastAsia="Times New Roman" w:hAnsi="Arial" w:cs="Times New Roman"/>
          <w:sz w:val="24"/>
          <w:szCs w:val="24"/>
          <w:lang w:val="es-ES_tradnl" w:eastAsia="es-ES"/>
        </w:rPr>
        <w:t>p</w:t>
      </w:r>
      <w:r w:rsidR="00D17B7B" w:rsidRPr="00D17B7B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liego particular de </w:t>
      </w:r>
      <w:r w:rsidR="00940432">
        <w:rPr>
          <w:rFonts w:ascii="Arial" w:eastAsia="Times New Roman" w:hAnsi="Arial" w:cs="Times New Roman"/>
          <w:bCs/>
          <w:sz w:val="24"/>
          <w:szCs w:val="24"/>
          <w:lang w:eastAsia="es-ES"/>
        </w:rPr>
        <w:t>c</w:t>
      </w:r>
      <w:r w:rsidR="00D17B7B" w:rsidRPr="00D17B7B">
        <w:rPr>
          <w:rFonts w:ascii="Arial" w:eastAsia="Times New Roman" w:hAnsi="Arial" w:cs="Times New Roman"/>
          <w:bCs/>
          <w:sz w:val="24"/>
          <w:szCs w:val="24"/>
          <w:lang w:eastAsia="es-ES"/>
        </w:rPr>
        <w:t>ondiciones</w:t>
      </w:r>
      <w:r w:rsidR="00D17B7B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de la</w:t>
      </w:r>
      <w:r w:rsidR="00D17B7B" w:rsidRPr="00D17B7B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Licitación Pública Nº 2/2017</w:t>
      </w:r>
      <w:r w:rsidR="00D17B7B">
        <w:rPr>
          <w:rFonts w:ascii="Arial" w:eastAsia="Times New Roman" w:hAnsi="Arial" w:cs="Times New Roman"/>
          <w:bCs/>
          <w:sz w:val="24"/>
          <w:szCs w:val="24"/>
          <w:lang w:eastAsia="es-ES"/>
        </w:rPr>
        <w:t>, así como publicaciones en el Diario Oficial y Sitio Web de Compras Estatales del referido llamado</w:t>
      </w:r>
      <w:r w:rsidR="00940432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y constancia </w:t>
      </w:r>
      <w:r w:rsidR="00D17B7B">
        <w:rPr>
          <w:rFonts w:ascii="Arial" w:eastAsia="Times New Roman" w:hAnsi="Arial" w:cs="Times New Roman"/>
          <w:bCs/>
          <w:sz w:val="24"/>
          <w:szCs w:val="24"/>
          <w:lang w:eastAsia="es-ES"/>
        </w:rPr>
        <w:t>de la prórroga de apertura del mismo;</w:t>
      </w:r>
    </w:p>
    <w:p w:rsidR="00D17B7B" w:rsidRPr="00D17B7B" w:rsidRDefault="009F669A" w:rsidP="00835C52">
      <w:pPr>
        <w:spacing w:after="0" w:line="360" w:lineRule="auto"/>
        <w:ind w:firstLine="2694"/>
        <w:jc w:val="both"/>
        <w:rPr>
          <w:rFonts w:ascii="Arial" w:eastAsia="Times New Roman" w:hAnsi="Arial" w:cs="Times New Roman"/>
          <w:bCs/>
          <w:sz w:val="24"/>
          <w:szCs w:val="24"/>
          <w:lang w:eastAsia="es-ES"/>
        </w:rPr>
      </w:pPr>
      <w:r w:rsidRPr="00E34229"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>2)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que </w:t>
      </w:r>
      <w:r w:rsidR="00C45320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al acto </w:t>
      </w:r>
      <w:r w:rsidR="00D17B7B" w:rsidRPr="00D17B7B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de </w:t>
      </w:r>
      <w:r w:rsidR="00940432">
        <w:rPr>
          <w:rFonts w:ascii="Arial" w:eastAsia="Times New Roman" w:hAnsi="Arial" w:cs="Times New Roman"/>
          <w:bCs/>
          <w:sz w:val="24"/>
          <w:szCs w:val="24"/>
          <w:lang w:eastAsia="es-ES"/>
        </w:rPr>
        <w:t>a</w:t>
      </w:r>
      <w:r w:rsidR="00D17B7B" w:rsidRPr="00D17B7B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pertura de </w:t>
      </w:r>
      <w:r w:rsidR="00940432">
        <w:rPr>
          <w:rFonts w:ascii="Arial" w:eastAsia="Times New Roman" w:hAnsi="Arial" w:cs="Times New Roman"/>
          <w:bCs/>
          <w:sz w:val="24"/>
          <w:szCs w:val="24"/>
          <w:lang w:eastAsia="es-ES"/>
        </w:rPr>
        <w:t>o</w:t>
      </w:r>
      <w:r w:rsidR="00D17B7B" w:rsidRPr="00D17B7B">
        <w:rPr>
          <w:rFonts w:ascii="Arial" w:eastAsia="Times New Roman" w:hAnsi="Arial" w:cs="Times New Roman"/>
          <w:bCs/>
          <w:sz w:val="24"/>
          <w:szCs w:val="24"/>
          <w:lang w:eastAsia="es-ES"/>
        </w:rPr>
        <w:t>fertas de fecha 20</w:t>
      </w:r>
      <w:r w:rsidR="00D17B7B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</w:t>
      </w:r>
      <w:r w:rsidR="00C45320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de </w:t>
      </w:r>
      <w:r w:rsidR="00D17B7B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setiembre de </w:t>
      </w:r>
      <w:r w:rsidR="00C45320" w:rsidRPr="00D17B7B">
        <w:rPr>
          <w:rFonts w:ascii="Arial" w:eastAsia="Times New Roman" w:hAnsi="Arial" w:cs="Times New Roman"/>
          <w:bCs/>
          <w:sz w:val="24"/>
          <w:szCs w:val="24"/>
          <w:lang w:eastAsia="es-ES"/>
        </w:rPr>
        <w:t>2017</w:t>
      </w:r>
      <w:r w:rsidR="00C45320">
        <w:rPr>
          <w:rFonts w:ascii="Arial" w:eastAsia="Times New Roman" w:hAnsi="Arial" w:cs="Times New Roman"/>
          <w:bCs/>
          <w:sz w:val="24"/>
          <w:szCs w:val="24"/>
          <w:lang w:eastAsia="es-ES"/>
        </w:rPr>
        <w:t>, se presentó un  único oferente,</w:t>
      </w:r>
      <w:r w:rsidR="00D17B7B" w:rsidRPr="00D17B7B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la firma</w:t>
      </w:r>
      <w:r w:rsidR="00D17B7B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</w:t>
      </w:r>
      <w:proofErr w:type="spellStart"/>
      <w:r w:rsidR="00D17B7B">
        <w:rPr>
          <w:rFonts w:ascii="Arial" w:eastAsia="Times New Roman" w:hAnsi="Arial" w:cs="Times New Roman"/>
          <w:bCs/>
          <w:sz w:val="24"/>
          <w:szCs w:val="24"/>
          <w:lang w:eastAsia="es-ES"/>
        </w:rPr>
        <w:t>First</w:t>
      </w:r>
      <w:proofErr w:type="spellEnd"/>
      <w:r w:rsidR="00D17B7B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Data Uruguay S.A;</w:t>
      </w:r>
    </w:p>
    <w:p w:rsidR="00835C52" w:rsidRDefault="00D17B7B" w:rsidP="00835C52">
      <w:pPr>
        <w:spacing w:after="0" w:line="360" w:lineRule="auto"/>
        <w:ind w:firstLine="2694"/>
        <w:jc w:val="both"/>
        <w:rPr>
          <w:rFonts w:ascii="Arial" w:eastAsia="Times New Roman" w:hAnsi="Arial" w:cs="Times New Roman"/>
          <w:bCs/>
          <w:sz w:val="24"/>
          <w:szCs w:val="24"/>
          <w:lang w:eastAsia="es-ES"/>
        </w:rPr>
      </w:pPr>
      <w:r w:rsidRPr="00D17B7B"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>3)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que la </w:t>
      </w:r>
      <w:r w:rsidRPr="00D17B7B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Comisión Asesora de Adjudicaciones 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informó </w:t>
      </w:r>
      <w:r w:rsidRPr="00D17B7B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que </w:t>
      </w:r>
      <w:r w:rsidR="00C45320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el </w:t>
      </w:r>
      <w:r w:rsidRPr="00D17B7B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oferente </w:t>
      </w:r>
      <w:r w:rsidR="00C45320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no cumplió </w:t>
      </w:r>
      <w:r w:rsidRPr="00D17B7B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con </w:t>
      </w:r>
      <w:r w:rsidR="00940432">
        <w:rPr>
          <w:rFonts w:ascii="Arial" w:eastAsia="Times New Roman" w:hAnsi="Arial" w:cs="Times New Roman"/>
          <w:bCs/>
          <w:sz w:val="24"/>
          <w:szCs w:val="24"/>
          <w:lang w:eastAsia="es-ES"/>
        </w:rPr>
        <w:t>los numerales</w:t>
      </w:r>
      <w:r w:rsidRPr="00D17B7B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7.1 y 7.2 del </w:t>
      </w:r>
      <w:r w:rsidR="00940432">
        <w:rPr>
          <w:rFonts w:ascii="Arial" w:eastAsia="Times New Roman" w:hAnsi="Arial" w:cs="Times New Roman"/>
          <w:bCs/>
          <w:sz w:val="24"/>
          <w:szCs w:val="24"/>
          <w:lang w:eastAsia="es-ES"/>
        </w:rPr>
        <w:t>p</w:t>
      </w:r>
      <w:r w:rsidRPr="00D17B7B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liego, porque los anexos son firmados por </w:t>
      </w:r>
      <w:r w:rsidR="00940432">
        <w:rPr>
          <w:rFonts w:ascii="Arial" w:eastAsia="Times New Roman" w:hAnsi="Arial" w:cs="Times New Roman"/>
          <w:bCs/>
          <w:sz w:val="24"/>
          <w:szCs w:val="24"/>
          <w:lang w:eastAsia="es-ES"/>
        </w:rPr>
        <w:t>una persona sin</w:t>
      </w:r>
      <w:r w:rsidRPr="00D17B7B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facultades de representación</w:t>
      </w:r>
      <w:r w:rsidR="00940432">
        <w:rPr>
          <w:rFonts w:ascii="Arial" w:eastAsia="Times New Roman" w:hAnsi="Arial" w:cs="Times New Roman"/>
          <w:bCs/>
          <w:sz w:val="24"/>
          <w:szCs w:val="24"/>
          <w:lang w:eastAsia="es-ES"/>
        </w:rPr>
        <w:t>,</w:t>
      </w:r>
      <w:r w:rsidRPr="00D17B7B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actuando por sí solo tal como lo establece en su oferta, habi</w:t>
      </w:r>
      <w:r w:rsidR="00940432">
        <w:rPr>
          <w:rFonts w:ascii="Arial" w:eastAsia="Times New Roman" w:hAnsi="Arial" w:cs="Times New Roman"/>
          <w:bCs/>
          <w:sz w:val="24"/>
          <w:szCs w:val="24"/>
          <w:lang w:eastAsia="es-ES"/>
        </w:rPr>
        <w:t>é</w:t>
      </w:r>
      <w:r w:rsidRPr="00D17B7B">
        <w:rPr>
          <w:rFonts w:ascii="Arial" w:eastAsia="Times New Roman" w:hAnsi="Arial" w:cs="Times New Roman"/>
          <w:bCs/>
          <w:sz w:val="24"/>
          <w:szCs w:val="24"/>
          <w:lang w:eastAsia="es-ES"/>
        </w:rPr>
        <w:t>ndo</w:t>
      </w:r>
      <w:r w:rsidR="005E0C35">
        <w:rPr>
          <w:rFonts w:ascii="Arial" w:eastAsia="Times New Roman" w:hAnsi="Arial" w:cs="Times New Roman"/>
          <w:bCs/>
          <w:sz w:val="24"/>
          <w:szCs w:val="24"/>
          <w:lang w:eastAsia="es-ES"/>
        </w:rPr>
        <w:t>se</w:t>
      </w:r>
      <w:r w:rsidRPr="00D17B7B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establecido la representación de forma conjunta</w:t>
      </w:r>
      <w:r w:rsidR="00C45320">
        <w:rPr>
          <w:rFonts w:ascii="Arial" w:eastAsia="Times New Roman" w:hAnsi="Arial" w:cs="Times New Roman"/>
          <w:bCs/>
          <w:sz w:val="24"/>
          <w:szCs w:val="24"/>
          <w:lang w:eastAsia="es-ES"/>
        </w:rPr>
        <w:t>, a</w:t>
      </w:r>
      <w:r w:rsidRPr="00D17B7B">
        <w:rPr>
          <w:rFonts w:ascii="Arial" w:eastAsia="Times New Roman" w:hAnsi="Arial" w:cs="Times New Roman"/>
          <w:bCs/>
          <w:sz w:val="24"/>
          <w:szCs w:val="24"/>
          <w:lang w:eastAsia="es-ES"/>
        </w:rPr>
        <w:t>simismo no  present</w:t>
      </w:r>
      <w:r w:rsidR="00C45320">
        <w:rPr>
          <w:rFonts w:ascii="Arial" w:eastAsia="Times New Roman" w:hAnsi="Arial" w:cs="Times New Roman"/>
          <w:bCs/>
          <w:sz w:val="24"/>
          <w:szCs w:val="24"/>
          <w:lang w:eastAsia="es-ES"/>
        </w:rPr>
        <w:t>o</w:t>
      </w:r>
      <w:r w:rsidRPr="00D17B7B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</w:t>
      </w:r>
      <w:r w:rsidR="00C45320">
        <w:rPr>
          <w:rFonts w:ascii="Arial" w:eastAsia="Times New Roman" w:hAnsi="Arial" w:cs="Times New Roman"/>
          <w:bCs/>
          <w:sz w:val="24"/>
          <w:szCs w:val="24"/>
          <w:lang w:eastAsia="es-ES"/>
        </w:rPr>
        <w:t>o</w:t>
      </w:r>
      <w:r w:rsidRPr="00D17B7B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ferta </w:t>
      </w:r>
      <w:r w:rsidR="00C45320">
        <w:rPr>
          <w:rFonts w:ascii="Arial" w:eastAsia="Times New Roman" w:hAnsi="Arial" w:cs="Times New Roman"/>
          <w:bCs/>
          <w:sz w:val="24"/>
          <w:szCs w:val="24"/>
          <w:lang w:eastAsia="es-ES"/>
        </w:rPr>
        <w:t>t</w:t>
      </w:r>
      <w:r w:rsidRPr="00D17B7B">
        <w:rPr>
          <w:rFonts w:ascii="Arial" w:eastAsia="Times New Roman" w:hAnsi="Arial" w:cs="Times New Roman"/>
          <w:bCs/>
          <w:sz w:val="24"/>
          <w:szCs w:val="24"/>
          <w:lang w:eastAsia="es-ES"/>
        </w:rPr>
        <w:t>écnica (</w:t>
      </w:r>
      <w:r w:rsidR="00940432">
        <w:rPr>
          <w:rFonts w:ascii="Arial" w:eastAsia="Times New Roman" w:hAnsi="Arial" w:cs="Times New Roman"/>
          <w:bCs/>
          <w:sz w:val="24"/>
          <w:szCs w:val="24"/>
          <w:lang w:eastAsia="es-ES"/>
        </w:rPr>
        <w:t>numeral</w:t>
      </w:r>
      <w:r w:rsidRPr="00D17B7B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7.2 del </w:t>
      </w:r>
      <w:r w:rsidR="00940432">
        <w:rPr>
          <w:rFonts w:ascii="Arial" w:eastAsia="Times New Roman" w:hAnsi="Arial" w:cs="Times New Roman"/>
          <w:bCs/>
          <w:sz w:val="24"/>
          <w:szCs w:val="24"/>
          <w:lang w:eastAsia="es-ES"/>
        </w:rPr>
        <w:t>p</w:t>
      </w:r>
      <w:r w:rsidRPr="00D17B7B">
        <w:rPr>
          <w:rFonts w:ascii="Arial" w:eastAsia="Times New Roman" w:hAnsi="Arial" w:cs="Times New Roman"/>
          <w:bCs/>
          <w:sz w:val="24"/>
          <w:szCs w:val="24"/>
          <w:lang w:eastAsia="es-ES"/>
        </w:rPr>
        <w:t>liego), ni antecedentes de servicios similares (</w:t>
      </w:r>
      <w:r w:rsidR="00940432">
        <w:rPr>
          <w:rFonts w:ascii="Arial" w:eastAsia="Times New Roman" w:hAnsi="Arial" w:cs="Times New Roman"/>
          <w:bCs/>
          <w:sz w:val="24"/>
          <w:szCs w:val="24"/>
          <w:lang w:eastAsia="es-ES"/>
        </w:rPr>
        <w:t>numeral</w:t>
      </w:r>
      <w:r w:rsidRPr="00D17B7B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7.2 del </w:t>
      </w:r>
      <w:r w:rsidR="00940432">
        <w:rPr>
          <w:rFonts w:ascii="Arial" w:eastAsia="Times New Roman" w:hAnsi="Arial" w:cs="Times New Roman"/>
          <w:bCs/>
          <w:sz w:val="24"/>
          <w:szCs w:val="24"/>
          <w:lang w:eastAsia="es-ES"/>
        </w:rPr>
        <w:t>p</w:t>
      </w:r>
      <w:r w:rsidRPr="00D17B7B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liego), y no coincide el monto  numérico </w:t>
      </w:r>
      <w:r w:rsidR="00940432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con </w:t>
      </w:r>
      <w:r w:rsidRPr="00D17B7B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el escrito</w:t>
      </w:r>
      <w:r w:rsidR="00C45320">
        <w:rPr>
          <w:rFonts w:ascii="Arial" w:eastAsia="Times New Roman" w:hAnsi="Arial" w:cs="Times New Roman"/>
          <w:bCs/>
          <w:sz w:val="24"/>
          <w:szCs w:val="24"/>
          <w:lang w:eastAsia="es-ES"/>
        </w:rPr>
        <w:t>, por lo que corresponde descartar su oferta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>;</w:t>
      </w:r>
    </w:p>
    <w:p w:rsidR="00835C52" w:rsidRDefault="00D17B7B" w:rsidP="00835C52">
      <w:pPr>
        <w:spacing w:after="0" w:line="360" w:lineRule="auto"/>
        <w:ind w:firstLine="2694"/>
        <w:jc w:val="both"/>
        <w:rPr>
          <w:rFonts w:ascii="Arial" w:eastAsia="Times New Roman" w:hAnsi="Arial" w:cs="Times New Roman"/>
          <w:bCs/>
          <w:sz w:val="24"/>
          <w:szCs w:val="24"/>
          <w:lang w:eastAsia="es-ES"/>
        </w:rPr>
      </w:pPr>
      <w:r w:rsidRPr="00D95119"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>4)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que por </w:t>
      </w:r>
      <w:r w:rsidRPr="00D17B7B">
        <w:rPr>
          <w:rFonts w:ascii="Arial" w:eastAsia="Times New Roman" w:hAnsi="Arial" w:cs="Times New Roman"/>
          <w:bCs/>
          <w:sz w:val="24"/>
          <w:szCs w:val="24"/>
          <w:lang w:eastAsia="es-ES"/>
        </w:rPr>
        <w:t>Resolución adoptada por la Dirección Nacional de Aduanas con fecha 7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de noviembre</w:t>
      </w:r>
      <w:r w:rsidR="00940432">
        <w:rPr>
          <w:rFonts w:ascii="Arial" w:eastAsia="Times New Roman" w:hAnsi="Arial" w:cs="Times New Roman"/>
          <w:bCs/>
          <w:sz w:val="24"/>
          <w:szCs w:val="24"/>
          <w:lang w:eastAsia="es-ES"/>
        </w:rPr>
        <w:t>,</w:t>
      </w:r>
      <w:r w:rsidR="00C45320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del 2017, 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se </w:t>
      </w:r>
      <w:r w:rsidRPr="00D17B7B">
        <w:rPr>
          <w:rFonts w:ascii="Arial" w:eastAsia="Times New Roman" w:hAnsi="Arial" w:cs="Times New Roman"/>
          <w:bCs/>
          <w:sz w:val="24"/>
          <w:szCs w:val="24"/>
          <w:lang w:eastAsia="es-ES"/>
        </w:rPr>
        <w:t>declar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ó </w:t>
      </w:r>
      <w:r w:rsidR="00D95119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desierto </w:t>
      </w:r>
      <w:r w:rsidR="00D95119">
        <w:rPr>
          <w:rFonts w:ascii="Arial" w:eastAsia="Times New Roman" w:hAnsi="Arial" w:cs="Times New Roman"/>
          <w:bCs/>
          <w:sz w:val="24"/>
          <w:szCs w:val="24"/>
          <w:lang w:eastAsia="es-ES"/>
        </w:rPr>
        <w:lastRenderedPageBreak/>
        <w:t xml:space="preserve">el llamado, </w:t>
      </w:r>
      <w:r w:rsidRPr="00D17B7B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por no haber ofertas </w:t>
      </w:r>
      <w:r w:rsidR="00C45320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admisibles </w:t>
      </w:r>
      <w:r w:rsidRPr="00D17B7B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y </w:t>
      </w:r>
      <w:r w:rsidR="00D95119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se dispuso </w:t>
      </w:r>
      <w:r w:rsidRPr="00D17B7B">
        <w:rPr>
          <w:rFonts w:ascii="Arial" w:eastAsia="Times New Roman" w:hAnsi="Arial" w:cs="Times New Roman"/>
          <w:bCs/>
          <w:sz w:val="24"/>
          <w:szCs w:val="24"/>
          <w:lang w:eastAsia="es-ES"/>
        </w:rPr>
        <w:t>realizar un nuevo llamado</w:t>
      </w:r>
      <w:r w:rsidR="00C45320">
        <w:rPr>
          <w:rFonts w:ascii="Arial" w:eastAsia="Times New Roman" w:hAnsi="Arial" w:cs="Times New Roman"/>
          <w:bCs/>
          <w:sz w:val="24"/>
          <w:szCs w:val="24"/>
          <w:lang w:eastAsia="es-ES"/>
        </w:rPr>
        <w:t>,</w:t>
      </w:r>
      <w:r w:rsidRPr="00D17B7B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al amparo de lo previsto en el </w:t>
      </w:r>
      <w:r w:rsidR="00940432">
        <w:rPr>
          <w:rFonts w:ascii="Arial" w:eastAsia="Times New Roman" w:hAnsi="Arial" w:cs="Times New Roman"/>
          <w:bCs/>
          <w:sz w:val="24"/>
          <w:szCs w:val="24"/>
          <w:lang w:eastAsia="es-ES"/>
        </w:rPr>
        <w:t>n</w:t>
      </w:r>
      <w:r w:rsidRPr="00D17B7B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umeral 2) del </w:t>
      </w:r>
      <w:r w:rsidR="00940432">
        <w:rPr>
          <w:rFonts w:ascii="Arial" w:eastAsia="Times New Roman" w:hAnsi="Arial" w:cs="Times New Roman"/>
          <w:bCs/>
          <w:sz w:val="24"/>
          <w:szCs w:val="24"/>
          <w:lang w:eastAsia="es-ES"/>
        </w:rPr>
        <w:t>l</w:t>
      </w:r>
      <w:r w:rsidRPr="00D17B7B">
        <w:rPr>
          <w:rFonts w:ascii="Arial" w:eastAsia="Times New Roman" w:hAnsi="Arial" w:cs="Times New Roman"/>
          <w:bCs/>
          <w:sz w:val="24"/>
          <w:szCs w:val="24"/>
          <w:lang w:eastAsia="es-ES"/>
        </w:rPr>
        <w:t>iter</w:t>
      </w:r>
      <w:r w:rsidR="00D95119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al C) del </w:t>
      </w:r>
      <w:r w:rsidR="00940432">
        <w:rPr>
          <w:rFonts w:ascii="Arial" w:eastAsia="Times New Roman" w:hAnsi="Arial" w:cs="Times New Roman"/>
          <w:bCs/>
          <w:sz w:val="24"/>
          <w:szCs w:val="24"/>
          <w:lang w:eastAsia="es-ES"/>
        </w:rPr>
        <w:t>a</w:t>
      </w:r>
      <w:r w:rsidR="00D95119">
        <w:rPr>
          <w:rFonts w:ascii="Arial" w:eastAsia="Times New Roman" w:hAnsi="Arial" w:cs="Times New Roman"/>
          <w:bCs/>
          <w:sz w:val="24"/>
          <w:szCs w:val="24"/>
          <w:lang w:eastAsia="es-ES"/>
        </w:rPr>
        <w:t>rtículo 33 del TOCAF;</w:t>
      </w:r>
    </w:p>
    <w:p w:rsidR="00835C52" w:rsidRDefault="00C45320" w:rsidP="00835C52">
      <w:pPr>
        <w:spacing w:after="0" w:line="360" w:lineRule="auto"/>
        <w:ind w:firstLine="2694"/>
        <w:jc w:val="both"/>
        <w:rPr>
          <w:rFonts w:ascii="Arial" w:eastAsia="Times New Roman" w:hAnsi="Arial" w:cs="Times New Roman"/>
          <w:bCs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 xml:space="preserve">  </w:t>
      </w:r>
      <w:r w:rsidR="003B62CF" w:rsidRPr="003B62CF"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>5)</w:t>
      </w:r>
      <w:r w:rsidR="003B62C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que se adjunta: </w:t>
      </w:r>
      <w:r w:rsidR="003B62CF" w:rsidRPr="003B62CF">
        <w:rPr>
          <w:rFonts w:ascii="Arial" w:eastAsia="Times New Roman" w:hAnsi="Arial" w:cs="Times New Roman"/>
          <w:bCs/>
          <w:sz w:val="24"/>
          <w:szCs w:val="24"/>
          <w:lang w:eastAsia="es-ES"/>
        </w:rPr>
        <w:t>Pliego de Condiciones particulares e invitaciones a lo</w:t>
      </w:r>
      <w:r w:rsidR="005E0C35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s oferentes del llamado </w:t>
      </w:r>
      <w:r w:rsidR="00940432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Nº </w:t>
      </w:r>
      <w:r w:rsidR="005E0C35">
        <w:rPr>
          <w:rFonts w:ascii="Arial" w:eastAsia="Times New Roman" w:hAnsi="Arial" w:cs="Times New Roman"/>
          <w:bCs/>
          <w:sz w:val="24"/>
          <w:szCs w:val="24"/>
          <w:lang w:eastAsia="es-ES"/>
        </w:rPr>
        <w:t>16/</w:t>
      </w:r>
      <w:r w:rsidR="003B62C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2017, así como </w:t>
      </w:r>
      <w:r w:rsidR="00940432">
        <w:rPr>
          <w:rFonts w:ascii="Arial" w:eastAsia="Times New Roman" w:hAnsi="Arial" w:cs="Times New Roman"/>
          <w:bCs/>
          <w:sz w:val="24"/>
          <w:szCs w:val="24"/>
          <w:lang w:eastAsia="es-ES"/>
        </w:rPr>
        <w:t>p</w:t>
      </w:r>
      <w:r w:rsidR="003B62C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ublicaciones en el </w:t>
      </w:r>
      <w:r w:rsidR="00940432">
        <w:rPr>
          <w:rFonts w:ascii="Arial" w:eastAsia="Times New Roman" w:hAnsi="Arial" w:cs="Times New Roman"/>
          <w:bCs/>
          <w:sz w:val="24"/>
          <w:szCs w:val="24"/>
          <w:lang w:eastAsia="es-ES"/>
        </w:rPr>
        <w:t>s</w:t>
      </w:r>
      <w:r w:rsidR="003B62CF" w:rsidRPr="003B62C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itio Web Compras y Contrataciones Estatales y </w:t>
      </w:r>
      <w:r w:rsidR="003B62C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en el </w:t>
      </w:r>
      <w:r w:rsidR="003B62CF" w:rsidRPr="003B62C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Diario </w:t>
      </w:r>
      <w:r w:rsidR="00940432">
        <w:rPr>
          <w:rFonts w:ascii="Arial" w:eastAsia="Times New Roman" w:hAnsi="Arial" w:cs="Times New Roman"/>
          <w:bCs/>
          <w:sz w:val="24"/>
          <w:szCs w:val="24"/>
          <w:lang w:eastAsia="es-ES"/>
        </w:rPr>
        <w:t>O</w:t>
      </w:r>
      <w:r w:rsidR="003B62CF" w:rsidRPr="003B62CF">
        <w:rPr>
          <w:rFonts w:ascii="Arial" w:eastAsia="Times New Roman" w:hAnsi="Arial" w:cs="Times New Roman"/>
          <w:bCs/>
          <w:sz w:val="24"/>
          <w:szCs w:val="24"/>
          <w:lang w:eastAsia="es-ES"/>
        </w:rPr>
        <w:t>ficial de fecha 26</w:t>
      </w:r>
      <w:r w:rsidR="00940432">
        <w:rPr>
          <w:rFonts w:ascii="Arial" w:eastAsia="Times New Roman" w:hAnsi="Arial" w:cs="Times New Roman"/>
          <w:bCs/>
          <w:sz w:val="24"/>
          <w:szCs w:val="24"/>
          <w:lang w:eastAsia="es-ES"/>
        </w:rPr>
        <w:t>s</w:t>
      </w:r>
      <w:r w:rsidR="003B62C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y</w:t>
      </w:r>
      <w:r w:rsidR="003B62CF" w:rsidRPr="003B62C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30</w:t>
      </w:r>
      <w:r w:rsidR="003B62C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de enero de </w:t>
      </w:r>
      <w:r w:rsidR="003B62CF" w:rsidRPr="003B62CF">
        <w:rPr>
          <w:rFonts w:ascii="Arial" w:eastAsia="Times New Roman" w:hAnsi="Arial" w:cs="Times New Roman"/>
          <w:bCs/>
          <w:sz w:val="24"/>
          <w:szCs w:val="24"/>
          <w:lang w:eastAsia="es-ES"/>
        </w:rPr>
        <w:t>2018</w:t>
      </w:r>
      <w:r w:rsidR="003B62C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, respectivamente; </w:t>
      </w:r>
    </w:p>
    <w:p w:rsidR="00835C52" w:rsidRDefault="003B62CF" w:rsidP="00835C52">
      <w:pPr>
        <w:spacing w:after="0" w:line="360" w:lineRule="auto"/>
        <w:ind w:firstLine="2694"/>
        <w:jc w:val="both"/>
        <w:rPr>
          <w:rFonts w:ascii="Arial" w:eastAsia="Times New Roman" w:hAnsi="Arial" w:cs="Times New Roman"/>
          <w:bCs/>
          <w:sz w:val="24"/>
          <w:szCs w:val="24"/>
          <w:lang w:eastAsia="es-ES"/>
        </w:rPr>
      </w:pPr>
      <w:r w:rsidRPr="003B62CF"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>6)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que </w:t>
      </w:r>
      <w:r w:rsidR="00C45320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al acto </w:t>
      </w:r>
      <w:r w:rsidRPr="003B62C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de </w:t>
      </w:r>
      <w:r w:rsidR="00940432">
        <w:rPr>
          <w:rFonts w:ascii="Arial" w:eastAsia="Times New Roman" w:hAnsi="Arial" w:cs="Times New Roman"/>
          <w:bCs/>
          <w:sz w:val="24"/>
          <w:szCs w:val="24"/>
          <w:lang w:eastAsia="es-ES"/>
        </w:rPr>
        <w:t>a</w:t>
      </w:r>
      <w:r w:rsidRPr="003B62C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pertura de </w:t>
      </w:r>
      <w:r w:rsidR="00940432">
        <w:rPr>
          <w:rFonts w:ascii="Arial" w:eastAsia="Times New Roman" w:hAnsi="Arial" w:cs="Times New Roman"/>
          <w:bCs/>
          <w:sz w:val="24"/>
          <w:szCs w:val="24"/>
          <w:lang w:eastAsia="es-ES"/>
        </w:rPr>
        <w:t>o</w:t>
      </w:r>
      <w:r w:rsidRPr="003B62CF">
        <w:rPr>
          <w:rFonts w:ascii="Arial" w:eastAsia="Times New Roman" w:hAnsi="Arial" w:cs="Times New Roman"/>
          <w:bCs/>
          <w:sz w:val="24"/>
          <w:szCs w:val="24"/>
          <w:lang w:eastAsia="es-ES"/>
        </w:rPr>
        <w:t>fertas de fecha 26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de febrero</w:t>
      </w:r>
      <w:r w:rsidRPr="003B62C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, </w:t>
      </w:r>
      <w:r w:rsidR="00C45320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del corriente, </w:t>
      </w:r>
      <w:r w:rsidRPr="003B62CF">
        <w:rPr>
          <w:rFonts w:ascii="Arial" w:eastAsia="Times New Roman" w:hAnsi="Arial" w:cs="Times New Roman"/>
          <w:bCs/>
          <w:sz w:val="24"/>
          <w:szCs w:val="24"/>
          <w:lang w:eastAsia="es-ES"/>
        </w:rPr>
        <w:t>se presentaron las firmas</w:t>
      </w:r>
      <w:r w:rsidR="00940432">
        <w:rPr>
          <w:rFonts w:ascii="Arial" w:eastAsia="Times New Roman" w:hAnsi="Arial" w:cs="Times New Roman"/>
          <w:bCs/>
          <w:sz w:val="24"/>
          <w:szCs w:val="24"/>
          <w:lang w:eastAsia="es-ES"/>
        </w:rPr>
        <w:t>:</w:t>
      </w:r>
      <w:r w:rsidRPr="003B62C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</w:t>
      </w:r>
      <w:proofErr w:type="spellStart"/>
      <w:r w:rsidRPr="003B62CF">
        <w:rPr>
          <w:rFonts w:ascii="Arial" w:eastAsia="Times New Roman" w:hAnsi="Arial" w:cs="Times New Roman"/>
          <w:bCs/>
          <w:sz w:val="24"/>
          <w:szCs w:val="24"/>
          <w:lang w:eastAsia="es-ES"/>
        </w:rPr>
        <w:t>First</w:t>
      </w:r>
      <w:proofErr w:type="spellEnd"/>
      <w:r w:rsidRPr="003B62C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Dat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>a Uruguay S.A y OCA S.A;</w:t>
      </w:r>
    </w:p>
    <w:p w:rsidR="003B62CF" w:rsidRDefault="003B62CF" w:rsidP="00835C52">
      <w:pPr>
        <w:spacing w:after="0" w:line="360" w:lineRule="auto"/>
        <w:ind w:firstLine="2694"/>
        <w:jc w:val="both"/>
        <w:rPr>
          <w:rFonts w:ascii="Arial" w:eastAsia="Times New Roman" w:hAnsi="Arial" w:cs="Times New Roman"/>
          <w:bCs/>
          <w:sz w:val="24"/>
          <w:szCs w:val="24"/>
          <w:lang w:eastAsia="es-ES"/>
        </w:rPr>
      </w:pPr>
      <w:r w:rsidRPr="003B62CF"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>7)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que la </w:t>
      </w:r>
      <w:r w:rsidRPr="003B62C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Comisión Técnica de Adjudicaciones 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>inform</w:t>
      </w:r>
      <w:r w:rsidR="00C45320">
        <w:rPr>
          <w:rFonts w:ascii="Arial" w:eastAsia="Times New Roman" w:hAnsi="Arial" w:cs="Times New Roman"/>
          <w:bCs/>
          <w:sz w:val="24"/>
          <w:szCs w:val="24"/>
          <w:lang w:eastAsia="es-ES"/>
        </w:rPr>
        <w:t>o</w:t>
      </w:r>
      <w:r w:rsidRPr="003B62C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que ambas tarjetas (OCA S.A representante de la tarjeta OCA y </w:t>
      </w:r>
      <w:proofErr w:type="spellStart"/>
      <w:r w:rsidRPr="003B62CF">
        <w:rPr>
          <w:rFonts w:ascii="Arial" w:eastAsia="Times New Roman" w:hAnsi="Arial" w:cs="Times New Roman"/>
          <w:bCs/>
          <w:sz w:val="24"/>
          <w:szCs w:val="24"/>
          <w:lang w:eastAsia="es-ES"/>
        </w:rPr>
        <w:t>First</w:t>
      </w:r>
      <w:proofErr w:type="spellEnd"/>
      <w:r w:rsidRPr="003B62C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Data representante de la tarjeta MASTERCARD) integran la red POS2000 y cumplen con los estándares de seguridad de la industria, acreditando antecedentes y experiencia requerida por la DNA para 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>el servicio a contratar;</w:t>
      </w:r>
    </w:p>
    <w:p w:rsidR="003B62CF" w:rsidRPr="003B62CF" w:rsidRDefault="003B62CF" w:rsidP="00562BA9">
      <w:pPr>
        <w:spacing w:after="0" w:line="360" w:lineRule="auto"/>
        <w:ind w:firstLine="2694"/>
        <w:jc w:val="both"/>
        <w:rPr>
          <w:rFonts w:ascii="Arial" w:eastAsia="Times New Roman" w:hAnsi="Arial" w:cs="Times New Roman"/>
          <w:bCs/>
          <w:sz w:val="24"/>
          <w:szCs w:val="24"/>
          <w:lang w:eastAsia="es-ES"/>
        </w:rPr>
      </w:pPr>
      <w:r w:rsidRPr="003B62CF"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>8)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que la </w:t>
      </w:r>
      <w:r w:rsidRPr="003B62C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Comisión Asesora de Adjudicaciones 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>con</w:t>
      </w:r>
      <w:r w:rsidRPr="003B62C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fecha 4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de julio de </w:t>
      </w:r>
      <w:r w:rsidRPr="003B62C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2018, </w:t>
      </w:r>
      <w:r w:rsidR="00C45320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sugirió </w:t>
      </w:r>
      <w:r w:rsidR="00835C52">
        <w:rPr>
          <w:rFonts w:ascii="Arial" w:eastAsia="Times New Roman" w:hAnsi="Arial" w:cs="Times New Roman"/>
          <w:bCs/>
          <w:sz w:val="24"/>
          <w:szCs w:val="24"/>
          <w:lang w:eastAsia="es-ES"/>
        </w:rPr>
        <w:t>adjudicar a:</w:t>
      </w:r>
      <w:r w:rsidRPr="003B62C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</w:t>
      </w:r>
      <w:proofErr w:type="spellStart"/>
      <w:r w:rsidRPr="003B62CF">
        <w:rPr>
          <w:rFonts w:ascii="Arial" w:eastAsia="Times New Roman" w:hAnsi="Arial" w:cs="Times New Roman"/>
          <w:bCs/>
          <w:sz w:val="24"/>
          <w:szCs w:val="24"/>
          <w:lang w:eastAsia="es-ES"/>
        </w:rPr>
        <w:t>First</w:t>
      </w:r>
      <w:proofErr w:type="spellEnd"/>
      <w:r w:rsidRPr="003B62C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Data </w:t>
      </w:r>
      <w:r w:rsidR="00940432" w:rsidRPr="00940432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Uruguay S.A </w:t>
      </w:r>
      <w:r w:rsidRPr="003B62C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por el servicio de </w:t>
      </w:r>
      <w:r w:rsidR="00940432">
        <w:rPr>
          <w:rFonts w:ascii="Arial" w:eastAsia="Times New Roman" w:hAnsi="Arial" w:cs="Times New Roman"/>
          <w:bCs/>
          <w:sz w:val="24"/>
          <w:szCs w:val="24"/>
          <w:lang w:eastAsia="es-ES"/>
        </w:rPr>
        <w:t>c</w:t>
      </w:r>
      <w:r w:rsidRPr="003B62CF">
        <w:rPr>
          <w:rFonts w:ascii="Arial" w:eastAsia="Times New Roman" w:hAnsi="Arial" w:cs="Times New Roman"/>
          <w:bCs/>
          <w:sz w:val="24"/>
          <w:szCs w:val="24"/>
          <w:lang w:eastAsia="es-ES"/>
        </w:rPr>
        <w:t>obranza con tarjeta de débito, tarjeta de crédito nacional y tarjeta de crédito emitida en el exterior, por la suma de $ 7.500.000 IVA incluido</w:t>
      </w:r>
      <w:r w:rsidR="00940432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y</w:t>
      </w:r>
      <w:r w:rsidRPr="003B62C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</w:t>
      </w:r>
      <w:r w:rsidR="00940432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OCA </w:t>
      </w:r>
      <w:proofErr w:type="gramStart"/>
      <w:r w:rsidR="00940432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S.A </w:t>
      </w:r>
      <w:r w:rsidR="00C45320">
        <w:rPr>
          <w:rFonts w:ascii="Arial" w:eastAsia="Times New Roman" w:hAnsi="Arial" w:cs="Times New Roman"/>
          <w:bCs/>
          <w:sz w:val="24"/>
          <w:szCs w:val="24"/>
          <w:lang w:eastAsia="es-ES"/>
        </w:rPr>
        <w:t>,</w:t>
      </w:r>
      <w:proofErr w:type="gramEnd"/>
      <w:r w:rsidR="00940432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por el servicio de c</w:t>
      </w:r>
      <w:r w:rsidRPr="003B62CF">
        <w:rPr>
          <w:rFonts w:ascii="Arial" w:eastAsia="Times New Roman" w:hAnsi="Arial" w:cs="Times New Roman"/>
          <w:bCs/>
          <w:sz w:val="24"/>
          <w:szCs w:val="24"/>
          <w:lang w:eastAsia="es-ES"/>
        </w:rPr>
        <w:t>obranza con tarjeta de crédito nacional, por la s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>uma de $ 7.500.000</w:t>
      </w:r>
      <w:r w:rsidR="00C45320">
        <w:rPr>
          <w:rFonts w:ascii="Arial" w:eastAsia="Times New Roman" w:hAnsi="Arial" w:cs="Times New Roman"/>
          <w:bCs/>
          <w:sz w:val="24"/>
          <w:szCs w:val="24"/>
          <w:lang w:eastAsia="es-ES"/>
        </w:rPr>
        <w:t>,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IVA incluido;</w:t>
      </w:r>
    </w:p>
    <w:p w:rsidR="00C45320" w:rsidRDefault="003B62CF" w:rsidP="00562BA9">
      <w:pPr>
        <w:spacing w:after="0" w:line="360" w:lineRule="auto"/>
        <w:ind w:firstLine="2694"/>
        <w:jc w:val="both"/>
        <w:rPr>
          <w:rFonts w:ascii="Arial" w:eastAsia="Times New Roman" w:hAnsi="Arial" w:cs="Times New Roman"/>
          <w:bCs/>
          <w:sz w:val="24"/>
          <w:szCs w:val="24"/>
          <w:lang w:eastAsia="es-ES"/>
        </w:rPr>
      </w:pPr>
      <w:r w:rsidRPr="00333115"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>9)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que se adjunta </w:t>
      </w:r>
      <w:r w:rsidRPr="003B62CF">
        <w:rPr>
          <w:rFonts w:ascii="Arial" w:eastAsia="Times New Roman" w:hAnsi="Arial" w:cs="Times New Roman"/>
          <w:bCs/>
          <w:sz w:val="24"/>
          <w:szCs w:val="24"/>
          <w:lang w:eastAsia="es-ES"/>
        </w:rPr>
        <w:t>Proyecto de Resolución, adjudicando el llamado conforme lo sugerido por la Comisión Ases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ora de Adjudicaciones así como </w:t>
      </w:r>
      <w:r w:rsidR="00940432">
        <w:rPr>
          <w:rFonts w:ascii="Arial" w:eastAsia="Times New Roman" w:hAnsi="Arial" w:cs="Times New Roman"/>
          <w:bCs/>
          <w:sz w:val="24"/>
          <w:szCs w:val="24"/>
          <w:lang w:eastAsia="es-ES"/>
        </w:rPr>
        <w:t>d</w:t>
      </w:r>
      <w:r w:rsidRPr="003B62C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ocumentos </w:t>
      </w:r>
      <w:r w:rsidR="00940432">
        <w:rPr>
          <w:rFonts w:ascii="Arial" w:eastAsia="Times New Roman" w:hAnsi="Arial" w:cs="Times New Roman"/>
          <w:bCs/>
          <w:sz w:val="24"/>
          <w:szCs w:val="24"/>
          <w:lang w:eastAsia="es-ES"/>
        </w:rPr>
        <w:t>c</w:t>
      </w:r>
      <w:r w:rsidRPr="003B62C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ontables de </w:t>
      </w:r>
      <w:r w:rsidR="00940432">
        <w:rPr>
          <w:rFonts w:ascii="Arial" w:eastAsia="Times New Roman" w:hAnsi="Arial" w:cs="Times New Roman"/>
          <w:bCs/>
          <w:sz w:val="24"/>
          <w:szCs w:val="24"/>
          <w:lang w:eastAsia="es-ES"/>
        </w:rPr>
        <w:t>r</w:t>
      </w:r>
      <w:r w:rsidRPr="003B62CF">
        <w:rPr>
          <w:rFonts w:ascii="Arial" w:eastAsia="Times New Roman" w:hAnsi="Arial" w:cs="Times New Roman"/>
          <w:bCs/>
          <w:sz w:val="24"/>
          <w:szCs w:val="24"/>
          <w:lang w:eastAsia="es-ES"/>
        </w:rPr>
        <w:t>eposición</w:t>
      </w:r>
      <w:r w:rsidR="00940432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, con cargo al </w:t>
      </w:r>
      <w:r w:rsidRPr="003B62C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Inciso 05 MEF, UE 007 DNA, Financiamiento 1</w:t>
      </w:r>
      <w:r w:rsidR="00940432">
        <w:rPr>
          <w:rFonts w:ascii="Arial" w:eastAsia="Times New Roman" w:hAnsi="Arial" w:cs="Times New Roman"/>
          <w:bCs/>
          <w:sz w:val="24"/>
          <w:szCs w:val="24"/>
          <w:lang w:eastAsia="es-ES"/>
        </w:rPr>
        <w:t>.</w:t>
      </w:r>
      <w:r w:rsidRPr="003B62C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2, Programa 489, Proyecto 000, Objeto del Gasto, </w:t>
      </w:r>
      <w:r w:rsidR="00940432">
        <w:rPr>
          <w:rFonts w:ascii="Arial" w:eastAsia="Times New Roman" w:hAnsi="Arial" w:cs="Times New Roman"/>
          <w:bCs/>
          <w:sz w:val="24"/>
          <w:szCs w:val="24"/>
          <w:lang w:eastAsia="es-ES"/>
        </w:rPr>
        <w:t>por un t</w:t>
      </w:r>
      <w:r w:rsidRPr="003B62C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otal </w:t>
      </w:r>
      <w:r w:rsidR="00940432">
        <w:rPr>
          <w:rFonts w:ascii="Arial" w:eastAsia="Times New Roman" w:hAnsi="Arial" w:cs="Times New Roman"/>
          <w:bCs/>
          <w:sz w:val="24"/>
          <w:szCs w:val="24"/>
          <w:lang w:eastAsia="es-ES"/>
        </w:rPr>
        <w:t>n</w:t>
      </w:r>
      <w:r w:rsidRPr="003B62CF">
        <w:rPr>
          <w:rFonts w:ascii="Arial" w:eastAsia="Times New Roman" w:hAnsi="Arial" w:cs="Times New Roman"/>
          <w:bCs/>
          <w:sz w:val="24"/>
          <w:szCs w:val="24"/>
          <w:lang w:eastAsia="es-ES"/>
        </w:rPr>
        <w:t>ominal</w:t>
      </w:r>
      <w:r w:rsidR="00940432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de</w:t>
      </w:r>
      <w:r w:rsidRPr="003B62C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$ 75.000 y 5.000 respectivamente</w:t>
      </w:r>
      <w:r w:rsidR="00AA3DF9">
        <w:rPr>
          <w:rFonts w:ascii="Arial" w:eastAsia="Times New Roman" w:hAnsi="Arial" w:cs="Times New Roman"/>
          <w:bCs/>
          <w:sz w:val="24"/>
          <w:szCs w:val="24"/>
          <w:lang w:eastAsia="es-ES"/>
        </w:rPr>
        <w:t>.</w:t>
      </w:r>
      <w:r w:rsidRPr="003B62C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Documentos confirmados</w:t>
      </w:r>
    </w:p>
    <w:p w:rsidR="00173F34" w:rsidRPr="00C45320" w:rsidRDefault="0005771F" w:rsidP="00835C52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bCs/>
          <w:sz w:val="24"/>
          <w:szCs w:val="24"/>
          <w:lang w:eastAsia="es-ES"/>
        </w:rPr>
      </w:pPr>
      <w:r w:rsidRPr="0005771F">
        <w:rPr>
          <w:rFonts w:ascii="Arial" w:eastAsia="Times New Roman" w:hAnsi="Arial" w:cs="Times New Roman"/>
          <w:b/>
          <w:sz w:val="24"/>
          <w:szCs w:val="24"/>
          <w:lang w:val="es-UY" w:eastAsia="es-ES"/>
        </w:rPr>
        <w:t xml:space="preserve">CONSIDERANDO: </w:t>
      </w:r>
      <w:r w:rsidR="00173F34" w:rsidRPr="00173F34">
        <w:rPr>
          <w:rFonts w:ascii="Arial" w:eastAsia="Times New Roman" w:hAnsi="Arial" w:cs="Times New Roman"/>
          <w:b/>
          <w:sz w:val="24"/>
          <w:szCs w:val="24"/>
          <w:lang w:val="es-UY" w:eastAsia="es-ES"/>
        </w:rPr>
        <w:t xml:space="preserve">1) </w:t>
      </w:r>
      <w:r w:rsidR="00173F34" w:rsidRPr="00173F34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que el Pliego de Condiciones Particulares establece en el </w:t>
      </w:r>
      <w:r w:rsidR="00173F34">
        <w:rPr>
          <w:rFonts w:ascii="Arial" w:eastAsia="Times New Roman" w:hAnsi="Arial" w:cs="Times New Roman"/>
          <w:sz w:val="24"/>
          <w:szCs w:val="24"/>
          <w:lang w:val="es-UY" w:eastAsia="es-ES"/>
        </w:rPr>
        <w:t>numeral</w:t>
      </w:r>
      <w:r w:rsidR="00173F34" w:rsidRPr="00173F34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1</w:t>
      </w:r>
      <w:r w:rsidR="00173F34">
        <w:rPr>
          <w:rFonts w:ascii="Arial" w:eastAsia="Times New Roman" w:hAnsi="Arial" w:cs="Times New Roman"/>
          <w:sz w:val="24"/>
          <w:szCs w:val="24"/>
          <w:lang w:val="es-UY" w:eastAsia="es-ES"/>
        </w:rPr>
        <w:t>0</w:t>
      </w:r>
      <w:r w:rsidR="00173F34" w:rsidRPr="00173F34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, “Evaluación de las ofertas” </w:t>
      </w:r>
      <w:r w:rsidR="00173F34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10.1 “Evaluación Técnica” </w:t>
      </w:r>
      <w:r w:rsidR="00173F34" w:rsidRPr="00173F34">
        <w:rPr>
          <w:rFonts w:ascii="Arial" w:eastAsia="Times New Roman" w:hAnsi="Arial" w:cs="Times New Roman"/>
          <w:sz w:val="24"/>
          <w:szCs w:val="24"/>
          <w:lang w:val="es-UY" w:eastAsia="es-ES"/>
        </w:rPr>
        <w:t>que “</w:t>
      </w:r>
      <w:r w:rsidR="00173F34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Para la </w:t>
      </w:r>
      <w:r w:rsidR="00173F34" w:rsidRPr="00173F34">
        <w:rPr>
          <w:rFonts w:ascii="Arial" w:eastAsia="Times New Roman" w:hAnsi="Arial" w:cs="Times New Roman"/>
          <w:sz w:val="24"/>
          <w:szCs w:val="24"/>
          <w:lang w:val="es-UY" w:eastAsia="es-ES"/>
        </w:rPr>
        <w:t>evalua</w:t>
      </w:r>
      <w:r w:rsidR="00173F34">
        <w:rPr>
          <w:rFonts w:ascii="Arial" w:eastAsia="Times New Roman" w:hAnsi="Arial" w:cs="Times New Roman"/>
          <w:sz w:val="24"/>
          <w:szCs w:val="24"/>
          <w:lang w:val="es-UY" w:eastAsia="es-ES"/>
        </w:rPr>
        <w:t>ción de las propuestas se tendrán en consideración los antecedentes y experiencia de la firma, considerando especialmente los siguientes atributos: Capacidad, solvencia y responsabilidad del proponente en base a la información requerida, a juicio de la DNA.- Descripción detallada de la modalidad de operación propuesta por el oferente, incluidos los aspectos que refieren a la tecnología y la seguridad aplicada. Cantidad de Agentes Recaudadores incluidos en el servicio. Tiempo de implementación de la propuesta a partir de la adjudicación.”;</w:t>
      </w:r>
      <w:r w:rsidR="003F4B91" w:rsidRPr="003F4B91">
        <w:t xml:space="preserve"> </w:t>
      </w:r>
      <w:r w:rsidR="00564F22" w:rsidRPr="00564F22">
        <w:rPr>
          <w:rFonts w:ascii="Arial" w:hAnsi="Arial" w:cs="Arial"/>
          <w:sz w:val="24"/>
          <w:szCs w:val="24"/>
        </w:rPr>
        <w:t>Y por su parte el</w:t>
      </w:r>
      <w:r w:rsidR="00564F22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numeral 10.2, del citado pliego, establece entre otros requisitos, expresamente </w:t>
      </w:r>
      <w:r w:rsidR="00564F22" w:rsidRPr="00173F34">
        <w:rPr>
          <w:rFonts w:ascii="Arial" w:eastAsia="Times New Roman" w:hAnsi="Arial" w:cs="Times New Roman"/>
          <w:sz w:val="24"/>
          <w:szCs w:val="24"/>
          <w:lang w:val="es-UY" w:eastAsia="es-ES"/>
        </w:rPr>
        <w:t>en el numeral 4)</w:t>
      </w:r>
      <w:r w:rsidR="00564F22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“Informe positivo respecto a la evaluación de ofertas. Todas las ofertas que cumplan con los cuatro requerimientos referidos, serán las adjudicatarias del servicio que se licita. … “; </w:t>
      </w:r>
    </w:p>
    <w:p w:rsidR="00B31FAA" w:rsidRDefault="00173F34" w:rsidP="005E0C35">
      <w:pPr>
        <w:tabs>
          <w:tab w:val="left" w:pos="851"/>
        </w:tabs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UY" w:eastAsia="es-ES"/>
        </w:rPr>
      </w:pPr>
      <w:r w:rsidRPr="00562BA9">
        <w:rPr>
          <w:rFonts w:ascii="Arial" w:eastAsia="Times New Roman" w:hAnsi="Arial" w:cs="Times New Roman"/>
          <w:b/>
          <w:sz w:val="24"/>
          <w:szCs w:val="24"/>
          <w:lang w:val="es-UY" w:eastAsia="es-ES"/>
        </w:rPr>
        <w:t xml:space="preserve">                                                    2)</w:t>
      </w:r>
      <w:r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que </w:t>
      </w:r>
      <w:r w:rsidR="00C45320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del texto del referido art. 10 del Pliego surge que si bien se establecen los factores de evaluación no se estableció </w:t>
      </w:r>
      <w:r w:rsidR="00C45320" w:rsidRPr="003F4B91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como se ponderará cada criterio, como </w:t>
      </w:r>
      <w:r w:rsidR="00C45320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tampoco el </w:t>
      </w:r>
      <w:r w:rsidR="00C45320" w:rsidRPr="003F4B91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porcentaje </w:t>
      </w:r>
      <w:r w:rsidR="00C45320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que </w:t>
      </w:r>
      <w:r w:rsidR="00C45320" w:rsidRPr="003F4B91">
        <w:rPr>
          <w:rFonts w:ascii="Arial" w:eastAsia="Times New Roman" w:hAnsi="Arial" w:cs="Times New Roman"/>
          <w:sz w:val="24"/>
          <w:szCs w:val="24"/>
          <w:lang w:val="es-UY" w:eastAsia="es-ES"/>
        </w:rPr>
        <w:t>se otorgara al oferente para las puntuaciones que se asignen;</w:t>
      </w:r>
      <w:r w:rsidR="00C45320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no ajustándose por ello a lo  dispuesto por </w:t>
      </w:r>
      <w:r w:rsidR="00B31FAA" w:rsidRPr="00B31FAA">
        <w:rPr>
          <w:rFonts w:ascii="Arial" w:eastAsia="Times New Roman" w:hAnsi="Arial" w:cs="Times New Roman"/>
          <w:sz w:val="24"/>
          <w:szCs w:val="24"/>
          <w:lang w:val="es-UY" w:eastAsia="es-ES"/>
        </w:rPr>
        <w:t>el artículo 48 literal C) del TOCAF,</w:t>
      </w:r>
      <w:r w:rsidR="006835F2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</w:t>
      </w:r>
      <w:r w:rsidR="00B31FAA" w:rsidRPr="00B31FAA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que exige que el Pliego Particular contenga como mínimo” …El o los principales factores que se tendrán en cuenta para evaluar las ofertas, as</w:t>
      </w:r>
      <w:r w:rsidR="00B31FAA">
        <w:rPr>
          <w:rFonts w:ascii="Arial" w:eastAsia="Times New Roman" w:hAnsi="Arial" w:cs="Times New Roman"/>
          <w:sz w:val="24"/>
          <w:szCs w:val="24"/>
          <w:lang w:val="es-UY" w:eastAsia="es-ES"/>
        </w:rPr>
        <w:t>í</w:t>
      </w:r>
      <w:r w:rsidR="00B31FAA" w:rsidRPr="00B31FAA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como la ponderación de cada uno a efectos de determinar la calificación asignada a cada oferta”.;</w:t>
      </w:r>
    </w:p>
    <w:p w:rsidR="0005771F" w:rsidRPr="0005771F" w:rsidRDefault="00B31FAA" w:rsidP="00835C52">
      <w:pPr>
        <w:tabs>
          <w:tab w:val="left" w:pos="851"/>
        </w:tabs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UY" w:eastAsia="es-ES"/>
        </w:rPr>
      </w:pPr>
      <w:r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    </w:t>
      </w:r>
      <w:r w:rsidR="00564F22">
        <w:rPr>
          <w:rFonts w:ascii="Arial" w:eastAsia="Times New Roman" w:hAnsi="Arial" w:cs="Times New Roman"/>
          <w:sz w:val="24"/>
          <w:szCs w:val="24"/>
          <w:lang w:eastAsia="es-ES"/>
        </w:rPr>
        <w:t xml:space="preserve"> </w:t>
      </w:r>
      <w:r w:rsidR="0005771F" w:rsidRPr="0005771F">
        <w:rPr>
          <w:rFonts w:ascii="Arial" w:eastAsia="Times New Roman" w:hAnsi="Arial" w:cs="Times New Roman"/>
          <w:b/>
          <w:sz w:val="24"/>
          <w:szCs w:val="24"/>
          <w:lang w:val="es-ES_tradnl" w:eastAsia="es-ES"/>
        </w:rPr>
        <w:t>AT</w:t>
      </w:r>
      <w:r w:rsidR="0005771F" w:rsidRPr="0005771F">
        <w:rPr>
          <w:rFonts w:ascii="Arial" w:eastAsia="Times New Roman" w:hAnsi="Arial" w:cs="Times New Roman"/>
          <w:b/>
          <w:sz w:val="24"/>
          <w:szCs w:val="24"/>
          <w:lang w:val="es-UY" w:eastAsia="es-ES"/>
        </w:rPr>
        <w:t>ENTO</w:t>
      </w:r>
      <w:r w:rsidR="0005771F" w:rsidRPr="0005771F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: </w:t>
      </w:r>
      <w:r w:rsidR="0005771F" w:rsidRPr="0005771F">
        <w:rPr>
          <w:rFonts w:ascii="Arial" w:eastAsia="Times New Roman" w:hAnsi="Arial" w:cs="Times New Roman"/>
          <w:sz w:val="24"/>
          <w:szCs w:val="24"/>
          <w:lang w:eastAsia="es-ES"/>
        </w:rPr>
        <w:t>a lo expresado y a lo previsto por el art</w:t>
      </w:r>
      <w:r w:rsidR="00AA3DF9">
        <w:rPr>
          <w:rFonts w:ascii="Arial" w:eastAsia="Times New Roman" w:hAnsi="Arial" w:cs="Times New Roman"/>
          <w:sz w:val="24"/>
          <w:szCs w:val="24"/>
          <w:lang w:eastAsia="es-ES"/>
        </w:rPr>
        <w:t>ículo</w:t>
      </w:r>
      <w:r w:rsidR="0005771F" w:rsidRPr="0005771F">
        <w:rPr>
          <w:rFonts w:ascii="Arial" w:eastAsia="Times New Roman" w:hAnsi="Arial" w:cs="Times New Roman"/>
          <w:sz w:val="24"/>
          <w:szCs w:val="24"/>
          <w:lang w:eastAsia="es-ES"/>
        </w:rPr>
        <w:t xml:space="preserve"> 211 literal B) de la Constitución de la República</w:t>
      </w:r>
      <w:r w:rsidR="0005771F" w:rsidRPr="0005771F">
        <w:rPr>
          <w:rFonts w:ascii="Arial" w:eastAsia="Times New Roman" w:hAnsi="Arial" w:cs="Times New Roman"/>
          <w:sz w:val="24"/>
          <w:szCs w:val="24"/>
          <w:lang w:val="es-UY" w:eastAsia="es-ES"/>
        </w:rPr>
        <w:t>;</w:t>
      </w:r>
    </w:p>
    <w:p w:rsidR="0005771F" w:rsidRPr="0005771F" w:rsidRDefault="0005771F" w:rsidP="00835C52">
      <w:pPr>
        <w:keepNext/>
        <w:spacing w:after="0" w:line="360" w:lineRule="auto"/>
        <w:jc w:val="center"/>
        <w:outlineLvl w:val="0"/>
        <w:rPr>
          <w:rFonts w:ascii="Arial" w:eastAsia="Times New Roman" w:hAnsi="Arial" w:cs="Times New Roman"/>
          <w:b/>
          <w:sz w:val="24"/>
          <w:szCs w:val="24"/>
          <w:lang w:val="es-UY" w:eastAsia="es-ES"/>
        </w:rPr>
      </w:pPr>
      <w:r w:rsidRPr="0005771F">
        <w:rPr>
          <w:rFonts w:ascii="Arial" w:eastAsia="Times New Roman" w:hAnsi="Arial" w:cs="Times New Roman"/>
          <w:b/>
          <w:sz w:val="24"/>
          <w:szCs w:val="24"/>
          <w:lang w:val="es-UY" w:eastAsia="es-ES"/>
        </w:rPr>
        <w:t>EL TRIBUNAL ACUERDA</w:t>
      </w:r>
    </w:p>
    <w:p w:rsidR="00CF2306" w:rsidRPr="00CF2306" w:rsidRDefault="00CF2306" w:rsidP="00AA3DF9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</w:pPr>
      <w:r>
        <w:rPr>
          <w:rFonts w:ascii="Arial" w:eastAsia="Times New Roman" w:hAnsi="Arial" w:cs="Times New Roman"/>
          <w:sz w:val="24"/>
          <w:szCs w:val="24"/>
          <w:lang w:val="es-UY" w:eastAsia="es-ES"/>
        </w:rPr>
        <w:t>Observar el gasto;</w:t>
      </w:r>
    </w:p>
    <w:p w:rsidR="00920DE5" w:rsidRPr="00920DE5" w:rsidRDefault="00920DE5" w:rsidP="00920DE5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</w:pPr>
      <w:r w:rsidRPr="00920DE5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Comun</w:t>
      </w:r>
      <w:r w:rsidR="00CF2306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icar</w:t>
      </w:r>
      <w:r w:rsidR="00AA3DF9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 al Contador Auditor;</w:t>
      </w:r>
    </w:p>
    <w:p w:rsidR="00920DE5" w:rsidRPr="00920DE5" w:rsidRDefault="00920DE5" w:rsidP="00920DE5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</w:pPr>
      <w:r w:rsidRPr="00920DE5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Devuélvase  al Ministerio de </w:t>
      </w:r>
      <w:r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Economía y Finanzas</w:t>
      </w:r>
      <w:r w:rsidR="00835C52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.</w:t>
      </w:r>
    </w:p>
    <w:p w:rsidR="00BA5558" w:rsidRPr="0005771F" w:rsidRDefault="00835C52" w:rsidP="00835C52">
      <w:pPr>
        <w:spacing w:after="0" w:line="360" w:lineRule="auto"/>
        <w:ind w:left="720" w:hanging="720"/>
        <w:jc w:val="both"/>
        <w:rPr>
          <w:rFonts w:ascii="Arial" w:eastAsia="Times New Roman" w:hAnsi="Arial" w:cs="Times New Roman"/>
          <w:sz w:val="24"/>
          <w:szCs w:val="24"/>
          <w:lang w:val="es-UY" w:eastAsia="es-ES"/>
        </w:rPr>
      </w:pPr>
      <w:r>
        <w:rPr>
          <w:rFonts w:ascii="Arial" w:eastAsia="Times New Roman" w:hAnsi="Arial" w:cs="Times New Roman"/>
          <w:sz w:val="20"/>
          <w:szCs w:val="20"/>
          <w:lang w:val="es-UY" w:eastAsia="es-ES"/>
        </w:rPr>
        <w:t>CLC</w:t>
      </w:r>
    </w:p>
    <w:sectPr w:rsidR="00BA5558" w:rsidRPr="0005771F" w:rsidSect="0076654E">
      <w:pgSz w:w="11906" w:h="16838" w:code="9"/>
      <w:pgMar w:top="3402" w:right="1701" w:bottom="1134" w:left="1701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59BC"/>
    <w:multiLevelType w:val="hybridMultilevel"/>
    <w:tmpl w:val="17BE434C"/>
    <w:lvl w:ilvl="0" w:tplc="E1B20DA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5765F8"/>
    <w:multiLevelType w:val="hybridMultilevel"/>
    <w:tmpl w:val="05EEECB0"/>
    <w:lvl w:ilvl="0" w:tplc="95F66D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A068F"/>
    <w:multiLevelType w:val="hybridMultilevel"/>
    <w:tmpl w:val="F21A7908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D98618E"/>
    <w:multiLevelType w:val="hybridMultilevel"/>
    <w:tmpl w:val="83CE075E"/>
    <w:lvl w:ilvl="0" w:tplc="EA4C2A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117FC7"/>
    <w:multiLevelType w:val="hybridMultilevel"/>
    <w:tmpl w:val="4D16A92E"/>
    <w:lvl w:ilvl="0" w:tplc="EA00AD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A72"/>
    <w:rsid w:val="0000534F"/>
    <w:rsid w:val="0005771F"/>
    <w:rsid w:val="001172A6"/>
    <w:rsid w:val="00125C8C"/>
    <w:rsid w:val="00146ACA"/>
    <w:rsid w:val="0016536F"/>
    <w:rsid w:val="00173F34"/>
    <w:rsid w:val="001A567A"/>
    <w:rsid w:val="001C5EA8"/>
    <w:rsid w:val="0025722C"/>
    <w:rsid w:val="00304C50"/>
    <w:rsid w:val="00333115"/>
    <w:rsid w:val="003B62CF"/>
    <w:rsid w:val="003F4B91"/>
    <w:rsid w:val="00423C9F"/>
    <w:rsid w:val="00456D13"/>
    <w:rsid w:val="004C2E8A"/>
    <w:rsid w:val="004E60DF"/>
    <w:rsid w:val="00562BA9"/>
    <w:rsid w:val="00564F22"/>
    <w:rsid w:val="00582991"/>
    <w:rsid w:val="005B7AF2"/>
    <w:rsid w:val="005E0C35"/>
    <w:rsid w:val="00613351"/>
    <w:rsid w:val="006339EC"/>
    <w:rsid w:val="0063796F"/>
    <w:rsid w:val="006835F2"/>
    <w:rsid w:val="006A1F4D"/>
    <w:rsid w:val="006B5B92"/>
    <w:rsid w:val="006F6FF9"/>
    <w:rsid w:val="00720D72"/>
    <w:rsid w:val="00732D3A"/>
    <w:rsid w:val="0076654E"/>
    <w:rsid w:val="0079640B"/>
    <w:rsid w:val="007A0DAD"/>
    <w:rsid w:val="00835C52"/>
    <w:rsid w:val="00911129"/>
    <w:rsid w:val="00920DE5"/>
    <w:rsid w:val="00940432"/>
    <w:rsid w:val="00972B0E"/>
    <w:rsid w:val="00981266"/>
    <w:rsid w:val="009A6328"/>
    <w:rsid w:val="009B6BA0"/>
    <w:rsid w:val="009C27C5"/>
    <w:rsid w:val="009F669A"/>
    <w:rsid w:val="00AA3DF9"/>
    <w:rsid w:val="00B0786F"/>
    <w:rsid w:val="00B23A72"/>
    <w:rsid w:val="00B31FAA"/>
    <w:rsid w:val="00B83FBF"/>
    <w:rsid w:val="00B94E74"/>
    <w:rsid w:val="00BA5558"/>
    <w:rsid w:val="00BE7B1F"/>
    <w:rsid w:val="00C03F72"/>
    <w:rsid w:val="00C45320"/>
    <w:rsid w:val="00C464DA"/>
    <w:rsid w:val="00C61E1E"/>
    <w:rsid w:val="00C7464D"/>
    <w:rsid w:val="00CA139D"/>
    <w:rsid w:val="00CA7E59"/>
    <w:rsid w:val="00CB4DD3"/>
    <w:rsid w:val="00CF2306"/>
    <w:rsid w:val="00D17B7B"/>
    <w:rsid w:val="00D43BF3"/>
    <w:rsid w:val="00D87CB4"/>
    <w:rsid w:val="00D95119"/>
    <w:rsid w:val="00DD758D"/>
    <w:rsid w:val="00E34229"/>
    <w:rsid w:val="00E739E8"/>
    <w:rsid w:val="00F3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2B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66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65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2B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66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65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B9F6E-82C2-4DB8-96F4-06E4C7612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792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6</cp:revision>
  <cp:lastPrinted>2018-11-07T18:33:00Z</cp:lastPrinted>
  <dcterms:created xsi:type="dcterms:W3CDTF">2018-11-07T17:51:00Z</dcterms:created>
  <dcterms:modified xsi:type="dcterms:W3CDTF">2018-11-07T18:33:00Z</dcterms:modified>
</cp:coreProperties>
</file>