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230" w:rsidRPr="00786EEB" w:rsidRDefault="004F3230" w:rsidP="00786EEB">
      <w:pPr>
        <w:tabs>
          <w:tab w:val="center" w:pos="4253"/>
        </w:tabs>
        <w:suppressAutoHyphens/>
        <w:jc w:val="right"/>
        <w:rPr>
          <w:rFonts w:ascii="Arial" w:hAnsi="Arial" w:cs="Arial"/>
          <w:b/>
          <w:sz w:val="28"/>
          <w:szCs w:val="28"/>
          <w:lang w:val="es-ES_tradnl"/>
        </w:rPr>
      </w:pPr>
      <w:bookmarkStart w:id="0" w:name="_GoBack"/>
      <w:bookmarkEnd w:id="0"/>
      <w:r>
        <w:rPr>
          <w:rFonts w:ascii="Arial" w:hAnsi="Arial" w:cs="Arial"/>
          <w:b/>
          <w:sz w:val="28"/>
          <w:szCs w:val="28"/>
          <w:lang w:val="es-ES_tradnl"/>
        </w:rPr>
        <w:t>RES. 3299/18</w:t>
      </w:r>
    </w:p>
    <w:p w:rsidR="004F3230" w:rsidRPr="004F3230" w:rsidRDefault="004F3230" w:rsidP="004F3230">
      <w:pPr>
        <w:tabs>
          <w:tab w:val="center" w:pos="4253"/>
        </w:tabs>
        <w:suppressAutoHyphens/>
        <w:spacing w:after="0" w:line="240" w:lineRule="auto"/>
        <w:jc w:val="center"/>
        <w:rPr>
          <w:rFonts w:ascii="Arial" w:hAnsi="Arial" w:cs="Arial"/>
          <w:b/>
          <w:sz w:val="24"/>
          <w:szCs w:val="24"/>
          <w:lang w:val="es-ES_tradnl"/>
        </w:rPr>
      </w:pPr>
      <w:r w:rsidRPr="004F3230">
        <w:rPr>
          <w:rFonts w:ascii="Arial" w:hAnsi="Arial" w:cs="Arial"/>
          <w:b/>
          <w:sz w:val="24"/>
          <w:szCs w:val="24"/>
          <w:lang w:val="es-ES_tradnl"/>
        </w:rPr>
        <w:t>RESOLUCION ADOPTADA POR EL</w:t>
      </w:r>
    </w:p>
    <w:p w:rsidR="004F3230" w:rsidRPr="004F3230" w:rsidRDefault="004F3230" w:rsidP="004F3230">
      <w:pPr>
        <w:tabs>
          <w:tab w:val="left" w:pos="-720"/>
        </w:tabs>
        <w:suppressAutoHyphens/>
        <w:spacing w:after="0" w:line="240" w:lineRule="auto"/>
        <w:jc w:val="center"/>
        <w:rPr>
          <w:rFonts w:ascii="Arial" w:hAnsi="Arial" w:cs="Arial"/>
          <w:b/>
          <w:sz w:val="24"/>
          <w:szCs w:val="24"/>
          <w:lang w:val="es-ES_tradnl"/>
        </w:rPr>
      </w:pPr>
    </w:p>
    <w:p w:rsidR="004F3230" w:rsidRPr="004F3230" w:rsidRDefault="004F3230" w:rsidP="004F3230">
      <w:pPr>
        <w:tabs>
          <w:tab w:val="center" w:pos="4253"/>
        </w:tabs>
        <w:suppressAutoHyphens/>
        <w:spacing w:after="0" w:line="240" w:lineRule="auto"/>
        <w:jc w:val="center"/>
        <w:rPr>
          <w:rFonts w:ascii="Arial" w:hAnsi="Arial" w:cs="Arial"/>
          <w:b/>
          <w:sz w:val="24"/>
          <w:szCs w:val="24"/>
          <w:lang w:val="es-ES_tradnl"/>
        </w:rPr>
      </w:pPr>
      <w:r w:rsidRPr="004F3230">
        <w:rPr>
          <w:rFonts w:ascii="Arial" w:hAnsi="Arial" w:cs="Arial"/>
          <w:b/>
          <w:sz w:val="24"/>
          <w:szCs w:val="24"/>
          <w:lang w:val="es-ES_tradnl"/>
        </w:rPr>
        <w:t>TRIBUNAL DE CUENTAS</w:t>
      </w:r>
    </w:p>
    <w:p w:rsidR="004F3230" w:rsidRPr="004F3230" w:rsidRDefault="004F3230" w:rsidP="004F3230">
      <w:pPr>
        <w:tabs>
          <w:tab w:val="left" w:pos="-720"/>
        </w:tabs>
        <w:suppressAutoHyphens/>
        <w:spacing w:after="0" w:line="240" w:lineRule="auto"/>
        <w:jc w:val="center"/>
        <w:rPr>
          <w:rFonts w:ascii="Arial" w:hAnsi="Arial" w:cs="Arial"/>
          <w:b/>
          <w:sz w:val="24"/>
          <w:szCs w:val="24"/>
          <w:lang w:val="es-ES_tradnl"/>
        </w:rPr>
      </w:pPr>
    </w:p>
    <w:p w:rsidR="004F3230" w:rsidRPr="004F3230" w:rsidRDefault="004F3230" w:rsidP="004F3230">
      <w:pPr>
        <w:tabs>
          <w:tab w:val="center" w:pos="4253"/>
        </w:tabs>
        <w:suppressAutoHyphens/>
        <w:spacing w:after="0" w:line="240" w:lineRule="auto"/>
        <w:jc w:val="center"/>
        <w:rPr>
          <w:rFonts w:ascii="Arial" w:hAnsi="Arial" w:cs="Arial"/>
          <w:b/>
          <w:sz w:val="24"/>
          <w:szCs w:val="24"/>
          <w:lang w:val="es-ES_tradnl"/>
        </w:rPr>
      </w:pPr>
      <w:r w:rsidRPr="004F3230">
        <w:rPr>
          <w:rFonts w:ascii="Arial" w:hAnsi="Arial" w:cs="Arial"/>
          <w:b/>
          <w:sz w:val="24"/>
          <w:szCs w:val="24"/>
          <w:lang w:val="es-ES_tradnl"/>
        </w:rPr>
        <w:t xml:space="preserve">EN SESION DE FECHA 24 DE OCTUBRE </w:t>
      </w:r>
      <w:r w:rsidRPr="004F3230">
        <w:rPr>
          <w:rFonts w:ascii="Helvetica" w:hAnsi="Helvetica"/>
          <w:b/>
          <w:sz w:val="24"/>
          <w:szCs w:val="24"/>
          <w:lang w:val="es-ES_tradnl"/>
        </w:rPr>
        <w:t>DE 2018</w:t>
      </w:r>
    </w:p>
    <w:p w:rsidR="004F3230" w:rsidRPr="004F3230" w:rsidRDefault="004F3230" w:rsidP="004F3230">
      <w:pPr>
        <w:tabs>
          <w:tab w:val="center" w:pos="4253"/>
        </w:tabs>
        <w:suppressAutoHyphens/>
        <w:spacing w:after="0" w:line="240" w:lineRule="auto"/>
        <w:jc w:val="center"/>
        <w:rPr>
          <w:rFonts w:ascii="Arial" w:hAnsi="Arial" w:cs="Arial"/>
          <w:b/>
          <w:sz w:val="24"/>
          <w:szCs w:val="24"/>
          <w:lang w:val="es-ES_tradnl"/>
        </w:rPr>
      </w:pPr>
    </w:p>
    <w:p w:rsidR="004F3230" w:rsidRPr="00261B03" w:rsidRDefault="004F3230" w:rsidP="004F3230">
      <w:pPr>
        <w:tabs>
          <w:tab w:val="center" w:pos="4253"/>
        </w:tabs>
        <w:suppressAutoHyphens/>
        <w:spacing w:after="0" w:line="240" w:lineRule="auto"/>
        <w:jc w:val="center"/>
        <w:rPr>
          <w:rFonts w:ascii="Arial" w:hAnsi="Arial" w:cs="Arial"/>
          <w:b/>
          <w:sz w:val="24"/>
          <w:szCs w:val="24"/>
          <w:lang w:val="es-UY"/>
        </w:rPr>
      </w:pPr>
      <w:r w:rsidRPr="00261B03">
        <w:rPr>
          <w:rFonts w:ascii="Arial" w:hAnsi="Arial" w:cs="Arial"/>
          <w:b/>
          <w:sz w:val="24"/>
          <w:szCs w:val="24"/>
          <w:lang w:val="es-UY"/>
        </w:rPr>
        <w:t xml:space="preserve">(E. E. Nº 2018-17-1-0006235, </w:t>
      </w:r>
      <w:proofErr w:type="spellStart"/>
      <w:r w:rsidRPr="00261B03">
        <w:rPr>
          <w:rFonts w:ascii="Arial" w:hAnsi="Arial" w:cs="Arial"/>
          <w:b/>
          <w:sz w:val="24"/>
          <w:szCs w:val="24"/>
          <w:lang w:val="es-UY"/>
        </w:rPr>
        <w:t>Ent</w:t>
      </w:r>
      <w:proofErr w:type="spellEnd"/>
      <w:r w:rsidRPr="00261B03">
        <w:rPr>
          <w:rFonts w:ascii="Arial" w:hAnsi="Arial" w:cs="Arial"/>
          <w:b/>
          <w:sz w:val="24"/>
          <w:szCs w:val="24"/>
          <w:lang w:val="es-UY"/>
        </w:rPr>
        <w:t>. N° 4811/18)</w:t>
      </w:r>
    </w:p>
    <w:p w:rsidR="004F3230" w:rsidRDefault="004F3230" w:rsidP="00DA7AC8">
      <w:pPr>
        <w:spacing w:after="0" w:line="360" w:lineRule="auto"/>
        <w:ind w:firstLine="708"/>
        <w:jc w:val="both"/>
        <w:rPr>
          <w:rFonts w:ascii="Arial" w:eastAsia="Times New Roman" w:hAnsi="Arial" w:cs="Arial"/>
          <w:b/>
          <w:sz w:val="24"/>
          <w:szCs w:val="24"/>
          <w:lang w:eastAsia="es-ES"/>
        </w:rPr>
      </w:pPr>
    </w:p>
    <w:p w:rsidR="004F3230" w:rsidRDefault="00DA7AC8" w:rsidP="004F3230">
      <w:pPr>
        <w:spacing w:after="0" w:line="360" w:lineRule="auto"/>
        <w:ind w:firstLine="851"/>
        <w:jc w:val="both"/>
        <w:rPr>
          <w:rFonts w:ascii="Arial" w:eastAsia="Times New Roman" w:hAnsi="Arial" w:cs="Arial"/>
          <w:sz w:val="24"/>
          <w:szCs w:val="24"/>
          <w:lang w:eastAsia="es-ES"/>
        </w:rPr>
      </w:pPr>
      <w:r w:rsidRPr="00DA7AC8">
        <w:rPr>
          <w:rFonts w:ascii="Arial" w:eastAsia="Times New Roman" w:hAnsi="Arial" w:cs="Arial"/>
          <w:b/>
          <w:sz w:val="24"/>
          <w:szCs w:val="24"/>
          <w:lang w:eastAsia="es-ES"/>
        </w:rPr>
        <w:t>VISTO:</w:t>
      </w:r>
      <w:r w:rsidRPr="00DA7AC8">
        <w:rPr>
          <w:rFonts w:ascii="Arial" w:eastAsia="Times New Roman" w:hAnsi="Arial" w:cs="Arial"/>
          <w:sz w:val="24"/>
          <w:szCs w:val="24"/>
          <w:lang w:eastAsia="es-ES"/>
        </w:rPr>
        <w:t xml:space="preserve"> que este Tribunal ha examinado el Proyecto de Modificación Presupuestal de la Intendencia de Maldonado para los Ejercicio</w:t>
      </w:r>
      <w:r w:rsidR="004F3230">
        <w:rPr>
          <w:rFonts w:ascii="Arial" w:eastAsia="Times New Roman" w:hAnsi="Arial" w:cs="Arial"/>
          <w:sz w:val="24"/>
          <w:szCs w:val="24"/>
          <w:lang w:eastAsia="es-ES"/>
        </w:rPr>
        <w:t>s</w:t>
      </w:r>
      <w:r w:rsidRPr="00DA7AC8">
        <w:rPr>
          <w:rFonts w:ascii="Arial" w:eastAsia="Times New Roman" w:hAnsi="Arial" w:cs="Arial"/>
          <w:sz w:val="24"/>
          <w:szCs w:val="24"/>
          <w:lang w:eastAsia="es-ES"/>
        </w:rPr>
        <w:t xml:space="preserve"> 2018-2020;</w:t>
      </w:r>
    </w:p>
    <w:p w:rsidR="004F3230" w:rsidRDefault="00DA7AC8" w:rsidP="004F3230">
      <w:pPr>
        <w:spacing w:after="0" w:line="360" w:lineRule="auto"/>
        <w:ind w:firstLine="851"/>
        <w:jc w:val="both"/>
        <w:rPr>
          <w:rFonts w:ascii="Arial" w:eastAsia="Times New Roman" w:hAnsi="Arial" w:cs="Arial"/>
          <w:sz w:val="24"/>
          <w:szCs w:val="24"/>
          <w:lang w:eastAsia="es-ES"/>
        </w:rPr>
      </w:pPr>
      <w:r w:rsidRPr="00DA7AC8">
        <w:rPr>
          <w:rFonts w:ascii="Arial" w:eastAsia="Times New Roman" w:hAnsi="Arial" w:cs="Arial"/>
          <w:b/>
          <w:sz w:val="24"/>
          <w:szCs w:val="24"/>
          <w:lang w:eastAsia="es-ES"/>
        </w:rPr>
        <w:t>CONSIDERANDO:</w:t>
      </w:r>
      <w:r w:rsidRPr="00DA7AC8">
        <w:rPr>
          <w:rFonts w:ascii="Arial" w:eastAsia="Times New Roman" w:hAnsi="Arial" w:cs="Arial"/>
          <w:sz w:val="24"/>
          <w:szCs w:val="24"/>
          <w:lang w:eastAsia="es-ES"/>
        </w:rPr>
        <w:t xml:space="preserve"> </w:t>
      </w:r>
      <w:r w:rsidRPr="00DA7AC8">
        <w:rPr>
          <w:rFonts w:ascii="Arial" w:eastAsia="Times New Roman" w:hAnsi="Arial" w:cs="Arial"/>
          <w:b/>
          <w:bCs/>
          <w:sz w:val="24"/>
          <w:szCs w:val="24"/>
          <w:lang w:eastAsia="es-ES"/>
        </w:rPr>
        <w:t>1)</w:t>
      </w:r>
      <w:r w:rsidR="004F3230">
        <w:rPr>
          <w:rFonts w:ascii="Arial" w:eastAsia="Times New Roman" w:hAnsi="Arial" w:cs="Arial"/>
          <w:sz w:val="24"/>
          <w:szCs w:val="24"/>
          <w:lang w:eastAsia="es-ES"/>
        </w:rPr>
        <w:t xml:space="preserve"> que se ha dado cumplimiento con</w:t>
      </w:r>
      <w:r w:rsidRPr="00DA7AC8">
        <w:rPr>
          <w:rFonts w:ascii="Arial" w:eastAsia="Times New Roman" w:hAnsi="Arial" w:cs="Arial"/>
          <w:sz w:val="24"/>
          <w:szCs w:val="24"/>
          <w:lang w:eastAsia="es-ES"/>
        </w:rPr>
        <w:t xml:space="preserve"> lo dispuesto por los Artículos 223 a 225 de la Constitución de la República;</w:t>
      </w:r>
    </w:p>
    <w:p w:rsidR="00DA7AC8" w:rsidRPr="00DA7AC8" w:rsidRDefault="00034423" w:rsidP="00034423">
      <w:pPr>
        <w:spacing w:after="0" w:line="360" w:lineRule="auto"/>
        <w:ind w:firstLine="2977"/>
        <w:jc w:val="both"/>
        <w:rPr>
          <w:rFonts w:ascii="Arial" w:eastAsia="Times New Roman" w:hAnsi="Arial" w:cs="Arial"/>
          <w:sz w:val="24"/>
          <w:szCs w:val="24"/>
          <w:lang w:eastAsia="es-ES"/>
        </w:rPr>
      </w:pPr>
      <w:r>
        <w:rPr>
          <w:rFonts w:ascii="Arial" w:eastAsia="Times New Roman" w:hAnsi="Arial" w:cs="Arial"/>
          <w:b/>
          <w:bCs/>
          <w:sz w:val="24"/>
          <w:szCs w:val="24"/>
          <w:lang w:eastAsia="es-ES"/>
        </w:rPr>
        <w:t xml:space="preserve"> </w:t>
      </w:r>
      <w:r w:rsidR="00DA7AC8" w:rsidRPr="00DA7AC8">
        <w:rPr>
          <w:rFonts w:ascii="Arial" w:eastAsia="Times New Roman" w:hAnsi="Arial" w:cs="Arial"/>
          <w:b/>
          <w:bCs/>
          <w:sz w:val="24"/>
          <w:szCs w:val="24"/>
          <w:lang w:eastAsia="es-ES"/>
        </w:rPr>
        <w:t>2)</w:t>
      </w:r>
      <w:r w:rsidR="00DA7AC8" w:rsidRPr="00DA7AC8">
        <w:rPr>
          <w:rFonts w:ascii="Arial" w:eastAsia="Times New Roman" w:hAnsi="Arial" w:cs="Arial"/>
          <w:sz w:val="24"/>
          <w:szCs w:val="24"/>
          <w:lang w:eastAsia="es-ES"/>
        </w:rPr>
        <w:t xml:space="preserve"> que las conclusiones y evidencias obtenidas son las que se expresan en el Dictamen que se adjunta;</w:t>
      </w:r>
    </w:p>
    <w:p w:rsidR="00DA7AC8" w:rsidRPr="00DA7AC8" w:rsidRDefault="00DA7AC8" w:rsidP="004F3230">
      <w:pPr>
        <w:spacing w:after="0" w:line="360" w:lineRule="auto"/>
        <w:ind w:firstLine="851"/>
        <w:jc w:val="both"/>
        <w:rPr>
          <w:rFonts w:ascii="Arial" w:eastAsia="Times New Roman" w:hAnsi="Arial" w:cs="Arial"/>
          <w:sz w:val="24"/>
          <w:szCs w:val="24"/>
          <w:lang w:eastAsia="es-ES"/>
        </w:rPr>
      </w:pPr>
      <w:r w:rsidRPr="00DA7AC8">
        <w:rPr>
          <w:rFonts w:ascii="Arial" w:eastAsia="Times New Roman" w:hAnsi="Arial" w:cs="Arial"/>
          <w:b/>
          <w:sz w:val="24"/>
          <w:szCs w:val="24"/>
          <w:lang w:eastAsia="es-ES"/>
        </w:rPr>
        <w:t>ATENTO:</w:t>
      </w:r>
      <w:r w:rsidRPr="00DA7AC8">
        <w:rPr>
          <w:rFonts w:ascii="Arial" w:eastAsia="Times New Roman" w:hAnsi="Arial" w:cs="Arial"/>
          <w:sz w:val="24"/>
          <w:szCs w:val="24"/>
          <w:lang w:eastAsia="es-ES"/>
        </w:rPr>
        <w:t xml:space="preserve"> a lo dispuesto por los Artículos 211 Literal A) y 225 de la Constitución de la República;</w:t>
      </w:r>
    </w:p>
    <w:p w:rsidR="00DA7AC8" w:rsidRPr="00DA7AC8" w:rsidRDefault="00DA7AC8" w:rsidP="00DA7AC8">
      <w:pPr>
        <w:spacing w:after="0" w:line="360" w:lineRule="auto"/>
        <w:jc w:val="center"/>
        <w:rPr>
          <w:rFonts w:ascii="Arial" w:eastAsia="Times New Roman" w:hAnsi="Arial" w:cs="Arial"/>
          <w:b/>
          <w:sz w:val="24"/>
          <w:szCs w:val="24"/>
          <w:lang w:eastAsia="es-ES"/>
        </w:rPr>
      </w:pPr>
      <w:r w:rsidRPr="00DA7AC8">
        <w:rPr>
          <w:rFonts w:ascii="Arial" w:eastAsia="Times New Roman" w:hAnsi="Arial" w:cs="Arial"/>
          <w:b/>
          <w:sz w:val="24"/>
          <w:szCs w:val="24"/>
          <w:lang w:eastAsia="es-ES"/>
        </w:rPr>
        <w:t>EL TRIBUNAL ACUERDA</w:t>
      </w:r>
    </w:p>
    <w:p w:rsidR="00DA7AC8" w:rsidRPr="00DA7AC8" w:rsidRDefault="00DA7AC8" w:rsidP="00DA7AC8">
      <w:pPr>
        <w:numPr>
          <w:ilvl w:val="0"/>
          <w:numId w:val="1"/>
        </w:numPr>
        <w:suppressAutoHyphens/>
        <w:autoSpaceDN w:val="0"/>
        <w:spacing w:after="0" w:line="360" w:lineRule="auto"/>
        <w:jc w:val="both"/>
        <w:textAlignment w:val="baseline"/>
        <w:rPr>
          <w:rFonts w:ascii="Arial" w:eastAsia="Times New Roman" w:hAnsi="Arial" w:cs="Arial"/>
          <w:sz w:val="24"/>
          <w:szCs w:val="24"/>
          <w:lang w:eastAsia="es-ES"/>
        </w:rPr>
      </w:pPr>
      <w:r w:rsidRPr="00DA7AC8">
        <w:rPr>
          <w:rFonts w:ascii="Arial" w:eastAsia="Times New Roman" w:hAnsi="Arial" w:cs="Arial"/>
          <w:sz w:val="24"/>
          <w:szCs w:val="24"/>
          <w:lang w:eastAsia="es-ES"/>
        </w:rPr>
        <w:t>Emitir su pronunciamiento respecto al Proyecto de Modificación Presupues</w:t>
      </w:r>
      <w:r w:rsidR="004F3230">
        <w:rPr>
          <w:rFonts w:ascii="Arial" w:eastAsia="Times New Roman" w:hAnsi="Arial" w:cs="Arial"/>
          <w:sz w:val="24"/>
          <w:szCs w:val="24"/>
          <w:lang w:eastAsia="es-ES"/>
        </w:rPr>
        <w:softHyphen/>
      </w:r>
      <w:r w:rsidRPr="00DA7AC8">
        <w:rPr>
          <w:rFonts w:ascii="Arial" w:eastAsia="Times New Roman" w:hAnsi="Arial" w:cs="Arial"/>
          <w:sz w:val="24"/>
          <w:szCs w:val="24"/>
          <w:lang w:eastAsia="es-ES"/>
        </w:rPr>
        <w:t>tal de la Intendencia de Maldonado, correspondiente al período 2018-2020, en los términos del Dictamen que se adjunta;</w:t>
      </w:r>
    </w:p>
    <w:p w:rsidR="00DA7AC8" w:rsidRPr="00DA7AC8" w:rsidRDefault="00DA7AC8" w:rsidP="00DA7AC8">
      <w:pPr>
        <w:numPr>
          <w:ilvl w:val="0"/>
          <w:numId w:val="1"/>
        </w:numPr>
        <w:suppressAutoHyphens/>
        <w:autoSpaceDN w:val="0"/>
        <w:spacing w:after="0" w:line="360" w:lineRule="auto"/>
        <w:jc w:val="both"/>
        <w:textAlignment w:val="baseline"/>
        <w:rPr>
          <w:rFonts w:ascii="Arial" w:eastAsia="Times New Roman" w:hAnsi="Arial" w:cs="Arial"/>
          <w:sz w:val="24"/>
          <w:szCs w:val="24"/>
          <w:lang w:eastAsia="es-ES"/>
        </w:rPr>
      </w:pPr>
      <w:r w:rsidRPr="00DA7AC8">
        <w:rPr>
          <w:rFonts w:ascii="Arial" w:eastAsia="Times New Roman" w:hAnsi="Arial" w:cs="Arial"/>
          <w:sz w:val="24"/>
          <w:szCs w:val="24"/>
          <w:lang w:eastAsia="es-ES"/>
        </w:rPr>
        <w:t>Observar el referido documento por lo expuesto en los párrafos</w:t>
      </w:r>
      <w:r w:rsidR="00944DBD">
        <w:rPr>
          <w:rFonts w:ascii="Arial" w:eastAsia="Times New Roman" w:hAnsi="Arial" w:cs="Arial"/>
          <w:sz w:val="24"/>
          <w:szCs w:val="24"/>
          <w:lang w:eastAsia="es-ES"/>
        </w:rPr>
        <w:t xml:space="preserve"> 3.1) a 3.3), 4.2) , 4.4), 4.6), y 4.7)</w:t>
      </w:r>
      <w:r w:rsidR="00034423">
        <w:rPr>
          <w:rFonts w:ascii="Arial" w:eastAsia="Times New Roman" w:hAnsi="Arial" w:cs="Arial"/>
          <w:sz w:val="24"/>
          <w:szCs w:val="24"/>
          <w:lang w:eastAsia="es-ES"/>
        </w:rPr>
        <w:t>;</w:t>
      </w:r>
    </w:p>
    <w:p w:rsidR="00DA7AC8" w:rsidRPr="00DA7AC8" w:rsidRDefault="00DA7AC8" w:rsidP="00DA7AC8">
      <w:pPr>
        <w:numPr>
          <w:ilvl w:val="0"/>
          <w:numId w:val="1"/>
        </w:numPr>
        <w:suppressAutoHyphens/>
        <w:autoSpaceDN w:val="0"/>
        <w:spacing w:after="0" w:line="360" w:lineRule="auto"/>
        <w:jc w:val="both"/>
        <w:textAlignment w:val="baseline"/>
        <w:rPr>
          <w:rFonts w:ascii="Arial" w:eastAsia="Times New Roman" w:hAnsi="Arial" w:cs="Arial"/>
          <w:sz w:val="24"/>
          <w:szCs w:val="24"/>
          <w:lang w:eastAsia="es-ES"/>
        </w:rPr>
      </w:pPr>
      <w:r w:rsidRPr="00DA7AC8">
        <w:rPr>
          <w:rFonts w:ascii="Arial" w:eastAsia="Times New Roman" w:hAnsi="Arial" w:cs="Arial"/>
          <w:sz w:val="24"/>
          <w:szCs w:val="24"/>
          <w:lang w:eastAsia="es-ES"/>
        </w:rPr>
        <w:t>Téngase presen</w:t>
      </w:r>
      <w:r w:rsidR="00944DBD">
        <w:rPr>
          <w:rFonts w:ascii="Arial" w:eastAsia="Times New Roman" w:hAnsi="Arial" w:cs="Arial"/>
          <w:sz w:val="24"/>
          <w:szCs w:val="24"/>
          <w:lang w:eastAsia="es-ES"/>
        </w:rPr>
        <w:t>te lo expresado en los párrafos 4.3), 4.5) y 4.8)</w:t>
      </w:r>
      <w:r w:rsidRPr="00DA7AC8">
        <w:rPr>
          <w:rFonts w:ascii="Arial" w:eastAsia="Times New Roman" w:hAnsi="Arial" w:cs="Arial"/>
          <w:sz w:val="24"/>
          <w:szCs w:val="24"/>
          <w:lang w:eastAsia="es-ES"/>
        </w:rPr>
        <w:t>;</w:t>
      </w:r>
    </w:p>
    <w:p w:rsidR="00DA7AC8" w:rsidRPr="00DA7AC8" w:rsidRDefault="00DA7AC8" w:rsidP="00DA7AC8">
      <w:pPr>
        <w:numPr>
          <w:ilvl w:val="0"/>
          <w:numId w:val="1"/>
        </w:numPr>
        <w:suppressAutoHyphens/>
        <w:autoSpaceDN w:val="0"/>
        <w:spacing w:after="0" w:line="360" w:lineRule="auto"/>
        <w:jc w:val="both"/>
        <w:textAlignment w:val="baseline"/>
        <w:rPr>
          <w:rFonts w:ascii="Arial" w:eastAsia="Times New Roman" w:hAnsi="Arial" w:cs="Arial"/>
          <w:sz w:val="24"/>
          <w:szCs w:val="24"/>
          <w:lang w:eastAsia="es-ES"/>
        </w:rPr>
      </w:pPr>
      <w:r w:rsidRPr="00DA7AC8">
        <w:rPr>
          <w:rFonts w:ascii="Arial" w:eastAsia="Times New Roman" w:hAnsi="Arial" w:cs="Arial"/>
          <w:sz w:val="24"/>
          <w:szCs w:val="24"/>
          <w:lang w:eastAsia="es-ES"/>
        </w:rPr>
        <w:t>Comunicar a la Intendencia de Maldonado; y</w:t>
      </w:r>
    </w:p>
    <w:p w:rsidR="00DA7AC8" w:rsidRDefault="00DA7AC8" w:rsidP="00DA7AC8">
      <w:pPr>
        <w:numPr>
          <w:ilvl w:val="0"/>
          <w:numId w:val="1"/>
        </w:numPr>
        <w:suppressAutoHyphens/>
        <w:autoSpaceDN w:val="0"/>
        <w:spacing w:after="0" w:line="360" w:lineRule="auto"/>
        <w:jc w:val="both"/>
        <w:textAlignment w:val="baseline"/>
        <w:rPr>
          <w:rFonts w:ascii="Arial" w:eastAsia="Times New Roman" w:hAnsi="Arial" w:cs="Arial"/>
          <w:sz w:val="24"/>
          <w:szCs w:val="24"/>
          <w:lang w:eastAsia="es-ES"/>
        </w:rPr>
      </w:pPr>
      <w:r w:rsidRPr="00DA7AC8">
        <w:rPr>
          <w:rFonts w:ascii="Arial" w:eastAsia="Times New Roman" w:hAnsi="Arial" w:cs="Arial"/>
          <w:sz w:val="24"/>
          <w:szCs w:val="24"/>
          <w:lang w:eastAsia="es-ES"/>
        </w:rPr>
        <w:t>Devolver los antecedentes a la Ju</w:t>
      </w:r>
      <w:r w:rsidR="00D9723F">
        <w:rPr>
          <w:rFonts w:ascii="Arial" w:eastAsia="Times New Roman" w:hAnsi="Arial" w:cs="Arial"/>
          <w:sz w:val="24"/>
          <w:szCs w:val="24"/>
          <w:lang w:eastAsia="es-ES"/>
        </w:rPr>
        <w:t>nta Departamental de Maldonado.</w:t>
      </w:r>
    </w:p>
    <w:p w:rsidR="004F3230" w:rsidRDefault="004F3230" w:rsidP="004F3230">
      <w:pPr>
        <w:suppressAutoHyphens/>
        <w:autoSpaceDN w:val="0"/>
        <w:spacing w:after="0" w:line="360" w:lineRule="auto"/>
        <w:jc w:val="both"/>
        <w:textAlignment w:val="baseline"/>
        <w:rPr>
          <w:rFonts w:ascii="Arial" w:eastAsia="Times New Roman" w:hAnsi="Arial" w:cs="Arial"/>
          <w:sz w:val="24"/>
          <w:szCs w:val="24"/>
          <w:lang w:eastAsia="es-ES"/>
        </w:rPr>
      </w:pPr>
    </w:p>
    <w:p w:rsidR="004F3230" w:rsidRDefault="004F3230" w:rsidP="004F3230">
      <w:pPr>
        <w:suppressAutoHyphens/>
        <w:autoSpaceDN w:val="0"/>
        <w:spacing w:after="0" w:line="360" w:lineRule="auto"/>
        <w:jc w:val="both"/>
        <w:textAlignment w:val="baseline"/>
        <w:rPr>
          <w:rFonts w:ascii="Arial" w:eastAsia="Times New Roman" w:hAnsi="Arial" w:cs="Arial"/>
          <w:sz w:val="24"/>
          <w:szCs w:val="24"/>
          <w:lang w:eastAsia="es-ES"/>
        </w:rPr>
      </w:pPr>
    </w:p>
    <w:p w:rsidR="00DA7AC8" w:rsidRPr="00DA7AC8" w:rsidRDefault="004F3230" w:rsidP="004F3230">
      <w:pPr>
        <w:suppressAutoHyphens/>
        <w:autoSpaceDN w:val="0"/>
        <w:spacing w:after="0" w:line="360" w:lineRule="auto"/>
        <w:ind w:hanging="284"/>
        <w:jc w:val="both"/>
        <w:textAlignment w:val="baseline"/>
        <w:rPr>
          <w:rFonts w:ascii="Arial" w:eastAsia="Times New Roman" w:hAnsi="Arial" w:cs="Arial"/>
          <w:b/>
          <w:sz w:val="24"/>
          <w:szCs w:val="24"/>
          <w:lang w:eastAsia="es-ES"/>
        </w:rPr>
      </w:pPr>
      <w:proofErr w:type="gramStart"/>
      <w:r>
        <w:rPr>
          <w:rFonts w:ascii="Arial" w:eastAsia="Times New Roman" w:hAnsi="Arial" w:cs="Arial"/>
          <w:sz w:val="24"/>
          <w:szCs w:val="24"/>
          <w:lang w:eastAsia="es-ES"/>
        </w:rPr>
        <w:t>dc</w:t>
      </w:r>
      <w:proofErr w:type="gramEnd"/>
    </w:p>
    <w:p w:rsidR="002A1848" w:rsidRDefault="002A1848"/>
    <w:p w:rsidR="00034423" w:rsidRDefault="00034423"/>
    <w:p w:rsidR="00261B03" w:rsidRPr="00D913CD" w:rsidRDefault="00261B03" w:rsidP="00D913CD">
      <w:pPr>
        <w:widowControl w:val="0"/>
        <w:spacing w:after="0" w:line="360" w:lineRule="auto"/>
        <w:jc w:val="center"/>
        <w:outlineLvl w:val="0"/>
        <w:rPr>
          <w:rFonts w:ascii="Arial" w:eastAsia="Times New Roman" w:hAnsi="Arial" w:cs="Arial"/>
          <w:b/>
          <w:sz w:val="24"/>
          <w:szCs w:val="24"/>
          <w:lang w:eastAsia="es-ES"/>
        </w:rPr>
      </w:pPr>
      <w:r w:rsidRPr="00D913CD">
        <w:rPr>
          <w:rFonts w:ascii="Arial" w:eastAsia="Times New Roman" w:hAnsi="Arial" w:cs="Arial"/>
          <w:b/>
          <w:sz w:val="24"/>
          <w:szCs w:val="24"/>
          <w:lang w:eastAsia="es-ES"/>
        </w:rPr>
        <w:lastRenderedPageBreak/>
        <w:t>DICTAMEN</w:t>
      </w:r>
    </w:p>
    <w:p w:rsidR="00261B03" w:rsidRDefault="00261B03" w:rsidP="00D913CD">
      <w:pPr>
        <w:widowControl w:val="0"/>
        <w:spacing w:after="0" w:line="360" w:lineRule="auto"/>
        <w:jc w:val="both"/>
        <w:rPr>
          <w:rFonts w:ascii="Arial" w:eastAsia="Times New Roman" w:hAnsi="Arial" w:cs="Arial"/>
          <w:sz w:val="24"/>
          <w:szCs w:val="24"/>
          <w:lang w:eastAsia="es-ES"/>
        </w:rPr>
      </w:pPr>
    </w:p>
    <w:p w:rsidR="00261B03" w:rsidRPr="00D913CD" w:rsidRDefault="00261B03" w:rsidP="006B778D">
      <w:pPr>
        <w:widowControl w:val="0"/>
        <w:spacing w:after="0" w:line="360" w:lineRule="auto"/>
        <w:jc w:val="both"/>
        <w:rPr>
          <w:rFonts w:ascii="Arial" w:eastAsia="Times New Roman" w:hAnsi="Arial" w:cs="Arial"/>
          <w:sz w:val="24"/>
          <w:szCs w:val="24"/>
          <w:lang w:eastAsia="es-ES"/>
        </w:rPr>
      </w:pPr>
      <w:r w:rsidRPr="00D913CD">
        <w:rPr>
          <w:rFonts w:ascii="Arial" w:eastAsia="Times New Roman" w:hAnsi="Arial" w:cs="Arial"/>
          <w:sz w:val="24"/>
          <w:szCs w:val="24"/>
          <w:lang w:eastAsia="es-ES"/>
        </w:rPr>
        <w:t>El Tribu</w:t>
      </w:r>
      <w:r>
        <w:rPr>
          <w:rFonts w:ascii="Arial" w:eastAsia="Times New Roman" w:hAnsi="Arial" w:cs="Arial"/>
          <w:sz w:val="24"/>
          <w:szCs w:val="24"/>
          <w:lang w:eastAsia="es-ES"/>
        </w:rPr>
        <w:t>nal de Cuentas ha examinado el P</w:t>
      </w:r>
      <w:r w:rsidRPr="00D913CD">
        <w:rPr>
          <w:rFonts w:ascii="Arial" w:eastAsia="Times New Roman" w:hAnsi="Arial" w:cs="Arial"/>
          <w:sz w:val="24"/>
          <w:szCs w:val="24"/>
          <w:lang w:eastAsia="es-ES"/>
        </w:rPr>
        <w:t xml:space="preserve">royecto de </w:t>
      </w:r>
      <w:r>
        <w:rPr>
          <w:rFonts w:ascii="Arial" w:eastAsia="Times New Roman" w:hAnsi="Arial" w:cs="Arial"/>
          <w:sz w:val="24"/>
          <w:szCs w:val="24"/>
          <w:lang w:eastAsia="es-ES"/>
        </w:rPr>
        <w:t>Modificación Presupuestal</w:t>
      </w:r>
      <w:r w:rsidRPr="00D913CD">
        <w:rPr>
          <w:rFonts w:ascii="Arial" w:eastAsia="Times New Roman" w:hAnsi="Arial" w:cs="Arial"/>
          <w:sz w:val="24"/>
          <w:szCs w:val="24"/>
          <w:lang w:eastAsia="es-ES"/>
        </w:rPr>
        <w:t xml:space="preserve"> </w:t>
      </w:r>
      <w:r>
        <w:rPr>
          <w:rFonts w:ascii="Arial" w:eastAsia="Times New Roman" w:hAnsi="Arial" w:cs="Arial"/>
          <w:sz w:val="24"/>
          <w:szCs w:val="24"/>
          <w:lang w:eastAsia="es-ES"/>
        </w:rPr>
        <w:t>para el periodo 2018-2020</w:t>
      </w:r>
      <w:r w:rsidRPr="00D913CD">
        <w:rPr>
          <w:rFonts w:ascii="Arial" w:eastAsia="Times New Roman" w:hAnsi="Arial" w:cs="Arial"/>
          <w:sz w:val="24"/>
          <w:szCs w:val="24"/>
          <w:lang w:eastAsia="es-ES"/>
        </w:rPr>
        <w:t xml:space="preserve"> de la Intendencia de Maldonado. Toda la  informa</w:t>
      </w:r>
      <w:r>
        <w:rPr>
          <w:rFonts w:ascii="Arial" w:eastAsia="Times New Roman" w:hAnsi="Arial" w:cs="Arial"/>
          <w:sz w:val="24"/>
          <w:szCs w:val="24"/>
          <w:lang w:eastAsia="es-ES"/>
        </w:rPr>
        <w:t>ción incluida en el referido P</w:t>
      </w:r>
      <w:r w:rsidRPr="00D913CD">
        <w:rPr>
          <w:rFonts w:ascii="Arial" w:eastAsia="Times New Roman" w:hAnsi="Arial" w:cs="Arial"/>
          <w:sz w:val="24"/>
          <w:szCs w:val="24"/>
          <w:lang w:eastAsia="es-ES"/>
        </w:rPr>
        <w:t>royecto y los supuestos sobre los que se basa son responsabilidad del Organismo que los emite. La responsabilidad del Tribunal de Cuentas es ex</w:t>
      </w:r>
      <w:r>
        <w:rPr>
          <w:rFonts w:ascii="Arial" w:eastAsia="Times New Roman" w:hAnsi="Arial" w:cs="Arial"/>
          <w:sz w:val="24"/>
          <w:szCs w:val="24"/>
          <w:lang w:eastAsia="es-ES"/>
        </w:rPr>
        <w:t>presar una opinión sobre dicho P</w:t>
      </w:r>
      <w:r w:rsidRPr="00D913CD">
        <w:rPr>
          <w:rFonts w:ascii="Arial" w:eastAsia="Times New Roman" w:hAnsi="Arial" w:cs="Arial"/>
          <w:sz w:val="24"/>
          <w:szCs w:val="24"/>
          <w:lang w:eastAsia="es-ES"/>
        </w:rPr>
        <w:t>roye</w:t>
      </w:r>
      <w:r>
        <w:rPr>
          <w:rFonts w:ascii="Arial" w:eastAsia="Times New Roman" w:hAnsi="Arial" w:cs="Arial"/>
          <w:sz w:val="24"/>
          <w:szCs w:val="24"/>
          <w:lang w:eastAsia="es-ES"/>
        </w:rPr>
        <w:t>cto de Presupuesto, de acuerdo con</w:t>
      </w:r>
      <w:r w:rsidRPr="00D913CD">
        <w:rPr>
          <w:rFonts w:ascii="Arial" w:eastAsia="Times New Roman" w:hAnsi="Arial" w:cs="Arial"/>
          <w:sz w:val="24"/>
          <w:szCs w:val="24"/>
          <w:lang w:eastAsia="es-ES"/>
        </w:rPr>
        <w:t xml:space="preserve"> lo dispuesto por los Artículos 211 Literal A) y 225 de la Constitución de la República y establecer, en caso que corresponda, los hallazgos realizados en relación con el cumplimiento de las normas constitucionales, legales y reglamen</w:t>
      </w:r>
      <w:r w:rsidR="00034423">
        <w:rPr>
          <w:rFonts w:ascii="Arial" w:eastAsia="Times New Roman" w:hAnsi="Arial" w:cs="Arial"/>
          <w:sz w:val="24"/>
          <w:szCs w:val="24"/>
          <w:lang w:eastAsia="es-ES"/>
        </w:rPr>
        <w:t>tarias que resulten aplicables.</w:t>
      </w:r>
    </w:p>
    <w:p w:rsidR="00261B03" w:rsidRPr="00D913CD" w:rsidRDefault="00261B03" w:rsidP="006B778D">
      <w:pPr>
        <w:widowControl w:val="0"/>
        <w:spacing w:after="0" w:line="360" w:lineRule="auto"/>
        <w:jc w:val="both"/>
        <w:rPr>
          <w:rFonts w:ascii="Arial" w:eastAsia="Times New Roman" w:hAnsi="Arial" w:cs="Arial"/>
          <w:b/>
          <w:sz w:val="24"/>
          <w:szCs w:val="24"/>
          <w:lang w:eastAsia="es-ES"/>
        </w:rPr>
      </w:pPr>
    </w:p>
    <w:p w:rsidR="00261B03" w:rsidRPr="00D913CD" w:rsidRDefault="00261B03" w:rsidP="006B778D">
      <w:pPr>
        <w:widowControl w:val="0"/>
        <w:spacing w:after="0" w:line="360" w:lineRule="auto"/>
        <w:jc w:val="both"/>
        <w:rPr>
          <w:rFonts w:ascii="Arial" w:eastAsia="Times New Roman" w:hAnsi="Arial" w:cs="Arial"/>
          <w:b/>
          <w:sz w:val="24"/>
          <w:szCs w:val="24"/>
          <w:lang w:eastAsia="es-ES"/>
        </w:rPr>
      </w:pPr>
      <w:r w:rsidRPr="00D913CD">
        <w:rPr>
          <w:rFonts w:ascii="Arial" w:eastAsia="Times New Roman" w:hAnsi="Arial" w:cs="Arial"/>
          <w:b/>
          <w:sz w:val="24"/>
          <w:szCs w:val="24"/>
          <w:lang w:eastAsia="es-ES"/>
        </w:rPr>
        <w:t>1) Antecedentes</w:t>
      </w:r>
    </w:p>
    <w:p w:rsidR="00261B03" w:rsidRPr="00D913CD" w:rsidRDefault="00261B03" w:rsidP="00D913CD">
      <w:pPr>
        <w:widowControl w:val="0"/>
        <w:spacing w:after="0" w:line="360" w:lineRule="auto"/>
        <w:jc w:val="both"/>
        <w:rPr>
          <w:rFonts w:ascii="Arial" w:eastAsia="Times New Roman" w:hAnsi="Arial" w:cs="Arial"/>
          <w:sz w:val="24"/>
          <w:szCs w:val="24"/>
          <w:lang w:eastAsia="es-ES"/>
        </w:rPr>
      </w:pPr>
      <w:r w:rsidRPr="00D913CD">
        <w:rPr>
          <w:rFonts w:ascii="Arial" w:eastAsia="Times New Roman" w:hAnsi="Arial" w:cs="Arial"/>
          <w:b/>
          <w:bCs/>
          <w:sz w:val="24"/>
          <w:szCs w:val="24"/>
          <w:lang w:eastAsia="es-ES"/>
        </w:rPr>
        <w:t>1.1)</w:t>
      </w:r>
      <w:r w:rsidRPr="00D913CD">
        <w:rPr>
          <w:rFonts w:ascii="Arial" w:eastAsia="Times New Roman" w:hAnsi="Arial" w:cs="Arial"/>
          <w:sz w:val="24"/>
          <w:szCs w:val="24"/>
          <w:lang w:eastAsia="es-ES"/>
        </w:rPr>
        <w:t xml:space="preserve"> El Proyecto de </w:t>
      </w:r>
      <w:r>
        <w:rPr>
          <w:rFonts w:ascii="Arial" w:eastAsia="Times New Roman" w:hAnsi="Arial" w:cs="Arial"/>
          <w:sz w:val="24"/>
          <w:szCs w:val="24"/>
          <w:lang w:eastAsia="es-ES"/>
        </w:rPr>
        <w:t xml:space="preserve">Modificación </w:t>
      </w:r>
      <w:r w:rsidRPr="00D913CD">
        <w:rPr>
          <w:rFonts w:ascii="Arial" w:eastAsia="Times New Roman" w:hAnsi="Arial" w:cs="Arial"/>
          <w:sz w:val="24"/>
          <w:szCs w:val="24"/>
          <w:lang w:eastAsia="es-ES"/>
        </w:rPr>
        <w:t>Presupuest</w:t>
      </w:r>
      <w:r>
        <w:rPr>
          <w:rFonts w:ascii="Arial" w:eastAsia="Times New Roman" w:hAnsi="Arial" w:cs="Arial"/>
          <w:sz w:val="24"/>
          <w:szCs w:val="24"/>
          <w:lang w:eastAsia="es-ES"/>
        </w:rPr>
        <w:t>al</w:t>
      </w:r>
      <w:r w:rsidRPr="00D913CD">
        <w:rPr>
          <w:rFonts w:ascii="Arial" w:eastAsia="Times New Roman" w:hAnsi="Arial" w:cs="Arial"/>
          <w:sz w:val="24"/>
          <w:szCs w:val="24"/>
          <w:lang w:eastAsia="es-ES"/>
        </w:rPr>
        <w:t xml:space="preserve"> </w:t>
      </w:r>
      <w:r>
        <w:rPr>
          <w:rFonts w:ascii="Arial" w:eastAsia="Times New Roman" w:hAnsi="Arial" w:cs="Arial"/>
          <w:sz w:val="24"/>
          <w:szCs w:val="24"/>
          <w:lang w:eastAsia="es-ES"/>
        </w:rPr>
        <w:t>in</w:t>
      </w:r>
      <w:r w:rsidRPr="00D913CD">
        <w:rPr>
          <w:rFonts w:ascii="Arial" w:eastAsia="Times New Roman" w:hAnsi="Arial" w:cs="Arial"/>
          <w:sz w:val="24"/>
          <w:szCs w:val="24"/>
          <w:lang w:eastAsia="es-ES"/>
        </w:rPr>
        <w:t>gres</w:t>
      </w:r>
      <w:r>
        <w:rPr>
          <w:rFonts w:ascii="Arial" w:eastAsia="Times New Roman" w:hAnsi="Arial" w:cs="Arial"/>
          <w:sz w:val="24"/>
          <w:szCs w:val="24"/>
          <w:lang w:eastAsia="es-ES"/>
        </w:rPr>
        <w:t>ó a la Junta Departamental el 29/06/2018</w:t>
      </w:r>
      <w:r w:rsidRPr="00B2470F">
        <w:rPr>
          <w:rFonts w:ascii="Arial" w:eastAsia="Times New Roman" w:hAnsi="Arial" w:cs="Arial"/>
          <w:sz w:val="24"/>
          <w:szCs w:val="24"/>
          <w:lang w:eastAsia="es-ES"/>
        </w:rPr>
        <w:t xml:space="preserve">, de conformidad </w:t>
      </w:r>
      <w:r>
        <w:rPr>
          <w:rFonts w:ascii="Arial" w:eastAsia="Times New Roman" w:hAnsi="Arial" w:cs="Arial"/>
          <w:sz w:val="24"/>
          <w:szCs w:val="24"/>
          <w:lang w:eastAsia="es-ES"/>
        </w:rPr>
        <w:t>con el plazo establecido por</w:t>
      </w:r>
      <w:r w:rsidRPr="00B2470F">
        <w:rPr>
          <w:rFonts w:ascii="Arial" w:eastAsia="Times New Roman" w:hAnsi="Arial" w:cs="Arial"/>
          <w:sz w:val="24"/>
          <w:szCs w:val="24"/>
          <w:lang w:eastAsia="es-ES"/>
        </w:rPr>
        <w:t xml:space="preserve"> el </w:t>
      </w:r>
      <w:r>
        <w:rPr>
          <w:rFonts w:ascii="Arial" w:eastAsia="Times New Roman" w:hAnsi="Arial" w:cs="Arial"/>
          <w:sz w:val="24"/>
          <w:szCs w:val="24"/>
          <w:lang w:eastAsia="es-ES"/>
        </w:rPr>
        <w:t>A</w:t>
      </w:r>
      <w:r w:rsidRPr="00B2470F">
        <w:rPr>
          <w:rFonts w:ascii="Arial" w:eastAsia="Times New Roman" w:hAnsi="Arial" w:cs="Arial"/>
          <w:sz w:val="24"/>
          <w:szCs w:val="24"/>
          <w:lang w:eastAsia="es-ES"/>
        </w:rPr>
        <w:t>rtículo 21</w:t>
      </w:r>
      <w:r>
        <w:rPr>
          <w:rFonts w:ascii="Arial" w:eastAsia="Times New Roman" w:hAnsi="Arial" w:cs="Arial"/>
          <w:sz w:val="24"/>
          <w:szCs w:val="24"/>
          <w:lang w:eastAsia="es-ES"/>
        </w:rPr>
        <w:t>4</w:t>
      </w:r>
      <w:r w:rsidRPr="00B2470F">
        <w:rPr>
          <w:rFonts w:ascii="Arial" w:eastAsia="Times New Roman" w:hAnsi="Arial" w:cs="Arial"/>
          <w:sz w:val="24"/>
          <w:szCs w:val="24"/>
          <w:lang w:eastAsia="es-ES"/>
        </w:rPr>
        <w:t xml:space="preserve">, aplicable por reenvío del </w:t>
      </w:r>
      <w:r>
        <w:rPr>
          <w:rFonts w:ascii="Arial" w:eastAsia="Times New Roman" w:hAnsi="Arial" w:cs="Arial"/>
          <w:sz w:val="24"/>
          <w:szCs w:val="24"/>
          <w:lang w:eastAsia="es-ES"/>
        </w:rPr>
        <w:t>A</w:t>
      </w:r>
      <w:r w:rsidRPr="00B2470F">
        <w:rPr>
          <w:rFonts w:ascii="Arial" w:eastAsia="Times New Roman" w:hAnsi="Arial" w:cs="Arial"/>
          <w:sz w:val="24"/>
          <w:szCs w:val="24"/>
          <w:lang w:eastAsia="es-ES"/>
        </w:rPr>
        <w:t xml:space="preserve">rtículo 222 de la Constitución de la </w:t>
      </w:r>
      <w:r w:rsidRPr="00AD118E">
        <w:rPr>
          <w:rFonts w:ascii="Arial" w:eastAsia="Times New Roman" w:hAnsi="Arial" w:cs="Arial"/>
          <w:sz w:val="24"/>
          <w:szCs w:val="24"/>
          <w:lang w:eastAsia="es-ES"/>
        </w:rPr>
        <w:t>República.</w:t>
      </w:r>
    </w:p>
    <w:p w:rsidR="00261B03" w:rsidRPr="00D913CD" w:rsidRDefault="00261B03" w:rsidP="002C2986">
      <w:pPr>
        <w:widowControl w:val="0"/>
        <w:spacing w:after="0" w:line="360" w:lineRule="auto"/>
        <w:jc w:val="both"/>
        <w:rPr>
          <w:rFonts w:ascii="Arial" w:eastAsia="Times New Roman" w:hAnsi="Arial" w:cs="Arial"/>
          <w:bCs/>
          <w:sz w:val="24"/>
          <w:szCs w:val="24"/>
          <w:lang w:eastAsia="es-ES"/>
        </w:rPr>
      </w:pPr>
      <w:r w:rsidRPr="00D913CD">
        <w:rPr>
          <w:rFonts w:ascii="Arial" w:eastAsia="Times New Roman" w:hAnsi="Arial" w:cs="Arial"/>
          <w:b/>
          <w:sz w:val="24"/>
          <w:szCs w:val="24"/>
          <w:lang w:eastAsia="es-ES"/>
        </w:rPr>
        <w:t>1.2)</w:t>
      </w:r>
      <w:r w:rsidRPr="00D913CD">
        <w:rPr>
          <w:rFonts w:ascii="Arial" w:eastAsia="Times New Roman" w:hAnsi="Arial" w:cs="Arial"/>
          <w:bCs/>
          <w:sz w:val="24"/>
          <w:szCs w:val="24"/>
          <w:lang w:eastAsia="es-ES"/>
        </w:rPr>
        <w:t xml:space="preserve"> El Legislativo Depa</w:t>
      </w:r>
      <w:r>
        <w:rPr>
          <w:rFonts w:ascii="Arial" w:eastAsia="Times New Roman" w:hAnsi="Arial" w:cs="Arial"/>
          <w:bCs/>
          <w:sz w:val="24"/>
          <w:szCs w:val="24"/>
          <w:lang w:eastAsia="es-ES"/>
        </w:rPr>
        <w:t xml:space="preserve">rtamental en Sesión de  fecha 9/10/2018, por Decreto 3996/2018 </w:t>
      </w:r>
      <w:r w:rsidRPr="00484C9D">
        <w:rPr>
          <w:rFonts w:ascii="Arial" w:eastAsia="Times New Roman" w:hAnsi="Arial" w:cs="Arial"/>
          <w:bCs/>
          <w:sz w:val="24"/>
          <w:szCs w:val="24"/>
          <w:lang w:eastAsia="es-ES"/>
        </w:rPr>
        <w:t>aprobó en general por mayoría de 19 votos en 26 presentes y en particular por las mayorías requeridas, el Proyecto remitido por el Ejecutivo Departamental</w:t>
      </w:r>
      <w:r>
        <w:rPr>
          <w:rFonts w:ascii="Arial" w:eastAsia="Times New Roman" w:hAnsi="Arial" w:cs="Arial"/>
          <w:bCs/>
          <w:sz w:val="24"/>
          <w:szCs w:val="24"/>
          <w:lang w:eastAsia="es-ES"/>
        </w:rPr>
        <w:t>.</w:t>
      </w:r>
    </w:p>
    <w:p w:rsidR="00261B03" w:rsidRDefault="00261B03" w:rsidP="006B778D">
      <w:pPr>
        <w:widowControl w:val="0"/>
        <w:spacing w:after="0" w:line="360" w:lineRule="auto"/>
        <w:jc w:val="both"/>
        <w:rPr>
          <w:rFonts w:ascii="Arial" w:eastAsia="Times New Roman" w:hAnsi="Arial" w:cs="Arial"/>
          <w:bCs/>
          <w:sz w:val="24"/>
          <w:szCs w:val="24"/>
          <w:lang w:eastAsia="es-ES"/>
        </w:rPr>
      </w:pPr>
      <w:r w:rsidRPr="00D913CD">
        <w:rPr>
          <w:rFonts w:ascii="Arial" w:eastAsia="Times New Roman" w:hAnsi="Arial" w:cs="Arial"/>
          <w:b/>
          <w:sz w:val="24"/>
          <w:szCs w:val="24"/>
          <w:lang w:eastAsia="es-ES"/>
        </w:rPr>
        <w:t>1.3)</w:t>
      </w:r>
      <w:r>
        <w:rPr>
          <w:rFonts w:ascii="Arial" w:eastAsia="Times New Roman" w:hAnsi="Arial" w:cs="Arial"/>
          <w:bCs/>
          <w:sz w:val="24"/>
          <w:szCs w:val="24"/>
          <w:lang w:eastAsia="es-ES"/>
        </w:rPr>
        <w:t xml:space="preserve"> Por Oficio N° 343/2018, de fecha 9/10/2018</w:t>
      </w:r>
      <w:r w:rsidRPr="00D913CD">
        <w:rPr>
          <w:rFonts w:ascii="Arial" w:eastAsia="Times New Roman" w:hAnsi="Arial" w:cs="Arial"/>
          <w:bCs/>
          <w:sz w:val="24"/>
          <w:szCs w:val="24"/>
          <w:lang w:eastAsia="es-ES"/>
        </w:rPr>
        <w:t>, la Junta Departamental de Maldonado remitió las actuaciones a efectos de recabar el dictamen de este Tribunal, ingresando las mism</w:t>
      </w:r>
      <w:r>
        <w:rPr>
          <w:rFonts w:ascii="Arial" w:eastAsia="Times New Roman" w:hAnsi="Arial" w:cs="Arial"/>
          <w:bCs/>
          <w:sz w:val="24"/>
          <w:szCs w:val="24"/>
          <w:lang w:eastAsia="es-ES"/>
        </w:rPr>
        <w:t xml:space="preserve">as oficialmente en Sesión del 18/10/2018 </w:t>
      </w:r>
      <w:r w:rsidRPr="00D913CD">
        <w:rPr>
          <w:rFonts w:ascii="Arial" w:eastAsia="Times New Roman" w:hAnsi="Arial" w:cs="Arial"/>
          <w:bCs/>
          <w:sz w:val="24"/>
          <w:szCs w:val="24"/>
          <w:lang w:eastAsia="es-ES"/>
        </w:rPr>
        <w:t>(Ordenanza N° 51 de fecha 2</w:t>
      </w:r>
      <w:r>
        <w:rPr>
          <w:rFonts w:ascii="Arial" w:eastAsia="Times New Roman" w:hAnsi="Arial" w:cs="Arial"/>
          <w:bCs/>
          <w:sz w:val="24"/>
          <w:szCs w:val="24"/>
          <w:lang w:eastAsia="es-ES"/>
        </w:rPr>
        <w:t>2</w:t>
      </w:r>
      <w:r w:rsidRPr="00D913CD">
        <w:rPr>
          <w:rFonts w:ascii="Arial" w:eastAsia="Times New Roman" w:hAnsi="Arial" w:cs="Arial"/>
          <w:bCs/>
          <w:sz w:val="24"/>
          <w:szCs w:val="24"/>
          <w:lang w:eastAsia="es-ES"/>
        </w:rPr>
        <w:t>/11/72</w:t>
      </w:r>
      <w:r>
        <w:rPr>
          <w:rFonts w:ascii="Arial" w:eastAsia="Times New Roman" w:hAnsi="Arial" w:cs="Arial"/>
          <w:bCs/>
          <w:sz w:val="24"/>
          <w:szCs w:val="24"/>
          <w:lang w:eastAsia="es-ES"/>
        </w:rPr>
        <w:t xml:space="preserve"> y No. 70 del 20/07/94</w:t>
      </w:r>
      <w:r w:rsidR="00034423">
        <w:rPr>
          <w:rFonts w:ascii="Arial" w:eastAsia="Times New Roman" w:hAnsi="Arial" w:cs="Arial"/>
          <w:bCs/>
          <w:sz w:val="24"/>
          <w:szCs w:val="24"/>
          <w:lang w:eastAsia="es-ES"/>
        </w:rPr>
        <w:t>).</w:t>
      </w:r>
    </w:p>
    <w:p w:rsidR="00034423" w:rsidRDefault="00034423" w:rsidP="006B778D">
      <w:pPr>
        <w:widowControl w:val="0"/>
        <w:spacing w:after="0" w:line="360" w:lineRule="auto"/>
        <w:jc w:val="both"/>
        <w:rPr>
          <w:rFonts w:ascii="Arial" w:eastAsia="Times New Roman" w:hAnsi="Arial" w:cs="Arial"/>
          <w:bCs/>
          <w:sz w:val="24"/>
          <w:szCs w:val="24"/>
          <w:lang w:eastAsia="es-ES"/>
        </w:rPr>
      </w:pPr>
    </w:p>
    <w:p w:rsidR="00034423" w:rsidRDefault="00034423" w:rsidP="006B778D">
      <w:pPr>
        <w:widowControl w:val="0"/>
        <w:spacing w:after="0" w:line="360" w:lineRule="auto"/>
        <w:jc w:val="both"/>
        <w:rPr>
          <w:rFonts w:ascii="Arial" w:eastAsia="Times New Roman" w:hAnsi="Arial" w:cs="Arial"/>
          <w:bCs/>
          <w:sz w:val="24"/>
          <w:szCs w:val="24"/>
          <w:lang w:eastAsia="es-ES"/>
        </w:rPr>
      </w:pPr>
    </w:p>
    <w:p w:rsidR="00034423" w:rsidRDefault="00034423" w:rsidP="006B778D">
      <w:pPr>
        <w:widowControl w:val="0"/>
        <w:spacing w:after="0" w:line="360" w:lineRule="auto"/>
        <w:jc w:val="both"/>
        <w:rPr>
          <w:rFonts w:ascii="Arial" w:eastAsia="Times New Roman" w:hAnsi="Arial" w:cs="Arial"/>
          <w:bCs/>
          <w:sz w:val="24"/>
          <w:szCs w:val="24"/>
          <w:lang w:eastAsia="es-ES"/>
        </w:rPr>
      </w:pPr>
    </w:p>
    <w:p w:rsidR="00034423" w:rsidRPr="00D913CD" w:rsidRDefault="00034423" w:rsidP="006B778D">
      <w:pPr>
        <w:widowControl w:val="0"/>
        <w:spacing w:after="0" w:line="360" w:lineRule="auto"/>
        <w:jc w:val="both"/>
        <w:rPr>
          <w:rFonts w:ascii="Arial" w:eastAsia="Times New Roman" w:hAnsi="Arial" w:cs="Arial"/>
          <w:bCs/>
          <w:sz w:val="24"/>
          <w:szCs w:val="24"/>
          <w:lang w:eastAsia="es-ES"/>
        </w:rPr>
      </w:pPr>
    </w:p>
    <w:p w:rsidR="00261B03" w:rsidRDefault="00261B03" w:rsidP="006B778D">
      <w:pPr>
        <w:spacing w:after="0" w:line="360" w:lineRule="auto"/>
        <w:jc w:val="both"/>
        <w:rPr>
          <w:rFonts w:ascii="Arial" w:hAnsi="Arial" w:cs="Arial"/>
          <w:sz w:val="24"/>
          <w:szCs w:val="24"/>
        </w:rPr>
      </w:pPr>
      <w:r w:rsidRPr="00480EA1">
        <w:rPr>
          <w:rFonts w:ascii="Arial" w:hAnsi="Arial" w:cs="Arial"/>
          <w:b/>
          <w:sz w:val="24"/>
          <w:szCs w:val="24"/>
        </w:rPr>
        <w:t>2)</w:t>
      </w:r>
      <w:r>
        <w:rPr>
          <w:rFonts w:ascii="Arial" w:hAnsi="Arial" w:cs="Arial"/>
          <w:sz w:val="24"/>
          <w:szCs w:val="24"/>
        </w:rPr>
        <w:t xml:space="preserve"> </w:t>
      </w:r>
      <w:r w:rsidRPr="00C05425">
        <w:rPr>
          <w:rFonts w:ascii="Arial" w:hAnsi="Arial" w:cs="Arial"/>
          <w:b/>
          <w:sz w:val="24"/>
          <w:szCs w:val="24"/>
        </w:rPr>
        <w:t>Análisis de la estimación de recursos</w:t>
      </w:r>
    </w:p>
    <w:p w:rsidR="00261B03" w:rsidRDefault="00261B03" w:rsidP="006B778D">
      <w:pPr>
        <w:widowControl w:val="0"/>
        <w:spacing w:after="0" w:line="360" w:lineRule="auto"/>
        <w:jc w:val="both"/>
        <w:rPr>
          <w:rFonts w:ascii="Arial" w:eastAsia="Times New Roman" w:hAnsi="Arial" w:cs="Arial"/>
          <w:kern w:val="2"/>
          <w:sz w:val="24"/>
          <w:szCs w:val="24"/>
          <w:lang w:eastAsia="ar-SA"/>
        </w:rPr>
      </w:pPr>
      <w:r>
        <w:rPr>
          <w:rFonts w:ascii="Arial" w:eastAsia="Times New Roman" w:hAnsi="Arial" w:cs="Arial"/>
          <w:b/>
          <w:bCs/>
          <w:snapToGrid w:val="0"/>
          <w:sz w:val="24"/>
          <w:szCs w:val="24"/>
          <w:lang w:eastAsia="es-ES"/>
        </w:rPr>
        <w:t>2.1)</w:t>
      </w:r>
      <w:r>
        <w:rPr>
          <w:rFonts w:ascii="Arial" w:eastAsia="Times New Roman" w:hAnsi="Arial" w:cs="Arial"/>
          <w:b/>
          <w:bCs/>
          <w:snapToGrid w:val="0"/>
          <w:sz w:val="20"/>
          <w:szCs w:val="20"/>
          <w:lang w:eastAsia="es-ES"/>
        </w:rPr>
        <w:t xml:space="preserve"> </w:t>
      </w:r>
      <w:r>
        <w:rPr>
          <w:rFonts w:ascii="Arial" w:eastAsia="Times New Roman" w:hAnsi="Arial" w:cs="Arial"/>
          <w:snapToGrid w:val="0"/>
          <w:sz w:val="24"/>
          <w:szCs w:val="24"/>
          <w:lang w:eastAsia="es-ES"/>
        </w:rPr>
        <w:t xml:space="preserve">La </w:t>
      </w:r>
      <w:r>
        <w:rPr>
          <w:rFonts w:ascii="Arial" w:eastAsia="Times New Roman" w:hAnsi="Arial" w:cs="Arial"/>
          <w:kern w:val="2"/>
          <w:sz w:val="24"/>
          <w:szCs w:val="24"/>
          <w:lang w:eastAsia="ar-SA"/>
        </w:rPr>
        <w:t>previsión de recursos para los Ejercicios 2018 a 2020 se presenta en forma comparativa con el presupuesto vigente y se resume, en pesos uruguayos expresados a valores del 31 de diciembre 2018, de acuerdo con el siguiente detalle:</w:t>
      </w:r>
    </w:p>
    <w:p w:rsidR="00261B03" w:rsidRDefault="00261B03" w:rsidP="000D17BD">
      <w:pPr>
        <w:widowControl w:val="0"/>
        <w:spacing w:after="0" w:line="360" w:lineRule="auto"/>
        <w:jc w:val="both"/>
        <w:rPr>
          <w:rFonts w:ascii="Arial" w:eastAsia="Times New Roman" w:hAnsi="Arial" w:cs="Arial"/>
          <w:kern w:val="2"/>
          <w:sz w:val="24"/>
          <w:szCs w:val="24"/>
          <w:lang w:eastAsia="ar-SA"/>
        </w:rPr>
      </w:pPr>
    </w:p>
    <w:tbl>
      <w:tblPr>
        <w:tblW w:w="8540" w:type="dxa"/>
        <w:tblInd w:w="55" w:type="dxa"/>
        <w:tblCellMar>
          <w:left w:w="70" w:type="dxa"/>
          <w:right w:w="70" w:type="dxa"/>
        </w:tblCellMar>
        <w:tblLook w:val="04A0" w:firstRow="1" w:lastRow="0" w:firstColumn="1" w:lastColumn="0" w:noHBand="0" w:noVBand="1"/>
      </w:tblPr>
      <w:tblGrid>
        <w:gridCol w:w="2364"/>
        <w:gridCol w:w="1544"/>
        <w:gridCol w:w="1544"/>
        <w:gridCol w:w="1544"/>
        <w:gridCol w:w="1544"/>
      </w:tblGrid>
      <w:tr w:rsidR="00261B03" w:rsidRPr="004E3B47" w:rsidTr="004E3B47">
        <w:trPr>
          <w:trHeight w:val="310"/>
        </w:trPr>
        <w:tc>
          <w:tcPr>
            <w:tcW w:w="2364" w:type="dxa"/>
            <w:tcBorders>
              <w:top w:val="single" w:sz="4" w:space="0" w:color="auto"/>
              <w:left w:val="single" w:sz="4" w:space="0" w:color="auto"/>
              <w:bottom w:val="nil"/>
              <w:right w:val="single" w:sz="4" w:space="0" w:color="auto"/>
            </w:tcBorders>
            <w:shd w:val="clear" w:color="auto" w:fill="auto"/>
            <w:noWrap/>
            <w:vAlign w:val="bottom"/>
            <w:hideMark/>
          </w:tcPr>
          <w:p w:rsidR="00261B03" w:rsidRPr="004E3B47" w:rsidRDefault="00261B03" w:rsidP="004E3B47">
            <w:pPr>
              <w:spacing w:after="0" w:line="240" w:lineRule="auto"/>
              <w:rPr>
                <w:rFonts w:eastAsia="Times New Roman"/>
                <w:color w:val="000000"/>
                <w:lang w:eastAsia="es-ES"/>
              </w:rPr>
            </w:pPr>
            <w:r w:rsidRPr="004E3B47">
              <w:rPr>
                <w:rFonts w:eastAsia="Times New Roman"/>
                <w:color w:val="000000"/>
                <w:lang w:eastAsia="es-ES"/>
              </w:rPr>
              <w:t> </w:t>
            </w:r>
          </w:p>
        </w:tc>
        <w:tc>
          <w:tcPr>
            <w:tcW w:w="1544" w:type="dxa"/>
            <w:tcBorders>
              <w:top w:val="single" w:sz="4" w:space="0" w:color="auto"/>
              <w:left w:val="nil"/>
              <w:bottom w:val="nil"/>
              <w:right w:val="single" w:sz="4" w:space="0" w:color="auto"/>
            </w:tcBorders>
            <w:shd w:val="clear" w:color="auto" w:fill="auto"/>
            <w:noWrap/>
            <w:vAlign w:val="center"/>
            <w:hideMark/>
          </w:tcPr>
          <w:p w:rsidR="00261B03" w:rsidRPr="004E3B47" w:rsidRDefault="00261B03" w:rsidP="004E3B47">
            <w:pPr>
              <w:spacing w:after="0" w:line="240" w:lineRule="auto"/>
              <w:jc w:val="center"/>
              <w:rPr>
                <w:rFonts w:ascii="Arial" w:eastAsia="Times New Roman" w:hAnsi="Arial" w:cs="Arial"/>
                <w:b/>
                <w:bCs/>
                <w:color w:val="000000"/>
                <w:sz w:val="20"/>
                <w:szCs w:val="20"/>
                <w:lang w:eastAsia="es-ES"/>
              </w:rPr>
            </w:pPr>
            <w:r w:rsidRPr="004E3B47">
              <w:rPr>
                <w:rFonts w:ascii="Arial" w:eastAsia="Times New Roman" w:hAnsi="Arial" w:cs="Arial"/>
                <w:b/>
                <w:bCs/>
                <w:color w:val="000000"/>
                <w:sz w:val="20"/>
                <w:szCs w:val="20"/>
                <w:lang w:eastAsia="es-ES"/>
              </w:rPr>
              <w:t>Vigente</w:t>
            </w:r>
          </w:p>
        </w:tc>
        <w:tc>
          <w:tcPr>
            <w:tcW w:w="1544" w:type="dxa"/>
            <w:tcBorders>
              <w:top w:val="single" w:sz="4" w:space="0" w:color="auto"/>
              <w:left w:val="nil"/>
              <w:bottom w:val="nil"/>
              <w:right w:val="single" w:sz="4" w:space="0" w:color="auto"/>
            </w:tcBorders>
            <w:shd w:val="clear" w:color="auto" w:fill="auto"/>
            <w:noWrap/>
            <w:vAlign w:val="center"/>
            <w:hideMark/>
          </w:tcPr>
          <w:p w:rsidR="00261B03" w:rsidRPr="004E3B47" w:rsidRDefault="00261B03" w:rsidP="004E3B47">
            <w:pPr>
              <w:spacing w:after="0" w:line="240" w:lineRule="auto"/>
              <w:jc w:val="center"/>
              <w:rPr>
                <w:rFonts w:ascii="Arial" w:eastAsia="Times New Roman" w:hAnsi="Arial" w:cs="Arial"/>
                <w:b/>
                <w:bCs/>
                <w:color w:val="000000"/>
                <w:sz w:val="20"/>
                <w:szCs w:val="20"/>
                <w:lang w:eastAsia="es-ES"/>
              </w:rPr>
            </w:pPr>
            <w:r w:rsidRPr="004E3B47">
              <w:rPr>
                <w:rFonts w:ascii="Arial" w:eastAsia="Times New Roman" w:hAnsi="Arial" w:cs="Arial"/>
                <w:b/>
                <w:bCs/>
                <w:color w:val="000000"/>
                <w:sz w:val="20"/>
                <w:szCs w:val="20"/>
                <w:lang w:eastAsia="es-ES"/>
              </w:rPr>
              <w:t>Proyectado</w:t>
            </w:r>
          </w:p>
        </w:tc>
        <w:tc>
          <w:tcPr>
            <w:tcW w:w="1544" w:type="dxa"/>
            <w:tcBorders>
              <w:top w:val="single" w:sz="4" w:space="0" w:color="auto"/>
              <w:left w:val="nil"/>
              <w:bottom w:val="nil"/>
              <w:right w:val="single" w:sz="4" w:space="0" w:color="auto"/>
            </w:tcBorders>
            <w:shd w:val="clear" w:color="auto" w:fill="auto"/>
            <w:noWrap/>
            <w:vAlign w:val="center"/>
            <w:hideMark/>
          </w:tcPr>
          <w:p w:rsidR="00261B03" w:rsidRPr="004E3B47" w:rsidRDefault="00261B03" w:rsidP="004E3B47">
            <w:pPr>
              <w:spacing w:after="0" w:line="240" w:lineRule="auto"/>
              <w:jc w:val="center"/>
              <w:rPr>
                <w:rFonts w:ascii="Arial" w:eastAsia="Times New Roman" w:hAnsi="Arial" w:cs="Arial"/>
                <w:b/>
                <w:bCs/>
                <w:color w:val="000000"/>
                <w:sz w:val="20"/>
                <w:szCs w:val="20"/>
                <w:lang w:eastAsia="es-ES"/>
              </w:rPr>
            </w:pPr>
            <w:r w:rsidRPr="004E3B47">
              <w:rPr>
                <w:rFonts w:ascii="Arial" w:eastAsia="Times New Roman" w:hAnsi="Arial" w:cs="Arial"/>
                <w:b/>
                <w:bCs/>
                <w:color w:val="000000"/>
                <w:sz w:val="20"/>
                <w:szCs w:val="20"/>
                <w:lang w:eastAsia="es-ES"/>
              </w:rPr>
              <w:t>Proyectado</w:t>
            </w:r>
          </w:p>
        </w:tc>
        <w:tc>
          <w:tcPr>
            <w:tcW w:w="1544" w:type="dxa"/>
            <w:tcBorders>
              <w:top w:val="single" w:sz="4" w:space="0" w:color="auto"/>
              <w:left w:val="nil"/>
              <w:bottom w:val="nil"/>
              <w:right w:val="single" w:sz="4" w:space="0" w:color="auto"/>
            </w:tcBorders>
            <w:shd w:val="clear" w:color="auto" w:fill="auto"/>
            <w:noWrap/>
            <w:vAlign w:val="center"/>
            <w:hideMark/>
          </w:tcPr>
          <w:p w:rsidR="00261B03" w:rsidRPr="004E3B47" w:rsidRDefault="00261B03" w:rsidP="004E3B47">
            <w:pPr>
              <w:spacing w:after="0" w:line="240" w:lineRule="auto"/>
              <w:jc w:val="center"/>
              <w:rPr>
                <w:rFonts w:ascii="Arial" w:eastAsia="Times New Roman" w:hAnsi="Arial" w:cs="Arial"/>
                <w:b/>
                <w:bCs/>
                <w:color w:val="000000"/>
                <w:sz w:val="20"/>
                <w:szCs w:val="20"/>
                <w:lang w:eastAsia="es-ES"/>
              </w:rPr>
            </w:pPr>
            <w:r w:rsidRPr="004E3B47">
              <w:rPr>
                <w:rFonts w:ascii="Arial" w:eastAsia="Times New Roman" w:hAnsi="Arial" w:cs="Arial"/>
                <w:b/>
                <w:bCs/>
                <w:color w:val="000000"/>
                <w:sz w:val="20"/>
                <w:szCs w:val="20"/>
                <w:lang w:eastAsia="es-ES"/>
              </w:rPr>
              <w:t>Proyectado</w:t>
            </w:r>
          </w:p>
        </w:tc>
      </w:tr>
      <w:tr w:rsidR="00261B03" w:rsidRPr="004E3B47" w:rsidTr="004E3B47">
        <w:trPr>
          <w:trHeight w:val="310"/>
        </w:trPr>
        <w:tc>
          <w:tcPr>
            <w:tcW w:w="2364" w:type="dxa"/>
            <w:tcBorders>
              <w:top w:val="nil"/>
              <w:left w:val="single" w:sz="4" w:space="0" w:color="auto"/>
              <w:bottom w:val="single" w:sz="4" w:space="0" w:color="auto"/>
              <w:right w:val="single" w:sz="4" w:space="0" w:color="auto"/>
            </w:tcBorders>
            <w:shd w:val="clear" w:color="auto" w:fill="auto"/>
            <w:noWrap/>
            <w:vAlign w:val="center"/>
            <w:hideMark/>
          </w:tcPr>
          <w:p w:rsidR="00261B03" w:rsidRPr="004E3B47" w:rsidRDefault="00261B03" w:rsidP="004E3B47">
            <w:pPr>
              <w:spacing w:after="0" w:line="240" w:lineRule="auto"/>
              <w:jc w:val="center"/>
              <w:rPr>
                <w:rFonts w:ascii="Arial" w:eastAsia="Times New Roman" w:hAnsi="Arial" w:cs="Arial"/>
                <w:b/>
                <w:bCs/>
                <w:color w:val="000000"/>
                <w:sz w:val="20"/>
                <w:szCs w:val="20"/>
                <w:lang w:eastAsia="es-ES"/>
              </w:rPr>
            </w:pPr>
            <w:r w:rsidRPr="004E3B47">
              <w:rPr>
                <w:rFonts w:ascii="Arial" w:eastAsia="Times New Roman" w:hAnsi="Arial" w:cs="Arial"/>
                <w:b/>
                <w:bCs/>
                <w:color w:val="000000"/>
                <w:sz w:val="20"/>
                <w:szCs w:val="20"/>
                <w:lang w:eastAsia="es-ES"/>
              </w:rPr>
              <w:t>Origen</w:t>
            </w:r>
          </w:p>
        </w:tc>
        <w:tc>
          <w:tcPr>
            <w:tcW w:w="1544" w:type="dxa"/>
            <w:tcBorders>
              <w:top w:val="nil"/>
              <w:left w:val="nil"/>
              <w:bottom w:val="single" w:sz="4" w:space="0" w:color="auto"/>
              <w:right w:val="single" w:sz="4" w:space="0" w:color="auto"/>
            </w:tcBorders>
            <w:shd w:val="clear" w:color="auto" w:fill="auto"/>
            <w:noWrap/>
            <w:vAlign w:val="center"/>
            <w:hideMark/>
          </w:tcPr>
          <w:p w:rsidR="00261B03" w:rsidRPr="004E3B47" w:rsidRDefault="00261B03" w:rsidP="004E3B47">
            <w:pPr>
              <w:spacing w:after="0" w:line="240" w:lineRule="auto"/>
              <w:jc w:val="center"/>
              <w:rPr>
                <w:rFonts w:ascii="Arial" w:eastAsia="Times New Roman" w:hAnsi="Arial" w:cs="Arial"/>
                <w:b/>
                <w:bCs/>
                <w:color w:val="000000"/>
                <w:sz w:val="20"/>
                <w:szCs w:val="20"/>
                <w:lang w:eastAsia="es-ES"/>
              </w:rPr>
            </w:pPr>
            <w:r w:rsidRPr="004E3B47">
              <w:rPr>
                <w:rFonts w:ascii="Arial" w:eastAsia="Times New Roman" w:hAnsi="Arial" w:cs="Arial"/>
                <w:b/>
                <w:bCs/>
                <w:color w:val="000000"/>
                <w:sz w:val="20"/>
                <w:szCs w:val="20"/>
                <w:lang w:eastAsia="es-ES"/>
              </w:rPr>
              <w:t>2018</w:t>
            </w:r>
          </w:p>
        </w:tc>
        <w:tc>
          <w:tcPr>
            <w:tcW w:w="1544" w:type="dxa"/>
            <w:tcBorders>
              <w:top w:val="nil"/>
              <w:left w:val="nil"/>
              <w:bottom w:val="single" w:sz="4" w:space="0" w:color="auto"/>
              <w:right w:val="single" w:sz="4" w:space="0" w:color="auto"/>
            </w:tcBorders>
            <w:shd w:val="clear" w:color="auto" w:fill="auto"/>
            <w:noWrap/>
            <w:vAlign w:val="center"/>
            <w:hideMark/>
          </w:tcPr>
          <w:p w:rsidR="00261B03" w:rsidRPr="004E3B47" w:rsidRDefault="00261B03" w:rsidP="004E3B47">
            <w:pPr>
              <w:spacing w:after="0" w:line="240" w:lineRule="auto"/>
              <w:jc w:val="center"/>
              <w:rPr>
                <w:rFonts w:ascii="Arial" w:eastAsia="Times New Roman" w:hAnsi="Arial" w:cs="Arial"/>
                <w:b/>
                <w:bCs/>
                <w:color w:val="000000"/>
                <w:sz w:val="20"/>
                <w:szCs w:val="20"/>
                <w:lang w:eastAsia="es-ES"/>
              </w:rPr>
            </w:pPr>
            <w:r w:rsidRPr="004E3B47">
              <w:rPr>
                <w:rFonts w:ascii="Arial" w:eastAsia="Times New Roman" w:hAnsi="Arial" w:cs="Arial"/>
                <w:b/>
                <w:bCs/>
                <w:color w:val="000000"/>
                <w:sz w:val="20"/>
                <w:szCs w:val="20"/>
                <w:lang w:eastAsia="es-ES"/>
              </w:rPr>
              <w:t>2018</w:t>
            </w:r>
          </w:p>
        </w:tc>
        <w:tc>
          <w:tcPr>
            <w:tcW w:w="1544" w:type="dxa"/>
            <w:tcBorders>
              <w:top w:val="nil"/>
              <w:left w:val="nil"/>
              <w:bottom w:val="single" w:sz="4" w:space="0" w:color="auto"/>
              <w:right w:val="single" w:sz="4" w:space="0" w:color="auto"/>
            </w:tcBorders>
            <w:shd w:val="clear" w:color="auto" w:fill="auto"/>
            <w:noWrap/>
            <w:vAlign w:val="center"/>
            <w:hideMark/>
          </w:tcPr>
          <w:p w:rsidR="00261B03" w:rsidRPr="004E3B47" w:rsidRDefault="00261B03" w:rsidP="004E3B47">
            <w:pPr>
              <w:spacing w:after="0" w:line="240" w:lineRule="auto"/>
              <w:jc w:val="center"/>
              <w:rPr>
                <w:rFonts w:ascii="Arial" w:eastAsia="Times New Roman" w:hAnsi="Arial" w:cs="Arial"/>
                <w:b/>
                <w:bCs/>
                <w:color w:val="000000"/>
                <w:sz w:val="20"/>
                <w:szCs w:val="20"/>
                <w:lang w:eastAsia="es-ES"/>
              </w:rPr>
            </w:pPr>
            <w:r w:rsidRPr="004E3B47">
              <w:rPr>
                <w:rFonts w:ascii="Arial" w:eastAsia="Times New Roman" w:hAnsi="Arial" w:cs="Arial"/>
                <w:b/>
                <w:bCs/>
                <w:color w:val="000000"/>
                <w:sz w:val="20"/>
                <w:szCs w:val="20"/>
                <w:lang w:eastAsia="es-ES"/>
              </w:rPr>
              <w:t>2019</w:t>
            </w:r>
          </w:p>
        </w:tc>
        <w:tc>
          <w:tcPr>
            <w:tcW w:w="1544" w:type="dxa"/>
            <w:tcBorders>
              <w:top w:val="nil"/>
              <w:left w:val="nil"/>
              <w:bottom w:val="single" w:sz="4" w:space="0" w:color="auto"/>
              <w:right w:val="single" w:sz="4" w:space="0" w:color="auto"/>
            </w:tcBorders>
            <w:shd w:val="clear" w:color="auto" w:fill="auto"/>
            <w:noWrap/>
            <w:vAlign w:val="center"/>
            <w:hideMark/>
          </w:tcPr>
          <w:p w:rsidR="00261B03" w:rsidRPr="004E3B47" w:rsidRDefault="00261B03" w:rsidP="004E3B47">
            <w:pPr>
              <w:spacing w:after="0" w:line="240" w:lineRule="auto"/>
              <w:jc w:val="center"/>
              <w:rPr>
                <w:rFonts w:ascii="Arial" w:eastAsia="Times New Roman" w:hAnsi="Arial" w:cs="Arial"/>
                <w:b/>
                <w:bCs/>
                <w:color w:val="000000"/>
                <w:sz w:val="20"/>
                <w:szCs w:val="20"/>
                <w:lang w:eastAsia="es-ES"/>
              </w:rPr>
            </w:pPr>
            <w:r w:rsidRPr="004E3B47">
              <w:rPr>
                <w:rFonts w:ascii="Arial" w:eastAsia="Times New Roman" w:hAnsi="Arial" w:cs="Arial"/>
                <w:b/>
                <w:bCs/>
                <w:color w:val="000000"/>
                <w:sz w:val="20"/>
                <w:szCs w:val="20"/>
                <w:lang w:eastAsia="es-ES"/>
              </w:rPr>
              <w:t>2020</w:t>
            </w:r>
          </w:p>
        </w:tc>
      </w:tr>
      <w:tr w:rsidR="00261B03" w:rsidRPr="004E3B47" w:rsidTr="004E3B47">
        <w:trPr>
          <w:trHeight w:val="310"/>
        </w:trPr>
        <w:tc>
          <w:tcPr>
            <w:tcW w:w="2364" w:type="dxa"/>
            <w:tcBorders>
              <w:top w:val="nil"/>
              <w:left w:val="single" w:sz="4" w:space="0" w:color="auto"/>
              <w:bottom w:val="single" w:sz="4" w:space="0" w:color="auto"/>
              <w:right w:val="single" w:sz="4" w:space="0" w:color="auto"/>
            </w:tcBorders>
            <w:shd w:val="clear" w:color="auto" w:fill="auto"/>
            <w:noWrap/>
            <w:vAlign w:val="center"/>
            <w:hideMark/>
          </w:tcPr>
          <w:p w:rsidR="00261B03" w:rsidRPr="004E3B47" w:rsidRDefault="00261B03" w:rsidP="004E3B47">
            <w:pPr>
              <w:spacing w:after="0" w:line="240" w:lineRule="auto"/>
              <w:rPr>
                <w:rFonts w:ascii="Arial" w:eastAsia="Times New Roman" w:hAnsi="Arial" w:cs="Arial"/>
                <w:color w:val="000000"/>
                <w:sz w:val="20"/>
                <w:szCs w:val="20"/>
                <w:lang w:eastAsia="es-ES"/>
              </w:rPr>
            </w:pPr>
            <w:r w:rsidRPr="004E3B47">
              <w:rPr>
                <w:rFonts w:ascii="Arial" w:eastAsia="Times New Roman" w:hAnsi="Arial" w:cs="Arial"/>
                <w:color w:val="000000"/>
                <w:sz w:val="20"/>
                <w:szCs w:val="20"/>
                <w:lang w:eastAsia="es-ES"/>
              </w:rPr>
              <w:t>Recursos Departamentales</w:t>
            </w:r>
          </w:p>
        </w:tc>
        <w:tc>
          <w:tcPr>
            <w:tcW w:w="1544" w:type="dxa"/>
            <w:tcBorders>
              <w:top w:val="nil"/>
              <w:left w:val="nil"/>
              <w:bottom w:val="single" w:sz="4" w:space="0" w:color="auto"/>
              <w:right w:val="single" w:sz="4" w:space="0" w:color="auto"/>
            </w:tcBorders>
            <w:shd w:val="clear" w:color="auto" w:fill="auto"/>
            <w:noWrap/>
            <w:vAlign w:val="center"/>
            <w:hideMark/>
          </w:tcPr>
          <w:p w:rsidR="00261B03" w:rsidRPr="004E3B47" w:rsidRDefault="00261B03" w:rsidP="004E3B47">
            <w:pPr>
              <w:spacing w:after="0" w:line="240" w:lineRule="auto"/>
              <w:jc w:val="right"/>
              <w:rPr>
                <w:rFonts w:ascii="Arial" w:eastAsia="Times New Roman" w:hAnsi="Arial" w:cs="Arial"/>
                <w:color w:val="000000"/>
                <w:sz w:val="20"/>
                <w:szCs w:val="20"/>
                <w:lang w:eastAsia="es-ES"/>
              </w:rPr>
            </w:pPr>
            <w:r w:rsidRPr="004E3B47">
              <w:rPr>
                <w:rFonts w:ascii="Arial" w:eastAsia="Times New Roman" w:hAnsi="Arial" w:cs="Arial"/>
                <w:color w:val="000000"/>
                <w:sz w:val="20"/>
                <w:szCs w:val="20"/>
                <w:lang w:eastAsia="es-ES"/>
              </w:rPr>
              <w:t>4.811.301.453</w:t>
            </w:r>
          </w:p>
        </w:tc>
        <w:tc>
          <w:tcPr>
            <w:tcW w:w="1544" w:type="dxa"/>
            <w:tcBorders>
              <w:top w:val="nil"/>
              <w:left w:val="nil"/>
              <w:bottom w:val="single" w:sz="4" w:space="0" w:color="auto"/>
              <w:right w:val="single" w:sz="4" w:space="0" w:color="auto"/>
            </w:tcBorders>
            <w:shd w:val="clear" w:color="auto" w:fill="auto"/>
            <w:noWrap/>
            <w:vAlign w:val="center"/>
            <w:hideMark/>
          </w:tcPr>
          <w:p w:rsidR="00261B03" w:rsidRPr="004E3B47" w:rsidRDefault="00261B03" w:rsidP="004E3B47">
            <w:pPr>
              <w:spacing w:after="0" w:line="240" w:lineRule="auto"/>
              <w:jc w:val="right"/>
              <w:rPr>
                <w:rFonts w:ascii="Arial" w:eastAsia="Times New Roman" w:hAnsi="Arial" w:cs="Arial"/>
                <w:color w:val="000000"/>
                <w:sz w:val="20"/>
                <w:szCs w:val="20"/>
                <w:lang w:eastAsia="es-ES"/>
              </w:rPr>
            </w:pPr>
            <w:r w:rsidRPr="004E3B47">
              <w:rPr>
                <w:rFonts w:ascii="Arial" w:eastAsia="Times New Roman" w:hAnsi="Arial" w:cs="Arial"/>
                <w:color w:val="000000"/>
                <w:sz w:val="20"/>
                <w:szCs w:val="20"/>
                <w:lang w:eastAsia="es-ES"/>
              </w:rPr>
              <w:t>5.357.054.926</w:t>
            </w:r>
          </w:p>
        </w:tc>
        <w:tc>
          <w:tcPr>
            <w:tcW w:w="1544" w:type="dxa"/>
            <w:tcBorders>
              <w:top w:val="nil"/>
              <w:left w:val="nil"/>
              <w:bottom w:val="single" w:sz="4" w:space="0" w:color="auto"/>
              <w:right w:val="single" w:sz="4" w:space="0" w:color="auto"/>
            </w:tcBorders>
            <w:shd w:val="clear" w:color="auto" w:fill="auto"/>
            <w:noWrap/>
            <w:vAlign w:val="center"/>
            <w:hideMark/>
          </w:tcPr>
          <w:p w:rsidR="00261B03" w:rsidRPr="004E3B47" w:rsidRDefault="00261B03" w:rsidP="004E3B47">
            <w:pPr>
              <w:spacing w:after="0" w:line="240" w:lineRule="auto"/>
              <w:jc w:val="right"/>
              <w:rPr>
                <w:rFonts w:ascii="Arial" w:eastAsia="Times New Roman" w:hAnsi="Arial" w:cs="Arial"/>
                <w:color w:val="000000"/>
                <w:sz w:val="20"/>
                <w:szCs w:val="20"/>
                <w:lang w:eastAsia="es-ES"/>
              </w:rPr>
            </w:pPr>
            <w:r w:rsidRPr="004E3B47">
              <w:rPr>
                <w:rFonts w:ascii="Arial" w:eastAsia="Times New Roman" w:hAnsi="Arial" w:cs="Arial"/>
                <w:color w:val="000000"/>
                <w:sz w:val="20"/>
                <w:szCs w:val="20"/>
                <w:lang w:eastAsia="es-ES"/>
              </w:rPr>
              <w:t>5.796.876.371</w:t>
            </w:r>
          </w:p>
        </w:tc>
        <w:tc>
          <w:tcPr>
            <w:tcW w:w="1544" w:type="dxa"/>
            <w:tcBorders>
              <w:top w:val="nil"/>
              <w:left w:val="nil"/>
              <w:bottom w:val="single" w:sz="4" w:space="0" w:color="auto"/>
              <w:right w:val="single" w:sz="4" w:space="0" w:color="auto"/>
            </w:tcBorders>
            <w:shd w:val="clear" w:color="auto" w:fill="auto"/>
            <w:noWrap/>
            <w:vAlign w:val="center"/>
            <w:hideMark/>
          </w:tcPr>
          <w:p w:rsidR="00261B03" w:rsidRPr="004E3B47" w:rsidRDefault="00261B03" w:rsidP="004E3B47">
            <w:pPr>
              <w:spacing w:after="0" w:line="240" w:lineRule="auto"/>
              <w:jc w:val="right"/>
              <w:rPr>
                <w:rFonts w:ascii="Arial" w:eastAsia="Times New Roman" w:hAnsi="Arial" w:cs="Arial"/>
                <w:color w:val="000000"/>
                <w:sz w:val="20"/>
                <w:szCs w:val="20"/>
                <w:lang w:eastAsia="es-ES"/>
              </w:rPr>
            </w:pPr>
            <w:r w:rsidRPr="004E3B47">
              <w:rPr>
                <w:rFonts w:ascii="Arial" w:eastAsia="Times New Roman" w:hAnsi="Arial" w:cs="Arial"/>
                <w:color w:val="000000"/>
                <w:sz w:val="20"/>
                <w:szCs w:val="20"/>
                <w:lang w:eastAsia="es-ES"/>
              </w:rPr>
              <w:t>5.781.876.371</w:t>
            </w:r>
          </w:p>
        </w:tc>
      </w:tr>
      <w:tr w:rsidR="00261B03" w:rsidRPr="004E3B47" w:rsidTr="004E3B47">
        <w:trPr>
          <w:trHeight w:val="326"/>
        </w:trPr>
        <w:tc>
          <w:tcPr>
            <w:tcW w:w="2364" w:type="dxa"/>
            <w:tcBorders>
              <w:top w:val="nil"/>
              <w:left w:val="single" w:sz="4" w:space="0" w:color="auto"/>
              <w:bottom w:val="single" w:sz="4" w:space="0" w:color="auto"/>
              <w:right w:val="single" w:sz="4" w:space="0" w:color="auto"/>
            </w:tcBorders>
            <w:shd w:val="clear" w:color="auto" w:fill="auto"/>
            <w:noWrap/>
            <w:vAlign w:val="center"/>
            <w:hideMark/>
          </w:tcPr>
          <w:p w:rsidR="00261B03" w:rsidRPr="004E3B47" w:rsidRDefault="00261B03" w:rsidP="004E3B47">
            <w:pPr>
              <w:spacing w:after="0" w:line="240" w:lineRule="auto"/>
              <w:rPr>
                <w:rFonts w:ascii="Arial" w:eastAsia="Times New Roman" w:hAnsi="Arial" w:cs="Arial"/>
                <w:color w:val="000000"/>
                <w:sz w:val="20"/>
                <w:szCs w:val="20"/>
                <w:lang w:eastAsia="es-ES"/>
              </w:rPr>
            </w:pPr>
            <w:r w:rsidRPr="004E3B47">
              <w:rPr>
                <w:rFonts w:ascii="Arial" w:eastAsia="Times New Roman" w:hAnsi="Arial" w:cs="Arial"/>
                <w:color w:val="000000"/>
                <w:sz w:val="20"/>
                <w:szCs w:val="20"/>
                <w:lang w:eastAsia="es-ES"/>
              </w:rPr>
              <w:t>Recursos Nacionales</w:t>
            </w:r>
          </w:p>
        </w:tc>
        <w:tc>
          <w:tcPr>
            <w:tcW w:w="1544" w:type="dxa"/>
            <w:tcBorders>
              <w:top w:val="nil"/>
              <w:left w:val="nil"/>
              <w:bottom w:val="single" w:sz="4" w:space="0" w:color="auto"/>
              <w:right w:val="single" w:sz="4" w:space="0" w:color="auto"/>
            </w:tcBorders>
            <w:shd w:val="clear" w:color="auto" w:fill="auto"/>
            <w:noWrap/>
            <w:vAlign w:val="center"/>
            <w:hideMark/>
          </w:tcPr>
          <w:p w:rsidR="00261B03" w:rsidRPr="004E3B47" w:rsidRDefault="00261B03" w:rsidP="004E3B47">
            <w:pPr>
              <w:spacing w:after="0" w:line="240" w:lineRule="auto"/>
              <w:jc w:val="right"/>
              <w:rPr>
                <w:rFonts w:ascii="Arial" w:eastAsia="Times New Roman" w:hAnsi="Arial" w:cs="Arial"/>
                <w:color w:val="000000"/>
                <w:sz w:val="20"/>
                <w:szCs w:val="20"/>
                <w:lang w:eastAsia="es-ES"/>
              </w:rPr>
            </w:pPr>
            <w:r w:rsidRPr="004E3B47">
              <w:rPr>
                <w:rFonts w:ascii="Arial" w:eastAsia="Times New Roman" w:hAnsi="Arial" w:cs="Arial"/>
                <w:color w:val="000000"/>
                <w:sz w:val="20"/>
                <w:szCs w:val="20"/>
                <w:lang w:eastAsia="es-ES"/>
              </w:rPr>
              <w:t>1.353.843.774</w:t>
            </w:r>
          </w:p>
        </w:tc>
        <w:tc>
          <w:tcPr>
            <w:tcW w:w="1544" w:type="dxa"/>
            <w:tcBorders>
              <w:top w:val="nil"/>
              <w:left w:val="nil"/>
              <w:bottom w:val="single" w:sz="4" w:space="0" w:color="auto"/>
              <w:right w:val="single" w:sz="4" w:space="0" w:color="auto"/>
            </w:tcBorders>
            <w:shd w:val="clear" w:color="auto" w:fill="auto"/>
            <w:noWrap/>
            <w:vAlign w:val="center"/>
            <w:hideMark/>
          </w:tcPr>
          <w:p w:rsidR="00261B03" w:rsidRPr="004E3B47" w:rsidRDefault="00261B03" w:rsidP="004E3B47">
            <w:pPr>
              <w:spacing w:after="0" w:line="240" w:lineRule="auto"/>
              <w:jc w:val="right"/>
              <w:rPr>
                <w:rFonts w:ascii="Arial" w:eastAsia="Times New Roman" w:hAnsi="Arial" w:cs="Arial"/>
                <w:color w:val="000000"/>
                <w:sz w:val="20"/>
                <w:szCs w:val="20"/>
                <w:lang w:eastAsia="es-ES"/>
              </w:rPr>
            </w:pPr>
            <w:r w:rsidRPr="004E3B47">
              <w:rPr>
                <w:rFonts w:ascii="Arial" w:eastAsia="Times New Roman" w:hAnsi="Arial" w:cs="Arial"/>
                <w:color w:val="000000"/>
                <w:sz w:val="20"/>
                <w:szCs w:val="20"/>
                <w:lang w:eastAsia="es-ES"/>
              </w:rPr>
              <w:t>1.000.308.916</w:t>
            </w:r>
          </w:p>
        </w:tc>
        <w:tc>
          <w:tcPr>
            <w:tcW w:w="1544" w:type="dxa"/>
            <w:tcBorders>
              <w:top w:val="nil"/>
              <w:left w:val="nil"/>
              <w:bottom w:val="single" w:sz="4" w:space="0" w:color="auto"/>
              <w:right w:val="single" w:sz="4" w:space="0" w:color="auto"/>
            </w:tcBorders>
            <w:shd w:val="clear" w:color="auto" w:fill="auto"/>
            <w:noWrap/>
            <w:vAlign w:val="center"/>
            <w:hideMark/>
          </w:tcPr>
          <w:p w:rsidR="00261B03" w:rsidRPr="004E3B47" w:rsidRDefault="00261B03" w:rsidP="004E3B47">
            <w:pPr>
              <w:spacing w:after="0" w:line="240" w:lineRule="auto"/>
              <w:jc w:val="right"/>
              <w:rPr>
                <w:rFonts w:ascii="Arial" w:eastAsia="Times New Roman" w:hAnsi="Arial" w:cs="Arial"/>
                <w:color w:val="000000"/>
                <w:sz w:val="20"/>
                <w:szCs w:val="20"/>
                <w:lang w:eastAsia="es-ES"/>
              </w:rPr>
            </w:pPr>
            <w:r w:rsidRPr="004E3B47">
              <w:rPr>
                <w:rFonts w:ascii="Arial" w:eastAsia="Times New Roman" w:hAnsi="Arial" w:cs="Arial"/>
                <w:color w:val="000000"/>
                <w:sz w:val="20"/>
                <w:szCs w:val="20"/>
                <w:lang w:eastAsia="es-ES"/>
              </w:rPr>
              <w:t>1.302.308.916</w:t>
            </w:r>
          </w:p>
        </w:tc>
        <w:tc>
          <w:tcPr>
            <w:tcW w:w="1544" w:type="dxa"/>
            <w:tcBorders>
              <w:top w:val="nil"/>
              <w:left w:val="nil"/>
              <w:bottom w:val="single" w:sz="4" w:space="0" w:color="auto"/>
              <w:right w:val="single" w:sz="4" w:space="0" w:color="auto"/>
            </w:tcBorders>
            <w:shd w:val="clear" w:color="auto" w:fill="auto"/>
            <w:noWrap/>
            <w:vAlign w:val="center"/>
            <w:hideMark/>
          </w:tcPr>
          <w:p w:rsidR="00261B03" w:rsidRPr="004E3B47" w:rsidRDefault="00261B03" w:rsidP="004E3B47">
            <w:pPr>
              <w:spacing w:after="0" w:line="240" w:lineRule="auto"/>
              <w:jc w:val="right"/>
              <w:rPr>
                <w:rFonts w:ascii="Arial" w:eastAsia="Times New Roman" w:hAnsi="Arial" w:cs="Arial"/>
                <w:color w:val="000000"/>
                <w:sz w:val="20"/>
                <w:szCs w:val="20"/>
                <w:lang w:eastAsia="es-ES"/>
              </w:rPr>
            </w:pPr>
            <w:r w:rsidRPr="004E3B47">
              <w:rPr>
                <w:rFonts w:ascii="Arial" w:eastAsia="Times New Roman" w:hAnsi="Arial" w:cs="Arial"/>
                <w:color w:val="000000"/>
                <w:sz w:val="20"/>
                <w:szCs w:val="20"/>
                <w:lang w:eastAsia="es-ES"/>
              </w:rPr>
              <w:t>1.302.308.916</w:t>
            </w:r>
          </w:p>
        </w:tc>
      </w:tr>
      <w:tr w:rsidR="00261B03" w:rsidRPr="004E3B47" w:rsidTr="004E3B47">
        <w:trPr>
          <w:trHeight w:val="326"/>
        </w:trPr>
        <w:tc>
          <w:tcPr>
            <w:tcW w:w="2364" w:type="dxa"/>
            <w:tcBorders>
              <w:top w:val="nil"/>
              <w:left w:val="single" w:sz="4" w:space="0" w:color="auto"/>
              <w:bottom w:val="single" w:sz="4" w:space="0" w:color="auto"/>
              <w:right w:val="single" w:sz="4" w:space="0" w:color="auto"/>
            </w:tcBorders>
            <w:shd w:val="clear" w:color="auto" w:fill="auto"/>
            <w:noWrap/>
            <w:vAlign w:val="center"/>
            <w:hideMark/>
          </w:tcPr>
          <w:p w:rsidR="00261B03" w:rsidRPr="004E3B47" w:rsidRDefault="00261B03" w:rsidP="004E3B47">
            <w:pPr>
              <w:spacing w:after="0" w:line="240" w:lineRule="auto"/>
              <w:rPr>
                <w:rFonts w:ascii="Arial" w:eastAsia="Times New Roman" w:hAnsi="Arial" w:cs="Arial"/>
                <w:b/>
                <w:bCs/>
                <w:color w:val="000000"/>
                <w:sz w:val="20"/>
                <w:szCs w:val="20"/>
                <w:lang w:eastAsia="es-ES"/>
              </w:rPr>
            </w:pPr>
            <w:r w:rsidRPr="004E3B47">
              <w:rPr>
                <w:rFonts w:ascii="Arial" w:eastAsia="Times New Roman" w:hAnsi="Arial" w:cs="Arial"/>
                <w:b/>
                <w:bCs/>
                <w:color w:val="000000"/>
                <w:sz w:val="20"/>
                <w:szCs w:val="20"/>
                <w:lang w:eastAsia="es-ES"/>
              </w:rPr>
              <w:t>RECURSOS TOTALES</w:t>
            </w:r>
          </w:p>
        </w:tc>
        <w:tc>
          <w:tcPr>
            <w:tcW w:w="1544" w:type="dxa"/>
            <w:tcBorders>
              <w:top w:val="nil"/>
              <w:left w:val="nil"/>
              <w:bottom w:val="single" w:sz="4" w:space="0" w:color="auto"/>
              <w:right w:val="single" w:sz="4" w:space="0" w:color="auto"/>
            </w:tcBorders>
            <w:shd w:val="clear" w:color="auto" w:fill="auto"/>
            <w:noWrap/>
            <w:vAlign w:val="center"/>
            <w:hideMark/>
          </w:tcPr>
          <w:p w:rsidR="00261B03" w:rsidRPr="004E3B47" w:rsidRDefault="00261B03" w:rsidP="004E3B47">
            <w:pPr>
              <w:spacing w:after="0" w:line="240" w:lineRule="auto"/>
              <w:jc w:val="right"/>
              <w:rPr>
                <w:rFonts w:ascii="Arial" w:eastAsia="Times New Roman" w:hAnsi="Arial" w:cs="Arial"/>
                <w:b/>
                <w:bCs/>
                <w:color w:val="000000"/>
                <w:sz w:val="20"/>
                <w:szCs w:val="20"/>
                <w:lang w:eastAsia="es-ES"/>
              </w:rPr>
            </w:pPr>
            <w:r w:rsidRPr="004E3B47">
              <w:rPr>
                <w:rFonts w:ascii="Arial" w:eastAsia="Times New Roman" w:hAnsi="Arial" w:cs="Arial"/>
                <w:b/>
                <w:bCs/>
                <w:color w:val="000000"/>
                <w:sz w:val="20"/>
                <w:szCs w:val="20"/>
                <w:lang w:eastAsia="es-ES"/>
              </w:rPr>
              <w:t>6.165.145.227</w:t>
            </w:r>
          </w:p>
        </w:tc>
        <w:tc>
          <w:tcPr>
            <w:tcW w:w="1544" w:type="dxa"/>
            <w:tcBorders>
              <w:top w:val="nil"/>
              <w:left w:val="nil"/>
              <w:bottom w:val="single" w:sz="4" w:space="0" w:color="auto"/>
              <w:right w:val="single" w:sz="4" w:space="0" w:color="auto"/>
            </w:tcBorders>
            <w:shd w:val="clear" w:color="auto" w:fill="auto"/>
            <w:noWrap/>
            <w:vAlign w:val="center"/>
            <w:hideMark/>
          </w:tcPr>
          <w:p w:rsidR="00261B03" w:rsidRPr="004E3B47" w:rsidRDefault="00261B03" w:rsidP="004E3B47">
            <w:pPr>
              <w:spacing w:after="0" w:line="240" w:lineRule="auto"/>
              <w:jc w:val="right"/>
              <w:rPr>
                <w:rFonts w:ascii="Arial" w:eastAsia="Times New Roman" w:hAnsi="Arial" w:cs="Arial"/>
                <w:b/>
                <w:bCs/>
                <w:color w:val="000000"/>
                <w:sz w:val="20"/>
                <w:szCs w:val="20"/>
                <w:lang w:eastAsia="es-ES"/>
              </w:rPr>
            </w:pPr>
            <w:r w:rsidRPr="004E3B47">
              <w:rPr>
                <w:rFonts w:ascii="Arial" w:eastAsia="Times New Roman" w:hAnsi="Arial" w:cs="Arial"/>
                <w:b/>
                <w:bCs/>
                <w:color w:val="000000"/>
                <w:sz w:val="20"/>
                <w:szCs w:val="20"/>
                <w:lang w:eastAsia="es-ES"/>
              </w:rPr>
              <w:t>6.357.363.842</w:t>
            </w:r>
          </w:p>
        </w:tc>
        <w:tc>
          <w:tcPr>
            <w:tcW w:w="1544" w:type="dxa"/>
            <w:tcBorders>
              <w:top w:val="nil"/>
              <w:left w:val="nil"/>
              <w:bottom w:val="single" w:sz="4" w:space="0" w:color="auto"/>
              <w:right w:val="single" w:sz="4" w:space="0" w:color="auto"/>
            </w:tcBorders>
            <w:shd w:val="clear" w:color="auto" w:fill="auto"/>
            <w:noWrap/>
            <w:vAlign w:val="center"/>
            <w:hideMark/>
          </w:tcPr>
          <w:p w:rsidR="00261B03" w:rsidRPr="004E3B47" w:rsidRDefault="00261B03" w:rsidP="004E3B47">
            <w:pPr>
              <w:spacing w:after="0" w:line="240" w:lineRule="auto"/>
              <w:jc w:val="right"/>
              <w:rPr>
                <w:rFonts w:ascii="Arial" w:eastAsia="Times New Roman" w:hAnsi="Arial" w:cs="Arial"/>
                <w:b/>
                <w:bCs/>
                <w:color w:val="000000"/>
                <w:sz w:val="20"/>
                <w:szCs w:val="20"/>
                <w:lang w:eastAsia="es-ES"/>
              </w:rPr>
            </w:pPr>
            <w:r w:rsidRPr="004E3B47">
              <w:rPr>
                <w:rFonts w:ascii="Arial" w:eastAsia="Times New Roman" w:hAnsi="Arial" w:cs="Arial"/>
                <w:b/>
                <w:bCs/>
                <w:color w:val="000000"/>
                <w:sz w:val="20"/>
                <w:szCs w:val="20"/>
                <w:lang w:eastAsia="es-ES"/>
              </w:rPr>
              <w:t>7.099.185.287</w:t>
            </w:r>
          </w:p>
        </w:tc>
        <w:tc>
          <w:tcPr>
            <w:tcW w:w="1544" w:type="dxa"/>
            <w:tcBorders>
              <w:top w:val="nil"/>
              <w:left w:val="nil"/>
              <w:bottom w:val="single" w:sz="4" w:space="0" w:color="auto"/>
              <w:right w:val="single" w:sz="4" w:space="0" w:color="auto"/>
            </w:tcBorders>
            <w:shd w:val="clear" w:color="auto" w:fill="auto"/>
            <w:noWrap/>
            <w:vAlign w:val="center"/>
            <w:hideMark/>
          </w:tcPr>
          <w:p w:rsidR="00261B03" w:rsidRPr="004E3B47" w:rsidRDefault="00261B03" w:rsidP="004E3B47">
            <w:pPr>
              <w:spacing w:after="0" w:line="240" w:lineRule="auto"/>
              <w:jc w:val="right"/>
              <w:rPr>
                <w:rFonts w:ascii="Arial" w:eastAsia="Times New Roman" w:hAnsi="Arial" w:cs="Arial"/>
                <w:b/>
                <w:bCs/>
                <w:color w:val="000000"/>
                <w:sz w:val="20"/>
                <w:szCs w:val="20"/>
                <w:lang w:eastAsia="es-ES"/>
              </w:rPr>
            </w:pPr>
            <w:r w:rsidRPr="004E3B47">
              <w:rPr>
                <w:rFonts w:ascii="Arial" w:eastAsia="Times New Roman" w:hAnsi="Arial" w:cs="Arial"/>
                <w:b/>
                <w:bCs/>
                <w:color w:val="000000"/>
                <w:sz w:val="20"/>
                <w:szCs w:val="20"/>
                <w:lang w:eastAsia="es-ES"/>
              </w:rPr>
              <w:t>7.084.185.287</w:t>
            </w:r>
          </w:p>
        </w:tc>
      </w:tr>
    </w:tbl>
    <w:p w:rsidR="00261B03" w:rsidRDefault="00261B03" w:rsidP="000D17BD">
      <w:pPr>
        <w:widowControl w:val="0"/>
        <w:spacing w:after="0" w:line="360" w:lineRule="auto"/>
        <w:jc w:val="both"/>
        <w:rPr>
          <w:rFonts w:ascii="Arial" w:eastAsia="Times New Roman" w:hAnsi="Arial" w:cs="Arial"/>
          <w:kern w:val="2"/>
          <w:sz w:val="24"/>
          <w:szCs w:val="24"/>
          <w:lang w:eastAsia="ar-SA"/>
        </w:rPr>
      </w:pPr>
    </w:p>
    <w:p w:rsidR="00261B03" w:rsidRDefault="00261B03" w:rsidP="000D17BD">
      <w:pPr>
        <w:spacing w:after="0" w:line="360" w:lineRule="auto"/>
        <w:ind w:firstLine="426"/>
        <w:jc w:val="both"/>
        <w:rPr>
          <w:rFonts w:ascii="Arial" w:eastAsia="Times New Roman" w:hAnsi="Arial" w:cs="Arial"/>
          <w:i/>
          <w:sz w:val="20"/>
          <w:szCs w:val="20"/>
          <w:lang w:eastAsia="es-ES"/>
        </w:rPr>
      </w:pPr>
    </w:p>
    <w:p w:rsidR="00261B03" w:rsidRDefault="00261B03" w:rsidP="006B778D">
      <w:pPr>
        <w:numPr>
          <w:ilvl w:val="0"/>
          <w:numId w:val="2"/>
        </w:numPr>
        <w:spacing w:after="0" w:line="360" w:lineRule="auto"/>
        <w:ind w:left="0" w:firstLine="0"/>
        <w:jc w:val="both"/>
        <w:rPr>
          <w:rFonts w:ascii="Arial" w:eastAsia="Times New Roman" w:hAnsi="Arial" w:cs="Arial"/>
          <w:b/>
          <w:bCs/>
          <w:sz w:val="24"/>
          <w:szCs w:val="24"/>
          <w:lang w:eastAsia="es-ES"/>
        </w:rPr>
      </w:pPr>
      <w:r>
        <w:rPr>
          <w:rFonts w:ascii="Arial" w:eastAsia="Times New Roman" w:hAnsi="Arial" w:cs="Arial"/>
          <w:b/>
          <w:bCs/>
          <w:sz w:val="24"/>
          <w:szCs w:val="24"/>
          <w:lang w:eastAsia="es-ES"/>
        </w:rPr>
        <w:t>Análisis de las asignaciones presupuestales proyectadas:</w:t>
      </w:r>
    </w:p>
    <w:p w:rsidR="00261B03" w:rsidRDefault="00261B03" w:rsidP="006B778D">
      <w:pPr>
        <w:spacing w:after="0" w:line="360" w:lineRule="auto"/>
        <w:jc w:val="both"/>
        <w:rPr>
          <w:rFonts w:ascii="Arial" w:eastAsia="Times New Roman" w:hAnsi="Arial" w:cs="Arial"/>
          <w:bCs/>
          <w:kern w:val="2"/>
          <w:sz w:val="24"/>
          <w:szCs w:val="20"/>
          <w:lang w:eastAsia="ar-SA"/>
        </w:rPr>
      </w:pPr>
      <w:r>
        <w:rPr>
          <w:rFonts w:ascii="Arial" w:eastAsia="Times New Roman" w:hAnsi="Arial" w:cs="Arial"/>
          <w:b/>
          <w:kern w:val="2"/>
          <w:sz w:val="24"/>
          <w:szCs w:val="24"/>
          <w:lang w:eastAsia="ar-SA"/>
        </w:rPr>
        <w:t>3.1</w:t>
      </w:r>
      <w:r>
        <w:rPr>
          <w:rFonts w:ascii="Arial" w:eastAsia="Times New Roman" w:hAnsi="Arial" w:cs="Arial"/>
          <w:b/>
          <w:bCs/>
          <w:kern w:val="2"/>
          <w:sz w:val="24"/>
          <w:szCs w:val="24"/>
          <w:lang w:eastAsia="ar-SA"/>
        </w:rPr>
        <w:t>)</w:t>
      </w:r>
      <w:r>
        <w:rPr>
          <w:rFonts w:ascii="Arial" w:eastAsia="Times New Roman" w:hAnsi="Arial" w:cs="Arial"/>
          <w:kern w:val="2"/>
          <w:sz w:val="24"/>
          <w:szCs w:val="24"/>
          <w:lang w:eastAsia="ar-SA"/>
        </w:rPr>
        <w:t xml:space="preserve"> El Proyecto ha sido estructurado por programas y formulado a nivel de objeto, siendo presentado en forma comparativa con el vigente solo respecto al rubro cero y gastos de funcionamiento, incumpliendo con lo establecido en el Artículo 216 de la Constitución de la República y la Ordenanza Nº 70 del Tribunal de Cuentas de fecha 20/07/94. </w:t>
      </w:r>
      <w:r>
        <w:rPr>
          <w:rFonts w:ascii="Arial" w:eastAsia="Times New Roman" w:hAnsi="Arial" w:cs="Arial"/>
          <w:bCs/>
          <w:kern w:val="2"/>
          <w:sz w:val="24"/>
          <w:szCs w:val="20"/>
          <w:lang w:eastAsia="ar-SA"/>
        </w:rPr>
        <w:t xml:space="preserve">Su resumen, expresado en pesos uruguayos, </w:t>
      </w:r>
      <w:r>
        <w:rPr>
          <w:rFonts w:ascii="Arial" w:eastAsia="Times New Roman" w:hAnsi="Arial" w:cs="Arial"/>
          <w:bCs/>
          <w:sz w:val="24"/>
          <w:szCs w:val="24"/>
          <w:lang w:eastAsia="es-ES"/>
        </w:rPr>
        <w:t xml:space="preserve">a valores de diciembre de 2018, </w:t>
      </w:r>
      <w:r>
        <w:rPr>
          <w:rFonts w:ascii="Arial" w:eastAsia="Times New Roman" w:hAnsi="Arial" w:cs="Arial"/>
          <w:bCs/>
          <w:kern w:val="2"/>
          <w:sz w:val="24"/>
          <w:szCs w:val="20"/>
          <w:lang w:eastAsia="ar-SA"/>
        </w:rPr>
        <w:t>se ajusta al siguiente detalle:</w:t>
      </w:r>
    </w:p>
    <w:tbl>
      <w:tblPr>
        <w:tblW w:w="8685" w:type="dxa"/>
        <w:tblLayout w:type="fixed"/>
        <w:tblCellMar>
          <w:left w:w="30" w:type="dxa"/>
          <w:right w:w="30" w:type="dxa"/>
        </w:tblCellMar>
        <w:tblLook w:val="04A0" w:firstRow="1" w:lastRow="0" w:firstColumn="1" w:lastColumn="0" w:noHBand="0" w:noVBand="1"/>
      </w:tblPr>
      <w:tblGrid>
        <w:gridCol w:w="2401"/>
        <w:gridCol w:w="1571"/>
        <w:gridCol w:w="1571"/>
        <w:gridCol w:w="1571"/>
        <w:gridCol w:w="1571"/>
      </w:tblGrid>
      <w:tr w:rsidR="00261B03" w:rsidTr="00034423">
        <w:trPr>
          <w:trHeight w:val="253"/>
        </w:trPr>
        <w:tc>
          <w:tcPr>
            <w:tcW w:w="2401" w:type="dxa"/>
            <w:tcBorders>
              <w:top w:val="single" w:sz="6" w:space="0" w:color="auto"/>
              <w:left w:val="single" w:sz="6" w:space="0" w:color="auto"/>
              <w:bottom w:val="nil"/>
              <w:right w:val="single" w:sz="6" w:space="0" w:color="auto"/>
            </w:tcBorders>
          </w:tcPr>
          <w:p w:rsidR="00261B03" w:rsidRDefault="00261B03">
            <w:pPr>
              <w:autoSpaceDE w:val="0"/>
              <w:adjustRightInd w:val="0"/>
              <w:spacing w:after="0" w:line="240" w:lineRule="auto"/>
              <w:jc w:val="right"/>
              <w:rPr>
                <w:rFonts w:cs="Calibri"/>
                <w:color w:val="000000"/>
              </w:rPr>
            </w:pPr>
          </w:p>
        </w:tc>
        <w:tc>
          <w:tcPr>
            <w:tcW w:w="1571" w:type="dxa"/>
            <w:tcBorders>
              <w:top w:val="single" w:sz="6" w:space="0" w:color="auto"/>
              <w:left w:val="single" w:sz="6" w:space="0" w:color="auto"/>
              <w:bottom w:val="nil"/>
              <w:right w:val="single" w:sz="6" w:space="0" w:color="auto"/>
            </w:tcBorders>
            <w:hideMark/>
          </w:tcPr>
          <w:p w:rsidR="00261B03" w:rsidRDefault="00261B03">
            <w:pPr>
              <w:autoSpaceDE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Vigente</w:t>
            </w:r>
          </w:p>
        </w:tc>
        <w:tc>
          <w:tcPr>
            <w:tcW w:w="1571" w:type="dxa"/>
            <w:tcBorders>
              <w:top w:val="single" w:sz="6" w:space="0" w:color="auto"/>
              <w:left w:val="single" w:sz="6" w:space="0" w:color="auto"/>
              <w:bottom w:val="nil"/>
              <w:right w:val="single" w:sz="6" w:space="0" w:color="auto"/>
            </w:tcBorders>
            <w:hideMark/>
          </w:tcPr>
          <w:p w:rsidR="00261B03" w:rsidRDefault="00261B03">
            <w:pPr>
              <w:autoSpaceDE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Proyectado</w:t>
            </w:r>
          </w:p>
        </w:tc>
        <w:tc>
          <w:tcPr>
            <w:tcW w:w="1571" w:type="dxa"/>
            <w:tcBorders>
              <w:top w:val="single" w:sz="6" w:space="0" w:color="auto"/>
              <w:left w:val="single" w:sz="6" w:space="0" w:color="auto"/>
              <w:bottom w:val="nil"/>
              <w:right w:val="single" w:sz="6" w:space="0" w:color="auto"/>
            </w:tcBorders>
            <w:hideMark/>
          </w:tcPr>
          <w:p w:rsidR="00261B03" w:rsidRDefault="00261B03">
            <w:pPr>
              <w:autoSpaceDE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Proyectado</w:t>
            </w:r>
          </w:p>
        </w:tc>
        <w:tc>
          <w:tcPr>
            <w:tcW w:w="1571" w:type="dxa"/>
            <w:tcBorders>
              <w:top w:val="single" w:sz="6" w:space="0" w:color="auto"/>
              <w:left w:val="single" w:sz="6" w:space="0" w:color="auto"/>
              <w:bottom w:val="nil"/>
              <w:right w:val="single" w:sz="6" w:space="0" w:color="auto"/>
            </w:tcBorders>
            <w:hideMark/>
          </w:tcPr>
          <w:p w:rsidR="00261B03" w:rsidRDefault="00261B03">
            <w:pPr>
              <w:autoSpaceDE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Proyectado</w:t>
            </w:r>
          </w:p>
        </w:tc>
      </w:tr>
      <w:tr w:rsidR="00261B03" w:rsidTr="00034423">
        <w:trPr>
          <w:trHeight w:val="241"/>
        </w:trPr>
        <w:tc>
          <w:tcPr>
            <w:tcW w:w="2401" w:type="dxa"/>
            <w:tcBorders>
              <w:top w:val="nil"/>
              <w:left w:val="single" w:sz="6" w:space="0" w:color="auto"/>
              <w:bottom w:val="single" w:sz="6" w:space="0" w:color="auto"/>
              <w:right w:val="single" w:sz="6" w:space="0" w:color="auto"/>
            </w:tcBorders>
            <w:hideMark/>
          </w:tcPr>
          <w:p w:rsidR="00261B03" w:rsidRDefault="00261B03">
            <w:pPr>
              <w:autoSpaceDE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Concepto</w:t>
            </w:r>
          </w:p>
        </w:tc>
        <w:tc>
          <w:tcPr>
            <w:tcW w:w="1571" w:type="dxa"/>
            <w:tcBorders>
              <w:top w:val="nil"/>
              <w:left w:val="single" w:sz="6" w:space="0" w:color="auto"/>
              <w:bottom w:val="nil"/>
              <w:right w:val="single" w:sz="6" w:space="0" w:color="auto"/>
            </w:tcBorders>
            <w:hideMark/>
          </w:tcPr>
          <w:p w:rsidR="00261B03" w:rsidRDefault="00261B03">
            <w:pPr>
              <w:autoSpaceDE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2018</w:t>
            </w:r>
          </w:p>
        </w:tc>
        <w:tc>
          <w:tcPr>
            <w:tcW w:w="1571" w:type="dxa"/>
            <w:tcBorders>
              <w:top w:val="nil"/>
              <w:left w:val="single" w:sz="6" w:space="0" w:color="auto"/>
              <w:bottom w:val="nil"/>
              <w:right w:val="single" w:sz="6" w:space="0" w:color="auto"/>
            </w:tcBorders>
            <w:hideMark/>
          </w:tcPr>
          <w:p w:rsidR="00261B03" w:rsidRDefault="00261B03">
            <w:pPr>
              <w:autoSpaceDE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2018</w:t>
            </w:r>
          </w:p>
        </w:tc>
        <w:tc>
          <w:tcPr>
            <w:tcW w:w="1571" w:type="dxa"/>
            <w:tcBorders>
              <w:top w:val="nil"/>
              <w:left w:val="single" w:sz="6" w:space="0" w:color="auto"/>
              <w:bottom w:val="nil"/>
              <w:right w:val="single" w:sz="6" w:space="0" w:color="auto"/>
            </w:tcBorders>
            <w:hideMark/>
          </w:tcPr>
          <w:p w:rsidR="00261B03" w:rsidRDefault="00261B03">
            <w:pPr>
              <w:autoSpaceDE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2019</w:t>
            </w:r>
          </w:p>
        </w:tc>
        <w:tc>
          <w:tcPr>
            <w:tcW w:w="1571" w:type="dxa"/>
            <w:tcBorders>
              <w:top w:val="nil"/>
              <w:left w:val="single" w:sz="6" w:space="0" w:color="auto"/>
              <w:bottom w:val="nil"/>
              <w:right w:val="single" w:sz="6" w:space="0" w:color="auto"/>
            </w:tcBorders>
            <w:hideMark/>
          </w:tcPr>
          <w:p w:rsidR="00261B03" w:rsidRDefault="00261B03">
            <w:pPr>
              <w:autoSpaceDE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2020</w:t>
            </w:r>
          </w:p>
        </w:tc>
      </w:tr>
      <w:tr w:rsidR="00261B03" w:rsidTr="00034423">
        <w:trPr>
          <w:trHeight w:val="241"/>
        </w:trPr>
        <w:tc>
          <w:tcPr>
            <w:tcW w:w="2401" w:type="dxa"/>
            <w:tcBorders>
              <w:top w:val="nil"/>
              <w:left w:val="single" w:sz="6" w:space="0" w:color="auto"/>
              <w:bottom w:val="single" w:sz="6" w:space="0" w:color="auto"/>
              <w:right w:val="nil"/>
            </w:tcBorders>
            <w:hideMark/>
          </w:tcPr>
          <w:p w:rsidR="00261B03" w:rsidRDefault="00261B03">
            <w:pPr>
              <w:autoSpaceDE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Sueldos</w:t>
            </w:r>
          </w:p>
        </w:tc>
        <w:tc>
          <w:tcPr>
            <w:tcW w:w="1571" w:type="dxa"/>
            <w:tcBorders>
              <w:top w:val="single" w:sz="6" w:space="0" w:color="auto"/>
              <w:left w:val="single" w:sz="6" w:space="0" w:color="auto"/>
              <w:bottom w:val="single" w:sz="6" w:space="0" w:color="auto"/>
              <w:right w:val="single" w:sz="6" w:space="0" w:color="auto"/>
            </w:tcBorders>
            <w:hideMark/>
          </w:tcPr>
          <w:p w:rsidR="00261B03" w:rsidRDefault="00261B03">
            <w:pPr>
              <w:autoSpaceDE w:val="0"/>
              <w:adjustRightInd w:val="0"/>
              <w:spacing w:after="0" w:line="240" w:lineRule="auto"/>
              <w:jc w:val="right"/>
              <w:rPr>
                <w:rFonts w:ascii="Arial" w:hAnsi="Arial" w:cs="Arial"/>
                <w:color w:val="000000"/>
                <w:sz w:val="20"/>
                <w:szCs w:val="20"/>
              </w:rPr>
            </w:pPr>
            <w:r>
              <w:rPr>
                <w:rFonts w:ascii="Arial" w:hAnsi="Arial" w:cs="Arial"/>
                <w:color w:val="000000"/>
                <w:sz w:val="20"/>
                <w:szCs w:val="20"/>
              </w:rPr>
              <w:t>2.553.299.526</w:t>
            </w:r>
          </w:p>
        </w:tc>
        <w:tc>
          <w:tcPr>
            <w:tcW w:w="1571" w:type="dxa"/>
            <w:tcBorders>
              <w:top w:val="single" w:sz="6" w:space="0" w:color="auto"/>
              <w:left w:val="single" w:sz="6" w:space="0" w:color="auto"/>
              <w:bottom w:val="single" w:sz="6" w:space="0" w:color="auto"/>
              <w:right w:val="single" w:sz="6" w:space="0" w:color="auto"/>
            </w:tcBorders>
            <w:hideMark/>
          </w:tcPr>
          <w:p w:rsidR="00261B03" w:rsidRDefault="00261B03">
            <w:pPr>
              <w:autoSpaceDE w:val="0"/>
              <w:adjustRightInd w:val="0"/>
              <w:spacing w:after="0" w:line="240" w:lineRule="auto"/>
              <w:jc w:val="right"/>
              <w:rPr>
                <w:rFonts w:ascii="Arial" w:hAnsi="Arial" w:cs="Arial"/>
                <w:color w:val="000000"/>
                <w:sz w:val="20"/>
                <w:szCs w:val="20"/>
              </w:rPr>
            </w:pPr>
            <w:r>
              <w:rPr>
                <w:rFonts w:ascii="Arial" w:hAnsi="Arial" w:cs="Arial"/>
                <w:color w:val="000000"/>
                <w:sz w:val="20"/>
                <w:szCs w:val="20"/>
              </w:rPr>
              <w:t>2.619.253.760</w:t>
            </w:r>
          </w:p>
        </w:tc>
        <w:tc>
          <w:tcPr>
            <w:tcW w:w="1571" w:type="dxa"/>
            <w:tcBorders>
              <w:top w:val="single" w:sz="6" w:space="0" w:color="auto"/>
              <w:left w:val="single" w:sz="6" w:space="0" w:color="auto"/>
              <w:bottom w:val="single" w:sz="6" w:space="0" w:color="auto"/>
              <w:right w:val="single" w:sz="6" w:space="0" w:color="auto"/>
            </w:tcBorders>
            <w:hideMark/>
          </w:tcPr>
          <w:p w:rsidR="00261B03" w:rsidRDefault="00261B03">
            <w:pPr>
              <w:autoSpaceDE w:val="0"/>
              <w:adjustRightInd w:val="0"/>
              <w:spacing w:after="0" w:line="240" w:lineRule="auto"/>
              <w:jc w:val="right"/>
              <w:rPr>
                <w:rFonts w:ascii="Arial" w:hAnsi="Arial" w:cs="Arial"/>
                <w:color w:val="000000"/>
                <w:sz w:val="20"/>
                <w:szCs w:val="20"/>
              </w:rPr>
            </w:pPr>
            <w:r>
              <w:rPr>
                <w:rFonts w:ascii="Arial" w:hAnsi="Arial" w:cs="Arial"/>
                <w:color w:val="000000"/>
                <w:sz w:val="20"/>
                <w:szCs w:val="20"/>
              </w:rPr>
              <w:t>2.713.521.004</w:t>
            </w:r>
          </w:p>
        </w:tc>
        <w:tc>
          <w:tcPr>
            <w:tcW w:w="1571" w:type="dxa"/>
            <w:tcBorders>
              <w:top w:val="single" w:sz="6" w:space="0" w:color="auto"/>
              <w:left w:val="single" w:sz="6" w:space="0" w:color="auto"/>
              <w:bottom w:val="single" w:sz="6" w:space="0" w:color="auto"/>
              <w:right w:val="single" w:sz="6" w:space="0" w:color="auto"/>
            </w:tcBorders>
            <w:hideMark/>
          </w:tcPr>
          <w:p w:rsidR="00261B03" w:rsidRDefault="00261B03">
            <w:pPr>
              <w:autoSpaceDE w:val="0"/>
              <w:adjustRightInd w:val="0"/>
              <w:spacing w:after="0" w:line="240" w:lineRule="auto"/>
              <w:jc w:val="right"/>
              <w:rPr>
                <w:rFonts w:ascii="Arial" w:hAnsi="Arial" w:cs="Arial"/>
                <w:color w:val="000000"/>
                <w:sz w:val="20"/>
                <w:szCs w:val="20"/>
              </w:rPr>
            </w:pPr>
            <w:r>
              <w:rPr>
                <w:rFonts w:ascii="Arial" w:hAnsi="Arial" w:cs="Arial"/>
                <w:color w:val="000000"/>
                <w:sz w:val="20"/>
                <w:szCs w:val="20"/>
              </w:rPr>
              <w:t>2.745.047.284</w:t>
            </w:r>
          </w:p>
        </w:tc>
      </w:tr>
      <w:tr w:rsidR="00261B03" w:rsidTr="00034423">
        <w:trPr>
          <w:trHeight w:val="241"/>
        </w:trPr>
        <w:tc>
          <w:tcPr>
            <w:tcW w:w="2401" w:type="dxa"/>
            <w:tcBorders>
              <w:top w:val="single" w:sz="6" w:space="0" w:color="auto"/>
              <w:left w:val="single" w:sz="6" w:space="0" w:color="auto"/>
              <w:bottom w:val="single" w:sz="6" w:space="0" w:color="auto"/>
              <w:right w:val="nil"/>
            </w:tcBorders>
            <w:hideMark/>
          </w:tcPr>
          <w:p w:rsidR="00261B03" w:rsidRDefault="00261B03">
            <w:pPr>
              <w:autoSpaceDE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Funcionamiento</w:t>
            </w:r>
          </w:p>
        </w:tc>
        <w:tc>
          <w:tcPr>
            <w:tcW w:w="1571" w:type="dxa"/>
            <w:tcBorders>
              <w:top w:val="single" w:sz="6" w:space="0" w:color="auto"/>
              <w:left w:val="single" w:sz="6" w:space="0" w:color="auto"/>
              <w:bottom w:val="single" w:sz="6" w:space="0" w:color="auto"/>
              <w:right w:val="single" w:sz="6" w:space="0" w:color="auto"/>
            </w:tcBorders>
            <w:hideMark/>
          </w:tcPr>
          <w:p w:rsidR="00261B03" w:rsidRDefault="00261B03">
            <w:pPr>
              <w:autoSpaceDE w:val="0"/>
              <w:adjustRightInd w:val="0"/>
              <w:spacing w:after="0" w:line="240" w:lineRule="auto"/>
              <w:jc w:val="right"/>
              <w:rPr>
                <w:rFonts w:ascii="Arial" w:hAnsi="Arial" w:cs="Arial"/>
                <w:color w:val="000000"/>
                <w:sz w:val="20"/>
                <w:szCs w:val="20"/>
              </w:rPr>
            </w:pPr>
            <w:r>
              <w:rPr>
                <w:rFonts w:ascii="Arial" w:hAnsi="Arial" w:cs="Arial"/>
                <w:color w:val="000000"/>
                <w:sz w:val="20"/>
                <w:szCs w:val="20"/>
              </w:rPr>
              <w:t>2.260.663.981</w:t>
            </w:r>
          </w:p>
        </w:tc>
        <w:tc>
          <w:tcPr>
            <w:tcW w:w="1571" w:type="dxa"/>
            <w:tcBorders>
              <w:top w:val="single" w:sz="6" w:space="0" w:color="auto"/>
              <w:left w:val="single" w:sz="6" w:space="0" w:color="auto"/>
              <w:bottom w:val="single" w:sz="6" w:space="0" w:color="auto"/>
              <w:right w:val="single" w:sz="6" w:space="0" w:color="auto"/>
            </w:tcBorders>
            <w:hideMark/>
          </w:tcPr>
          <w:p w:rsidR="00261B03" w:rsidRDefault="00261B03">
            <w:pPr>
              <w:autoSpaceDE w:val="0"/>
              <w:adjustRightInd w:val="0"/>
              <w:spacing w:after="0" w:line="240" w:lineRule="auto"/>
              <w:jc w:val="right"/>
              <w:rPr>
                <w:rFonts w:ascii="Arial" w:hAnsi="Arial" w:cs="Arial"/>
                <w:color w:val="000000"/>
                <w:sz w:val="20"/>
                <w:szCs w:val="20"/>
              </w:rPr>
            </w:pPr>
            <w:r>
              <w:rPr>
                <w:rFonts w:ascii="Arial" w:hAnsi="Arial" w:cs="Arial"/>
                <w:color w:val="000000"/>
                <w:sz w:val="20"/>
                <w:szCs w:val="20"/>
              </w:rPr>
              <w:t>2.280.262.322</w:t>
            </w:r>
          </w:p>
        </w:tc>
        <w:tc>
          <w:tcPr>
            <w:tcW w:w="1571" w:type="dxa"/>
            <w:tcBorders>
              <w:top w:val="single" w:sz="6" w:space="0" w:color="auto"/>
              <w:left w:val="single" w:sz="6" w:space="0" w:color="auto"/>
              <w:bottom w:val="single" w:sz="6" w:space="0" w:color="auto"/>
              <w:right w:val="single" w:sz="6" w:space="0" w:color="auto"/>
            </w:tcBorders>
            <w:hideMark/>
          </w:tcPr>
          <w:p w:rsidR="00261B03" w:rsidRDefault="00261B03">
            <w:pPr>
              <w:autoSpaceDE w:val="0"/>
              <w:adjustRightInd w:val="0"/>
              <w:spacing w:after="0" w:line="240" w:lineRule="auto"/>
              <w:jc w:val="right"/>
              <w:rPr>
                <w:rFonts w:ascii="Arial" w:hAnsi="Arial" w:cs="Arial"/>
                <w:color w:val="000000"/>
                <w:sz w:val="20"/>
                <w:szCs w:val="20"/>
              </w:rPr>
            </w:pPr>
            <w:r>
              <w:rPr>
                <w:rFonts w:ascii="Arial" w:hAnsi="Arial" w:cs="Arial"/>
                <w:color w:val="000000"/>
                <w:sz w:val="20"/>
                <w:szCs w:val="20"/>
              </w:rPr>
              <w:t>2.304.337.008</w:t>
            </w:r>
          </w:p>
        </w:tc>
        <w:tc>
          <w:tcPr>
            <w:tcW w:w="1571" w:type="dxa"/>
            <w:tcBorders>
              <w:top w:val="single" w:sz="6" w:space="0" w:color="auto"/>
              <w:left w:val="single" w:sz="6" w:space="0" w:color="auto"/>
              <w:bottom w:val="single" w:sz="6" w:space="0" w:color="auto"/>
              <w:right w:val="single" w:sz="6" w:space="0" w:color="auto"/>
            </w:tcBorders>
            <w:hideMark/>
          </w:tcPr>
          <w:p w:rsidR="00261B03" w:rsidRDefault="00261B03">
            <w:pPr>
              <w:autoSpaceDE w:val="0"/>
              <w:adjustRightInd w:val="0"/>
              <w:spacing w:after="0" w:line="240" w:lineRule="auto"/>
              <w:jc w:val="right"/>
              <w:rPr>
                <w:rFonts w:ascii="Arial" w:hAnsi="Arial" w:cs="Arial"/>
                <w:color w:val="000000"/>
                <w:sz w:val="20"/>
                <w:szCs w:val="20"/>
              </w:rPr>
            </w:pPr>
            <w:r>
              <w:rPr>
                <w:rFonts w:ascii="Arial" w:hAnsi="Arial" w:cs="Arial"/>
                <w:color w:val="000000"/>
                <w:sz w:val="20"/>
                <w:szCs w:val="20"/>
              </w:rPr>
              <w:t>2.314.337.012</w:t>
            </w:r>
          </w:p>
        </w:tc>
      </w:tr>
      <w:tr w:rsidR="00261B03" w:rsidTr="00034423">
        <w:trPr>
          <w:trHeight w:val="241"/>
        </w:trPr>
        <w:tc>
          <w:tcPr>
            <w:tcW w:w="2401" w:type="dxa"/>
            <w:tcBorders>
              <w:top w:val="single" w:sz="6" w:space="0" w:color="auto"/>
              <w:left w:val="single" w:sz="6" w:space="0" w:color="auto"/>
              <w:bottom w:val="single" w:sz="6" w:space="0" w:color="auto"/>
              <w:right w:val="nil"/>
            </w:tcBorders>
            <w:hideMark/>
          </w:tcPr>
          <w:p w:rsidR="00261B03" w:rsidRDefault="00261B03">
            <w:pPr>
              <w:autoSpaceDE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Inversiones</w:t>
            </w:r>
          </w:p>
        </w:tc>
        <w:tc>
          <w:tcPr>
            <w:tcW w:w="1571" w:type="dxa"/>
            <w:tcBorders>
              <w:top w:val="single" w:sz="6" w:space="0" w:color="auto"/>
              <w:left w:val="single" w:sz="6" w:space="0" w:color="auto"/>
              <w:bottom w:val="single" w:sz="6" w:space="0" w:color="auto"/>
              <w:right w:val="single" w:sz="6" w:space="0" w:color="auto"/>
            </w:tcBorders>
            <w:hideMark/>
          </w:tcPr>
          <w:p w:rsidR="00261B03" w:rsidRDefault="00261B03">
            <w:pPr>
              <w:autoSpaceDE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sin información</w:t>
            </w:r>
          </w:p>
        </w:tc>
        <w:tc>
          <w:tcPr>
            <w:tcW w:w="1571" w:type="dxa"/>
            <w:tcBorders>
              <w:top w:val="single" w:sz="6" w:space="0" w:color="auto"/>
              <w:left w:val="single" w:sz="6" w:space="0" w:color="auto"/>
              <w:bottom w:val="single" w:sz="6" w:space="0" w:color="auto"/>
              <w:right w:val="single" w:sz="6" w:space="0" w:color="auto"/>
            </w:tcBorders>
            <w:hideMark/>
          </w:tcPr>
          <w:p w:rsidR="00261B03" w:rsidRDefault="00261B03">
            <w:pPr>
              <w:autoSpaceDE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1.096.579.333</w:t>
            </w:r>
          </w:p>
        </w:tc>
        <w:tc>
          <w:tcPr>
            <w:tcW w:w="1571" w:type="dxa"/>
            <w:tcBorders>
              <w:top w:val="single" w:sz="6" w:space="0" w:color="auto"/>
              <w:left w:val="single" w:sz="6" w:space="0" w:color="auto"/>
              <w:bottom w:val="single" w:sz="6" w:space="0" w:color="auto"/>
              <w:right w:val="single" w:sz="6" w:space="0" w:color="auto"/>
            </w:tcBorders>
            <w:hideMark/>
          </w:tcPr>
          <w:p w:rsidR="00261B03" w:rsidRDefault="00261B03">
            <w:pPr>
              <w:autoSpaceDE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1.709.872.667</w:t>
            </w:r>
          </w:p>
        </w:tc>
        <w:tc>
          <w:tcPr>
            <w:tcW w:w="1571" w:type="dxa"/>
            <w:tcBorders>
              <w:top w:val="single" w:sz="6" w:space="0" w:color="auto"/>
              <w:left w:val="single" w:sz="6" w:space="0" w:color="auto"/>
              <w:bottom w:val="single" w:sz="6" w:space="0" w:color="auto"/>
              <w:right w:val="single" w:sz="6" w:space="0" w:color="auto"/>
            </w:tcBorders>
            <w:hideMark/>
          </w:tcPr>
          <w:p w:rsidR="00261B03" w:rsidRDefault="00261B03">
            <w:pPr>
              <w:autoSpaceDE w:val="0"/>
              <w:adjustRightInd w:val="0"/>
              <w:spacing w:after="0" w:line="240" w:lineRule="auto"/>
              <w:jc w:val="right"/>
              <w:rPr>
                <w:rFonts w:ascii="Arial" w:hAnsi="Arial" w:cs="Arial"/>
                <w:color w:val="000000"/>
                <w:sz w:val="20"/>
                <w:szCs w:val="20"/>
              </w:rPr>
            </w:pPr>
            <w:r>
              <w:rPr>
                <w:rFonts w:ascii="Arial" w:hAnsi="Arial" w:cs="Arial"/>
                <w:color w:val="000000"/>
                <w:sz w:val="20"/>
                <w:szCs w:val="20"/>
              </w:rPr>
              <w:t>347.948.000</w:t>
            </w:r>
          </w:p>
        </w:tc>
      </w:tr>
      <w:tr w:rsidR="00261B03" w:rsidTr="00034423">
        <w:trPr>
          <w:trHeight w:val="241"/>
        </w:trPr>
        <w:tc>
          <w:tcPr>
            <w:tcW w:w="2401" w:type="dxa"/>
            <w:tcBorders>
              <w:top w:val="single" w:sz="6" w:space="0" w:color="auto"/>
              <w:left w:val="single" w:sz="6" w:space="0" w:color="auto"/>
              <w:bottom w:val="single" w:sz="6" w:space="0" w:color="auto"/>
              <w:right w:val="nil"/>
            </w:tcBorders>
            <w:hideMark/>
          </w:tcPr>
          <w:p w:rsidR="00261B03" w:rsidRDefault="00261B03">
            <w:pPr>
              <w:autoSpaceDE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Junta</w:t>
            </w:r>
          </w:p>
        </w:tc>
        <w:tc>
          <w:tcPr>
            <w:tcW w:w="1571" w:type="dxa"/>
            <w:tcBorders>
              <w:top w:val="single" w:sz="6" w:space="0" w:color="auto"/>
              <w:left w:val="single" w:sz="6" w:space="0" w:color="auto"/>
              <w:bottom w:val="single" w:sz="6" w:space="0" w:color="auto"/>
              <w:right w:val="single" w:sz="6" w:space="0" w:color="auto"/>
            </w:tcBorders>
            <w:hideMark/>
          </w:tcPr>
          <w:p w:rsidR="00261B03" w:rsidRDefault="00261B03">
            <w:pPr>
              <w:autoSpaceDE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sin información</w:t>
            </w:r>
          </w:p>
        </w:tc>
        <w:tc>
          <w:tcPr>
            <w:tcW w:w="1571" w:type="dxa"/>
            <w:tcBorders>
              <w:top w:val="single" w:sz="6" w:space="0" w:color="auto"/>
              <w:left w:val="single" w:sz="6" w:space="0" w:color="auto"/>
              <w:bottom w:val="single" w:sz="6" w:space="0" w:color="auto"/>
              <w:right w:val="single" w:sz="6" w:space="0" w:color="auto"/>
            </w:tcBorders>
            <w:hideMark/>
          </w:tcPr>
          <w:p w:rsidR="00261B03" w:rsidRDefault="00261B03">
            <w:pPr>
              <w:autoSpaceDE w:val="0"/>
              <w:adjustRightInd w:val="0"/>
              <w:spacing w:after="0" w:line="240" w:lineRule="auto"/>
              <w:jc w:val="right"/>
              <w:rPr>
                <w:rFonts w:ascii="Arial" w:hAnsi="Arial" w:cs="Arial"/>
                <w:color w:val="000000"/>
                <w:sz w:val="20"/>
                <w:szCs w:val="20"/>
              </w:rPr>
            </w:pPr>
            <w:r>
              <w:rPr>
                <w:rFonts w:ascii="Arial" w:hAnsi="Arial" w:cs="Arial"/>
                <w:color w:val="000000"/>
                <w:sz w:val="20"/>
                <w:szCs w:val="20"/>
              </w:rPr>
              <w:t>244.525.342</w:t>
            </w:r>
          </w:p>
        </w:tc>
        <w:tc>
          <w:tcPr>
            <w:tcW w:w="1571" w:type="dxa"/>
            <w:tcBorders>
              <w:top w:val="single" w:sz="6" w:space="0" w:color="auto"/>
              <w:left w:val="single" w:sz="6" w:space="0" w:color="auto"/>
              <w:bottom w:val="single" w:sz="6" w:space="0" w:color="auto"/>
              <w:right w:val="single" w:sz="6" w:space="0" w:color="auto"/>
            </w:tcBorders>
            <w:hideMark/>
          </w:tcPr>
          <w:p w:rsidR="00261B03" w:rsidRDefault="00261B03">
            <w:pPr>
              <w:autoSpaceDE w:val="0"/>
              <w:adjustRightInd w:val="0"/>
              <w:spacing w:after="0" w:line="240" w:lineRule="auto"/>
              <w:jc w:val="right"/>
              <w:rPr>
                <w:rFonts w:ascii="Arial" w:hAnsi="Arial" w:cs="Arial"/>
                <w:color w:val="000000"/>
                <w:sz w:val="20"/>
                <w:szCs w:val="20"/>
              </w:rPr>
            </w:pPr>
            <w:r>
              <w:rPr>
                <w:rFonts w:ascii="Arial" w:hAnsi="Arial" w:cs="Arial"/>
                <w:color w:val="000000"/>
                <w:sz w:val="20"/>
                <w:szCs w:val="20"/>
              </w:rPr>
              <w:t>244.525.342</w:t>
            </w:r>
          </w:p>
        </w:tc>
        <w:tc>
          <w:tcPr>
            <w:tcW w:w="1571" w:type="dxa"/>
            <w:tcBorders>
              <w:top w:val="single" w:sz="6" w:space="0" w:color="auto"/>
              <w:left w:val="single" w:sz="6" w:space="0" w:color="auto"/>
              <w:bottom w:val="single" w:sz="6" w:space="0" w:color="auto"/>
              <w:right w:val="single" w:sz="6" w:space="0" w:color="auto"/>
            </w:tcBorders>
            <w:hideMark/>
          </w:tcPr>
          <w:p w:rsidR="00261B03" w:rsidRDefault="00261B03">
            <w:pPr>
              <w:autoSpaceDE w:val="0"/>
              <w:adjustRightInd w:val="0"/>
              <w:spacing w:after="0" w:line="240" w:lineRule="auto"/>
              <w:jc w:val="right"/>
              <w:rPr>
                <w:rFonts w:ascii="Arial" w:hAnsi="Arial" w:cs="Arial"/>
                <w:color w:val="000000"/>
                <w:sz w:val="20"/>
                <w:szCs w:val="20"/>
              </w:rPr>
            </w:pPr>
            <w:r>
              <w:rPr>
                <w:rFonts w:ascii="Arial" w:hAnsi="Arial" w:cs="Arial"/>
                <w:color w:val="000000"/>
                <w:sz w:val="20"/>
                <w:szCs w:val="20"/>
              </w:rPr>
              <w:t>244.525.342</w:t>
            </w:r>
          </w:p>
        </w:tc>
      </w:tr>
      <w:tr w:rsidR="00261B03" w:rsidTr="00034423">
        <w:trPr>
          <w:trHeight w:val="241"/>
        </w:trPr>
        <w:tc>
          <w:tcPr>
            <w:tcW w:w="2401" w:type="dxa"/>
            <w:tcBorders>
              <w:top w:val="single" w:sz="6" w:space="0" w:color="auto"/>
              <w:left w:val="single" w:sz="6" w:space="0" w:color="auto"/>
              <w:bottom w:val="single" w:sz="6" w:space="0" w:color="auto"/>
              <w:right w:val="nil"/>
            </w:tcBorders>
            <w:hideMark/>
          </w:tcPr>
          <w:p w:rsidR="00261B03" w:rsidRDefault="00261B03">
            <w:pPr>
              <w:autoSpaceDE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TOTALES</w:t>
            </w:r>
          </w:p>
        </w:tc>
        <w:tc>
          <w:tcPr>
            <w:tcW w:w="1571" w:type="dxa"/>
            <w:tcBorders>
              <w:top w:val="single" w:sz="6" w:space="0" w:color="auto"/>
              <w:left w:val="single" w:sz="6" w:space="0" w:color="auto"/>
              <w:bottom w:val="single" w:sz="6" w:space="0" w:color="auto"/>
              <w:right w:val="single" w:sz="6" w:space="0" w:color="auto"/>
            </w:tcBorders>
          </w:tcPr>
          <w:p w:rsidR="00261B03" w:rsidRDefault="00261B03">
            <w:pPr>
              <w:autoSpaceDE w:val="0"/>
              <w:adjustRightInd w:val="0"/>
              <w:spacing w:after="0" w:line="240" w:lineRule="auto"/>
              <w:jc w:val="right"/>
              <w:rPr>
                <w:rFonts w:cs="Calibri"/>
                <w:color w:val="000000"/>
              </w:rPr>
            </w:pPr>
          </w:p>
        </w:tc>
        <w:tc>
          <w:tcPr>
            <w:tcW w:w="1571" w:type="dxa"/>
            <w:tcBorders>
              <w:top w:val="single" w:sz="6" w:space="0" w:color="auto"/>
              <w:left w:val="single" w:sz="6" w:space="0" w:color="auto"/>
              <w:bottom w:val="single" w:sz="6" w:space="0" w:color="auto"/>
              <w:right w:val="single" w:sz="6" w:space="0" w:color="auto"/>
            </w:tcBorders>
            <w:hideMark/>
          </w:tcPr>
          <w:p w:rsidR="00261B03" w:rsidRDefault="00261B03">
            <w:pPr>
              <w:autoSpaceDE w:val="0"/>
              <w:adjustRightInd w:val="0"/>
              <w:spacing w:after="0" w:line="240" w:lineRule="auto"/>
              <w:jc w:val="right"/>
              <w:rPr>
                <w:rFonts w:cs="Calibri"/>
                <w:color w:val="000000"/>
              </w:rPr>
            </w:pPr>
            <w:r>
              <w:rPr>
                <w:rFonts w:cs="Calibri"/>
                <w:color w:val="000000"/>
              </w:rPr>
              <w:t>6.240.620.758</w:t>
            </w:r>
          </w:p>
        </w:tc>
        <w:tc>
          <w:tcPr>
            <w:tcW w:w="1571" w:type="dxa"/>
            <w:tcBorders>
              <w:top w:val="single" w:sz="6" w:space="0" w:color="auto"/>
              <w:left w:val="single" w:sz="6" w:space="0" w:color="auto"/>
              <w:bottom w:val="single" w:sz="6" w:space="0" w:color="auto"/>
              <w:right w:val="single" w:sz="6" w:space="0" w:color="auto"/>
            </w:tcBorders>
            <w:hideMark/>
          </w:tcPr>
          <w:p w:rsidR="00261B03" w:rsidRDefault="00261B03">
            <w:pPr>
              <w:autoSpaceDE w:val="0"/>
              <w:adjustRightInd w:val="0"/>
              <w:spacing w:after="0" w:line="240" w:lineRule="auto"/>
              <w:jc w:val="right"/>
              <w:rPr>
                <w:rFonts w:cs="Calibri"/>
                <w:color w:val="000000"/>
              </w:rPr>
            </w:pPr>
            <w:r>
              <w:rPr>
                <w:rFonts w:cs="Calibri"/>
                <w:color w:val="000000"/>
              </w:rPr>
              <w:t>6.972.256.021</w:t>
            </w:r>
          </w:p>
        </w:tc>
        <w:tc>
          <w:tcPr>
            <w:tcW w:w="1571" w:type="dxa"/>
            <w:tcBorders>
              <w:top w:val="single" w:sz="6" w:space="0" w:color="auto"/>
              <w:left w:val="single" w:sz="6" w:space="0" w:color="auto"/>
              <w:bottom w:val="single" w:sz="6" w:space="0" w:color="auto"/>
              <w:right w:val="single" w:sz="6" w:space="0" w:color="auto"/>
            </w:tcBorders>
            <w:hideMark/>
          </w:tcPr>
          <w:p w:rsidR="00261B03" w:rsidRDefault="00261B03">
            <w:pPr>
              <w:autoSpaceDE w:val="0"/>
              <w:adjustRightInd w:val="0"/>
              <w:spacing w:after="0" w:line="240" w:lineRule="auto"/>
              <w:jc w:val="right"/>
              <w:rPr>
                <w:rFonts w:cs="Calibri"/>
                <w:color w:val="000000"/>
              </w:rPr>
            </w:pPr>
            <w:r>
              <w:rPr>
                <w:rFonts w:cs="Calibri"/>
                <w:color w:val="000000"/>
              </w:rPr>
              <w:t>5.651.857.638</w:t>
            </w:r>
          </w:p>
        </w:tc>
      </w:tr>
    </w:tbl>
    <w:p w:rsidR="00261B03" w:rsidRDefault="00261B03" w:rsidP="000D17BD">
      <w:pPr>
        <w:widowControl w:val="0"/>
        <w:spacing w:after="0" w:line="240" w:lineRule="auto"/>
        <w:jc w:val="center"/>
        <w:rPr>
          <w:rFonts w:ascii="Arial" w:eastAsia="Times New Roman" w:hAnsi="Arial" w:cs="Arial"/>
          <w:b/>
          <w:snapToGrid w:val="0"/>
          <w:sz w:val="24"/>
          <w:szCs w:val="20"/>
          <w:highlight w:val="yellow"/>
          <w:lang w:eastAsia="ar-SA"/>
        </w:rPr>
      </w:pPr>
    </w:p>
    <w:p w:rsidR="00261B03" w:rsidRDefault="00261B03" w:rsidP="000D17BD">
      <w:pPr>
        <w:spacing w:line="360" w:lineRule="auto"/>
        <w:jc w:val="both"/>
        <w:rPr>
          <w:rFonts w:ascii="Arial" w:eastAsia="Times New Roman" w:hAnsi="Arial" w:cs="Arial"/>
          <w:kern w:val="2"/>
          <w:sz w:val="24"/>
          <w:szCs w:val="24"/>
          <w:lang w:eastAsia="ar-SA"/>
        </w:rPr>
      </w:pPr>
      <w:r>
        <w:rPr>
          <w:rFonts w:ascii="Arial" w:hAnsi="Arial" w:cs="Arial"/>
          <w:b/>
          <w:sz w:val="24"/>
          <w:szCs w:val="24"/>
        </w:rPr>
        <w:t>3.2)</w:t>
      </w:r>
      <w:r>
        <w:rPr>
          <w:rFonts w:ascii="Arial" w:hAnsi="Arial" w:cs="Arial"/>
          <w:sz w:val="24"/>
          <w:szCs w:val="24"/>
        </w:rPr>
        <w:t xml:space="preserve"> Si bien se presenta por información complementaria el detalle de cálculo del Grupo “0”, no se detallan los escalafones y sueldos funcionales distribuidos por programa, tanto para funcionarios presupuestados como contratados, incumpliendo con lo establecido en la </w:t>
      </w:r>
      <w:r>
        <w:rPr>
          <w:rFonts w:ascii="Arial" w:eastAsia="Times New Roman" w:hAnsi="Arial" w:cs="Arial"/>
          <w:kern w:val="2"/>
          <w:sz w:val="24"/>
          <w:szCs w:val="24"/>
          <w:lang w:eastAsia="ar-SA"/>
        </w:rPr>
        <w:t>Ordenanza Nº 70 del Tribunal de Cuentas de fecha 20/07/94.</w:t>
      </w:r>
    </w:p>
    <w:p w:rsidR="00261B03" w:rsidRDefault="00261B03" w:rsidP="006B778D">
      <w:pPr>
        <w:widowControl w:val="0"/>
        <w:spacing w:after="0" w:line="360" w:lineRule="auto"/>
        <w:jc w:val="both"/>
        <w:rPr>
          <w:rFonts w:ascii="Arial" w:eastAsia="Times New Roman" w:hAnsi="Arial" w:cs="Arial"/>
          <w:bCs/>
          <w:snapToGrid w:val="0"/>
          <w:sz w:val="24"/>
          <w:szCs w:val="20"/>
          <w:lang w:val="es-ES_tradnl" w:eastAsia="es-ES"/>
        </w:rPr>
      </w:pPr>
      <w:r>
        <w:rPr>
          <w:rFonts w:ascii="Arial" w:eastAsia="Times New Roman" w:hAnsi="Arial" w:cs="Arial"/>
          <w:b/>
          <w:bCs/>
          <w:snapToGrid w:val="0"/>
          <w:sz w:val="24"/>
          <w:szCs w:val="20"/>
          <w:lang w:val="es-ES_tradnl" w:eastAsia="es-ES"/>
        </w:rPr>
        <w:t>3.3)</w:t>
      </w:r>
      <w:r>
        <w:rPr>
          <w:rFonts w:ascii="Arial" w:eastAsia="Times New Roman" w:hAnsi="Arial" w:cs="Arial"/>
          <w:bCs/>
          <w:snapToGrid w:val="0"/>
          <w:sz w:val="24"/>
          <w:szCs w:val="20"/>
          <w:lang w:val="es-ES_tradnl" w:eastAsia="es-ES"/>
        </w:rPr>
        <w:t xml:space="preserve"> Con relación al déficit acumulado presentado por la Intendencia al 31/12/17, el mismo asciende a $  2.167:280.802.- </w:t>
      </w:r>
      <w:r>
        <w:rPr>
          <w:rFonts w:ascii="Arial" w:eastAsia="Times New Roman" w:hAnsi="Arial" w:cs="Arial"/>
          <w:snapToGrid w:val="0"/>
          <w:kern w:val="18"/>
          <w:sz w:val="24"/>
          <w:szCs w:val="20"/>
          <w:lang w:val="es-ES_tradnl" w:eastAsia="es-ES"/>
        </w:rPr>
        <w:t>(no aprobado aún por este Tribunal). L</w:t>
      </w:r>
      <w:r>
        <w:rPr>
          <w:rFonts w:ascii="Arial" w:eastAsia="Times New Roman" w:hAnsi="Arial" w:cs="Arial"/>
          <w:bCs/>
          <w:snapToGrid w:val="0"/>
          <w:sz w:val="24"/>
          <w:szCs w:val="20"/>
          <w:lang w:val="es-ES_tradnl" w:eastAsia="es-ES"/>
        </w:rPr>
        <w:t>os ingresos presupuestados para los años 2018 a 2020, no son suficientes para financiar el déficit acumulado en el quinquenio, contraviniéndose en consecuencia lo dispuesto por el Artículo 225 de la Constitución de la República.</w:t>
      </w:r>
    </w:p>
    <w:p w:rsidR="00261B03" w:rsidRPr="00D913CD" w:rsidRDefault="00261B03" w:rsidP="006B778D">
      <w:pPr>
        <w:widowControl w:val="0"/>
        <w:spacing w:after="0" w:line="360" w:lineRule="auto"/>
        <w:jc w:val="both"/>
        <w:rPr>
          <w:rFonts w:ascii="Arial" w:eastAsia="Times New Roman" w:hAnsi="Arial" w:cs="Arial"/>
          <w:sz w:val="24"/>
          <w:szCs w:val="24"/>
          <w:lang w:eastAsia="es-ES"/>
        </w:rPr>
      </w:pPr>
    </w:p>
    <w:p w:rsidR="00261B03" w:rsidRDefault="00261B03" w:rsidP="006B778D">
      <w:pPr>
        <w:widowControl w:val="0"/>
        <w:spacing w:after="0" w:line="360" w:lineRule="auto"/>
        <w:jc w:val="both"/>
        <w:rPr>
          <w:rFonts w:ascii="Arial" w:eastAsia="Times New Roman" w:hAnsi="Arial" w:cs="Arial"/>
          <w:b/>
          <w:sz w:val="24"/>
          <w:szCs w:val="24"/>
          <w:lang w:eastAsia="es-ES"/>
        </w:rPr>
      </w:pPr>
      <w:r>
        <w:rPr>
          <w:rFonts w:ascii="Arial" w:eastAsia="Times New Roman" w:hAnsi="Arial" w:cs="Arial"/>
          <w:b/>
          <w:sz w:val="24"/>
          <w:szCs w:val="24"/>
          <w:lang w:eastAsia="es-ES"/>
        </w:rPr>
        <w:t>4</w:t>
      </w:r>
      <w:r w:rsidRPr="00D913CD">
        <w:rPr>
          <w:rFonts w:ascii="Arial" w:eastAsia="Times New Roman" w:hAnsi="Arial" w:cs="Arial"/>
          <w:b/>
          <w:sz w:val="24"/>
          <w:szCs w:val="24"/>
          <w:lang w:eastAsia="es-ES"/>
        </w:rPr>
        <w:t xml:space="preserve">) Cumplimiento de normas constitucionales, legales y </w:t>
      </w:r>
      <w:r w:rsidR="00034423">
        <w:rPr>
          <w:rFonts w:ascii="Arial" w:eastAsia="Times New Roman" w:hAnsi="Arial" w:cs="Arial"/>
          <w:b/>
          <w:sz w:val="24"/>
          <w:szCs w:val="24"/>
          <w:lang w:eastAsia="es-ES"/>
        </w:rPr>
        <w:t>reglamentarias.</w:t>
      </w:r>
    </w:p>
    <w:p w:rsidR="00261B03" w:rsidRPr="00D913CD" w:rsidRDefault="00261B03" w:rsidP="006B778D">
      <w:pPr>
        <w:widowControl w:val="0"/>
        <w:spacing w:after="0" w:line="360" w:lineRule="auto"/>
        <w:jc w:val="both"/>
        <w:rPr>
          <w:rFonts w:ascii="Arial" w:eastAsia="Times New Roman" w:hAnsi="Arial" w:cs="Arial"/>
          <w:sz w:val="24"/>
          <w:szCs w:val="24"/>
          <w:lang w:eastAsia="es-ES"/>
        </w:rPr>
      </w:pPr>
      <w:r>
        <w:rPr>
          <w:rFonts w:ascii="Arial" w:eastAsia="Times New Roman" w:hAnsi="Arial" w:cs="Arial"/>
          <w:b/>
          <w:bCs/>
          <w:sz w:val="24"/>
          <w:szCs w:val="24"/>
          <w:lang w:eastAsia="es-ES"/>
        </w:rPr>
        <w:t>4</w:t>
      </w:r>
      <w:r w:rsidRPr="00D913CD">
        <w:rPr>
          <w:rFonts w:ascii="Arial" w:eastAsia="Times New Roman" w:hAnsi="Arial" w:cs="Arial"/>
          <w:b/>
          <w:bCs/>
          <w:sz w:val="24"/>
          <w:szCs w:val="24"/>
          <w:lang w:eastAsia="es-ES"/>
        </w:rPr>
        <w:t>.1)</w:t>
      </w:r>
      <w:r w:rsidRPr="00D913CD">
        <w:rPr>
          <w:rFonts w:ascii="Arial" w:eastAsia="Times New Roman" w:hAnsi="Arial" w:cs="Arial"/>
          <w:sz w:val="24"/>
          <w:szCs w:val="24"/>
          <w:lang w:eastAsia="es-ES"/>
        </w:rPr>
        <w:t xml:space="preserve"> </w:t>
      </w:r>
      <w:r>
        <w:rPr>
          <w:rFonts w:ascii="Arial" w:eastAsia="Times New Roman" w:hAnsi="Arial" w:cs="Arial"/>
          <w:sz w:val="24"/>
          <w:szCs w:val="24"/>
          <w:lang w:eastAsia="es-ES"/>
        </w:rPr>
        <w:t>Este Tribunal emite su dictamen en el plazo constitucionalmente previsto a esos efectos (</w:t>
      </w:r>
      <w:r w:rsidRPr="00D913CD">
        <w:rPr>
          <w:rFonts w:ascii="Arial" w:eastAsia="Times New Roman" w:hAnsi="Arial" w:cs="Arial"/>
          <w:sz w:val="24"/>
          <w:szCs w:val="24"/>
          <w:lang w:eastAsia="es-ES"/>
        </w:rPr>
        <w:t>Artículos 225 Inciso 2 y 275 Numeral 3) de la Constitución de la República</w:t>
      </w:r>
      <w:r>
        <w:rPr>
          <w:rFonts w:ascii="Arial" w:eastAsia="Times New Roman" w:hAnsi="Arial" w:cs="Arial"/>
          <w:sz w:val="24"/>
          <w:szCs w:val="24"/>
          <w:lang w:eastAsia="es-ES"/>
        </w:rPr>
        <w:t>).</w:t>
      </w:r>
    </w:p>
    <w:p w:rsidR="00261B03" w:rsidRDefault="00261B03" w:rsidP="00D913CD">
      <w:pPr>
        <w:widowControl w:val="0"/>
        <w:tabs>
          <w:tab w:val="left" w:pos="0"/>
        </w:tabs>
        <w:spacing w:after="0" w:line="360" w:lineRule="auto"/>
        <w:jc w:val="both"/>
        <w:rPr>
          <w:rFonts w:ascii="Arial" w:eastAsia="Times New Roman" w:hAnsi="Arial" w:cs="Arial"/>
          <w:snapToGrid w:val="0"/>
          <w:spacing w:val="-3"/>
          <w:sz w:val="24"/>
          <w:szCs w:val="20"/>
          <w:lang w:val="es-ES_tradnl" w:eastAsia="es-ES"/>
        </w:rPr>
      </w:pPr>
      <w:r>
        <w:rPr>
          <w:rFonts w:ascii="Arial" w:eastAsia="Times New Roman" w:hAnsi="Arial" w:cs="Arial"/>
          <w:b/>
          <w:snapToGrid w:val="0"/>
          <w:spacing w:val="-3"/>
          <w:sz w:val="24"/>
          <w:szCs w:val="20"/>
          <w:lang w:val="es-ES_tradnl" w:eastAsia="es-ES"/>
        </w:rPr>
        <w:t>4.2</w:t>
      </w:r>
      <w:r w:rsidRPr="00727892">
        <w:rPr>
          <w:rFonts w:ascii="Arial" w:eastAsia="Times New Roman" w:hAnsi="Arial" w:cs="Arial"/>
          <w:b/>
          <w:snapToGrid w:val="0"/>
          <w:spacing w:val="-3"/>
          <w:sz w:val="24"/>
          <w:szCs w:val="20"/>
          <w:lang w:val="es-ES_tradnl" w:eastAsia="es-ES"/>
        </w:rPr>
        <w:t>)</w:t>
      </w:r>
      <w:r>
        <w:rPr>
          <w:rFonts w:ascii="Arial" w:eastAsia="Times New Roman" w:hAnsi="Arial" w:cs="Arial"/>
          <w:snapToGrid w:val="0"/>
          <w:spacing w:val="-3"/>
          <w:sz w:val="24"/>
          <w:szCs w:val="20"/>
          <w:lang w:val="es-ES_tradnl" w:eastAsia="es-ES"/>
        </w:rPr>
        <w:t xml:space="preserve">  El  Artículo 7.3) deja librado a la reglamentación que dicte con posterioridad el Ejecutivo Departamental  el monto de la reducción o pérdida de la partida de Asiduidad,  contraviniendo lo dispuesto por el Artículo 86 de la Constitución, en tanto establece que la fijación de las dotaciones debe estar prevista por la norma presupuestal.</w:t>
      </w:r>
    </w:p>
    <w:p w:rsidR="00261B03" w:rsidRDefault="00261B03" w:rsidP="00D913CD">
      <w:pPr>
        <w:widowControl w:val="0"/>
        <w:tabs>
          <w:tab w:val="left" w:pos="0"/>
        </w:tabs>
        <w:spacing w:after="0" w:line="360" w:lineRule="auto"/>
        <w:jc w:val="both"/>
        <w:rPr>
          <w:rFonts w:ascii="Arial" w:eastAsia="Times New Roman" w:hAnsi="Arial" w:cs="Arial"/>
          <w:snapToGrid w:val="0"/>
          <w:spacing w:val="-3"/>
          <w:sz w:val="24"/>
          <w:szCs w:val="20"/>
          <w:lang w:val="es-ES_tradnl" w:eastAsia="es-ES"/>
        </w:rPr>
      </w:pPr>
      <w:r>
        <w:rPr>
          <w:rFonts w:ascii="Arial" w:eastAsia="Times New Roman" w:hAnsi="Arial" w:cs="Arial"/>
          <w:b/>
          <w:snapToGrid w:val="0"/>
          <w:spacing w:val="-3"/>
          <w:sz w:val="24"/>
          <w:szCs w:val="20"/>
          <w:lang w:val="es-ES_tradnl" w:eastAsia="es-ES"/>
        </w:rPr>
        <w:t>4</w:t>
      </w:r>
      <w:r w:rsidRPr="003B2CDC">
        <w:rPr>
          <w:rFonts w:ascii="Arial" w:eastAsia="Times New Roman" w:hAnsi="Arial" w:cs="Arial"/>
          <w:b/>
          <w:snapToGrid w:val="0"/>
          <w:spacing w:val="-3"/>
          <w:sz w:val="24"/>
          <w:szCs w:val="20"/>
          <w:lang w:val="es-ES_tradnl" w:eastAsia="es-ES"/>
        </w:rPr>
        <w:t>.3)</w:t>
      </w:r>
      <w:r>
        <w:rPr>
          <w:rFonts w:ascii="Arial" w:eastAsia="Times New Roman" w:hAnsi="Arial" w:cs="Arial"/>
          <w:snapToGrid w:val="0"/>
          <w:spacing w:val="-3"/>
          <w:sz w:val="24"/>
          <w:szCs w:val="20"/>
          <w:lang w:val="es-ES_tradnl" w:eastAsia="es-ES"/>
        </w:rPr>
        <w:t xml:space="preserve"> Los Artículos 12 a 15 que regulan la tasa de higiene y salubridad creada por el  Artículo 11, (que gravará a los propietarios de edificios en régimen de propiedad horizontal con más de 10 unidades que cuenten con espacios comunes de esparcimiento y recreación), si bien determinan el sujeto pasivo y el monto, no precisan cual es el servicio que prestará la Intendencia, que constituye un elemento esencial para determinar la naturaleza jurídica del tributo y si se trata, efectivamente, de una tasa. En tanto se encomienda al Ejecutivo Departamental la reglamentación de la tasa que se crea, este Tribunal se expedirá respecto de su legalidad en el momento en el que le sea remi</w:t>
      </w:r>
      <w:r w:rsidR="00034423">
        <w:rPr>
          <w:rFonts w:ascii="Arial" w:eastAsia="Times New Roman" w:hAnsi="Arial" w:cs="Arial"/>
          <w:snapToGrid w:val="0"/>
          <w:spacing w:val="-3"/>
          <w:sz w:val="24"/>
          <w:szCs w:val="20"/>
          <w:lang w:val="es-ES_tradnl" w:eastAsia="es-ES"/>
        </w:rPr>
        <w:t>tida la misma.</w:t>
      </w:r>
    </w:p>
    <w:p w:rsidR="00261B03" w:rsidRDefault="00261B03" w:rsidP="00D913CD">
      <w:pPr>
        <w:widowControl w:val="0"/>
        <w:tabs>
          <w:tab w:val="left" w:pos="0"/>
        </w:tabs>
        <w:spacing w:after="0" w:line="360" w:lineRule="auto"/>
        <w:jc w:val="both"/>
        <w:rPr>
          <w:rFonts w:ascii="Arial" w:eastAsia="Times New Roman" w:hAnsi="Arial" w:cs="Arial"/>
          <w:snapToGrid w:val="0"/>
          <w:spacing w:val="-3"/>
          <w:sz w:val="24"/>
          <w:szCs w:val="20"/>
          <w:lang w:val="es-ES_tradnl" w:eastAsia="es-ES"/>
        </w:rPr>
      </w:pPr>
      <w:r>
        <w:rPr>
          <w:rFonts w:ascii="Arial" w:eastAsia="Times New Roman" w:hAnsi="Arial" w:cs="Arial"/>
          <w:b/>
          <w:snapToGrid w:val="0"/>
          <w:spacing w:val="-3"/>
          <w:sz w:val="24"/>
          <w:szCs w:val="20"/>
          <w:lang w:val="es-ES_tradnl" w:eastAsia="es-ES"/>
        </w:rPr>
        <w:t>4.4</w:t>
      </w:r>
      <w:r w:rsidRPr="00727892">
        <w:rPr>
          <w:rFonts w:ascii="Arial" w:eastAsia="Times New Roman" w:hAnsi="Arial" w:cs="Arial"/>
          <w:b/>
          <w:snapToGrid w:val="0"/>
          <w:spacing w:val="-3"/>
          <w:sz w:val="24"/>
          <w:szCs w:val="20"/>
          <w:lang w:val="es-ES_tradnl" w:eastAsia="es-ES"/>
        </w:rPr>
        <w:t>)</w:t>
      </w:r>
      <w:r>
        <w:rPr>
          <w:rFonts w:ascii="Arial" w:eastAsia="Times New Roman" w:hAnsi="Arial" w:cs="Arial"/>
          <w:snapToGrid w:val="0"/>
          <w:spacing w:val="-3"/>
          <w:sz w:val="24"/>
          <w:szCs w:val="20"/>
          <w:lang w:val="es-ES_tradnl" w:eastAsia="es-ES"/>
        </w:rPr>
        <w:t xml:space="preserve">  La ampliación de los sujetos pasivos del Impuesto General Municipal por el Legislativo Departamental, dispuesta por el Literal A) del Artículo 16, que agrega el término “similar (Tiempo Compartido, Condo-Hotel o Club de Campo)”, vulnera lo preceptuado por el Artículo 275 de la Constitución de la República, que requiere la iniciativa</w:t>
      </w:r>
      <w:r w:rsidR="00034423">
        <w:rPr>
          <w:rFonts w:ascii="Arial" w:eastAsia="Times New Roman" w:hAnsi="Arial" w:cs="Arial"/>
          <w:snapToGrid w:val="0"/>
          <w:spacing w:val="-3"/>
          <w:sz w:val="24"/>
          <w:szCs w:val="20"/>
          <w:lang w:val="es-ES_tradnl" w:eastAsia="es-ES"/>
        </w:rPr>
        <w:t xml:space="preserve"> del Intendente a esos efectos.</w:t>
      </w:r>
    </w:p>
    <w:p w:rsidR="00261B03" w:rsidRDefault="00261B03" w:rsidP="00D913CD">
      <w:pPr>
        <w:widowControl w:val="0"/>
        <w:tabs>
          <w:tab w:val="left" w:pos="0"/>
        </w:tabs>
        <w:spacing w:after="0" w:line="360" w:lineRule="auto"/>
        <w:jc w:val="both"/>
        <w:rPr>
          <w:rFonts w:ascii="Arial" w:eastAsia="Times New Roman" w:hAnsi="Arial" w:cs="Arial"/>
          <w:snapToGrid w:val="0"/>
          <w:spacing w:val="-3"/>
          <w:sz w:val="24"/>
          <w:szCs w:val="20"/>
          <w:lang w:val="es-ES_tradnl" w:eastAsia="es-ES"/>
        </w:rPr>
      </w:pPr>
      <w:r>
        <w:rPr>
          <w:rFonts w:ascii="Arial" w:eastAsia="Times New Roman" w:hAnsi="Arial" w:cs="Arial"/>
          <w:b/>
          <w:snapToGrid w:val="0"/>
          <w:spacing w:val="-3"/>
          <w:sz w:val="24"/>
          <w:szCs w:val="20"/>
          <w:lang w:val="es-ES_tradnl" w:eastAsia="es-ES"/>
        </w:rPr>
        <w:t>4.5</w:t>
      </w:r>
      <w:r w:rsidRPr="00727892">
        <w:rPr>
          <w:rFonts w:ascii="Arial" w:eastAsia="Times New Roman" w:hAnsi="Arial" w:cs="Arial"/>
          <w:b/>
          <w:snapToGrid w:val="0"/>
          <w:spacing w:val="-3"/>
          <w:sz w:val="24"/>
          <w:szCs w:val="20"/>
          <w:lang w:val="es-ES_tradnl" w:eastAsia="es-ES"/>
        </w:rPr>
        <w:t>)</w:t>
      </w:r>
      <w:r>
        <w:rPr>
          <w:rFonts w:ascii="Arial" w:eastAsia="Times New Roman" w:hAnsi="Arial" w:cs="Arial"/>
          <w:snapToGrid w:val="0"/>
          <w:spacing w:val="-3"/>
          <w:sz w:val="24"/>
          <w:szCs w:val="20"/>
          <w:lang w:val="es-ES_tradnl" w:eastAsia="es-ES"/>
        </w:rPr>
        <w:t xml:space="preserve"> La supresión de sujetos pasivos  por  la Junta Departamental, en el Artículo 16, disminuye los ingresos, por lo que deberá ser compensado abatiendo gastos en forma proporcional.</w:t>
      </w:r>
    </w:p>
    <w:p w:rsidR="00261B03" w:rsidRDefault="00261B03" w:rsidP="00D913CD">
      <w:pPr>
        <w:widowControl w:val="0"/>
        <w:tabs>
          <w:tab w:val="left" w:pos="0"/>
        </w:tabs>
        <w:spacing w:after="0" w:line="360" w:lineRule="auto"/>
        <w:jc w:val="both"/>
        <w:rPr>
          <w:rFonts w:ascii="Arial" w:eastAsia="Times New Roman" w:hAnsi="Arial" w:cs="Arial"/>
          <w:snapToGrid w:val="0"/>
          <w:spacing w:val="-3"/>
          <w:sz w:val="24"/>
          <w:szCs w:val="20"/>
          <w:lang w:val="es-ES_tradnl" w:eastAsia="es-ES"/>
        </w:rPr>
      </w:pPr>
      <w:r>
        <w:rPr>
          <w:rFonts w:ascii="Arial" w:eastAsia="Times New Roman" w:hAnsi="Arial" w:cs="Arial"/>
          <w:b/>
          <w:snapToGrid w:val="0"/>
          <w:spacing w:val="-3"/>
          <w:sz w:val="24"/>
          <w:szCs w:val="20"/>
          <w:lang w:val="es-ES_tradnl" w:eastAsia="es-ES"/>
        </w:rPr>
        <w:t>4.6</w:t>
      </w:r>
      <w:r w:rsidRPr="006E741B">
        <w:rPr>
          <w:rFonts w:ascii="Arial" w:eastAsia="Times New Roman" w:hAnsi="Arial" w:cs="Arial"/>
          <w:b/>
          <w:snapToGrid w:val="0"/>
          <w:spacing w:val="-3"/>
          <w:sz w:val="24"/>
          <w:szCs w:val="20"/>
          <w:lang w:val="es-ES_tradnl" w:eastAsia="es-ES"/>
        </w:rPr>
        <w:t>)</w:t>
      </w:r>
      <w:r>
        <w:rPr>
          <w:rFonts w:ascii="Arial" w:eastAsia="Times New Roman" w:hAnsi="Arial" w:cs="Arial"/>
          <w:snapToGrid w:val="0"/>
          <w:spacing w:val="-3"/>
          <w:sz w:val="24"/>
          <w:szCs w:val="20"/>
          <w:lang w:val="es-ES_tradnl" w:eastAsia="es-ES"/>
        </w:rPr>
        <w:t xml:space="preserve"> Los Artículos 17 al 22 al autorizar genéricamente al Ejecutivo Departamental, a otorgar facilidades a los deudores de tributos en forma genérica, (eliminando multas, concediendo bonificaciones y facilidades de pago), </w:t>
      </w:r>
      <w:r w:rsidRPr="00655CFF">
        <w:rPr>
          <w:rFonts w:ascii="Arial" w:eastAsia="Times New Roman" w:hAnsi="Arial" w:cs="Arial"/>
          <w:snapToGrid w:val="0"/>
          <w:spacing w:val="-3"/>
          <w:sz w:val="24"/>
          <w:szCs w:val="20"/>
          <w:lang w:val="es-ES_tradnl" w:eastAsia="es-ES"/>
        </w:rPr>
        <w:t>excede las potestades de los Gobiernos Departamentales</w:t>
      </w:r>
      <w:r>
        <w:rPr>
          <w:rFonts w:ascii="Arial" w:eastAsia="Times New Roman" w:hAnsi="Arial" w:cs="Arial"/>
          <w:snapToGrid w:val="0"/>
          <w:spacing w:val="-3"/>
          <w:sz w:val="24"/>
          <w:szCs w:val="20"/>
          <w:lang w:val="es-ES_tradnl" w:eastAsia="es-ES"/>
        </w:rPr>
        <w:t>,</w:t>
      </w:r>
      <w:r w:rsidRPr="00655CFF">
        <w:rPr>
          <w:rFonts w:ascii="Arial" w:eastAsia="Times New Roman" w:hAnsi="Arial" w:cs="Arial"/>
          <w:snapToGrid w:val="0"/>
          <w:spacing w:val="-3"/>
          <w:sz w:val="24"/>
          <w:szCs w:val="20"/>
          <w:lang w:val="es-ES_tradnl" w:eastAsia="es-ES"/>
        </w:rPr>
        <w:t xml:space="preserve"> </w:t>
      </w:r>
      <w:r>
        <w:rPr>
          <w:rFonts w:ascii="Arial" w:eastAsia="Times New Roman" w:hAnsi="Arial" w:cs="Arial"/>
          <w:snapToGrid w:val="0"/>
          <w:spacing w:val="-3"/>
          <w:sz w:val="24"/>
          <w:szCs w:val="20"/>
          <w:lang w:val="es-ES_tradnl" w:eastAsia="es-ES"/>
        </w:rPr>
        <w:t>en tanto  incluye impuestos creados y  fijados por Ley nacional, como es el caso de la Contribución Inmobiliaria Rural y el Impuesto a los Remates y Semovientes (Ley Nº 12.700 de fecha 4/02/1960).</w:t>
      </w:r>
    </w:p>
    <w:p w:rsidR="00261B03" w:rsidRDefault="00261B03" w:rsidP="00537AFA">
      <w:pPr>
        <w:widowControl w:val="0"/>
        <w:spacing w:after="0" w:line="360" w:lineRule="auto"/>
        <w:jc w:val="both"/>
        <w:rPr>
          <w:rFonts w:ascii="Arial" w:eastAsia="Times New Roman" w:hAnsi="Arial" w:cs="Arial"/>
          <w:sz w:val="24"/>
          <w:szCs w:val="24"/>
          <w:lang w:eastAsia="es-ES"/>
        </w:rPr>
      </w:pPr>
      <w:r>
        <w:rPr>
          <w:rFonts w:ascii="Arial" w:eastAsia="Times New Roman" w:hAnsi="Arial" w:cs="Arial"/>
          <w:b/>
          <w:bCs/>
          <w:sz w:val="24"/>
          <w:szCs w:val="24"/>
          <w:lang w:val="es-ES_tradnl" w:eastAsia="es-ES"/>
        </w:rPr>
        <w:t>4.</w:t>
      </w:r>
      <w:r>
        <w:rPr>
          <w:rFonts w:ascii="Arial" w:eastAsia="Times New Roman" w:hAnsi="Arial" w:cs="Arial"/>
          <w:b/>
          <w:bCs/>
          <w:sz w:val="24"/>
          <w:szCs w:val="24"/>
          <w:lang w:eastAsia="es-ES"/>
        </w:rPr>
        <w:t>7</w:t>
      </w:r>
      <w:r w:rsidRPr="00D913CD">
        <w:rPr>
          <w:rFonts w:ascii="Arial" w:eastAsia="Times New Roman" w:hAnsi="Arial" w:cs="Arial"/>
          <w:b/>
          <w:bCs/>
          <w:sz w:val="24"/>
          <w:szCs w:val="24"/>
          <w:lang w:eastAsia="es-ES"/>
        </w:rPr>
        <w:t>)</w:t>
      </w:r>
      <w:r>
        <w:rPr>
          <w:rFonts w:ascii="Arial" w:eastAsia="Times New Roman" w:hAnsi="Arial" w:cs="Arial"/>
          <w:sz w:val="24"/>
          <w:szCs w:val="24"/>
          <w:lang w:eastAsia="es-ES"/>
        </w:rPr>
        <w:t xml:space="preserve"> L</w:t>
      </w:r>
      <w:r w:rsidRPr="00D913CD">
        <w:rPr>
          <w:rFonts w:ascii="Arial" w:eastAsia="Times New Roman" w:hAnsi="Arial" w:cs="Arial"/>
          <w:sz w:val="24"/>
          <w:szCs w:val="24"/>
          <w:lang w:eastAsia="es-ES"/>
        </w:rPr>
        <w:t>a</w:t>
      </w:r>
      <w:r>
        <w:rPr>
          <w:rFonts w:ascii="Arial" w:eastAsia="Times New Roman" w:hAnsi="Arial" w:cs="Arial"/>
          <w:sz w:val="24"/>
          <w:szCs w:val="24"/>
          <w:lang w:eastAsia="es-ES"/>
        </w:rPr>
        <w:t xml:space="preserve">s partidas presupuestales para viviendas, que se incluyen en los planillados remitidos, no encuadran en las </w:t>
      </w:r>
      <w:r w:rsidRPr="00D913CD">
        <w:rPr>
          <w:rFonts w:ascii="Arial" w:eastAsia="Times New Roman" w:hAnsi="Arial" w:cs="Arial"/>
          <w:sz w:val="24"/>
          <w:szCs w:val="24"/>
          <w:lang w:eastAsia="es-ES"/>
        </w:rPr>
        <w:t>competencia</w:t>
      </w:r>
      <w:r>
        <w:rPr>
          <w:rFonts w:ascii="Arial" w:eastAsia="Times New Roman" w:hAnsi="Arial" w:cs="Arial"/>
          <w:sz w:val="24"/>
          <w:szCs w:val="24"/>
          <w:lang w:eastAsia="es-ES"/>
        </w:rPr>
        <w:t>s</w:t>
      </w:r>
      <w:r w:rsidRPr="00D913CD">
        <w:rPr>
          <w:rFonts w:ascii="Arial" w:eastAsia="Times New Roman" w:hAnsi="Arial" w:cs="Arial"/>
          <w:sz w:val="24"/>
          <w:szCs w:val="24"/>
          <w:lang w:eastAsia="es-ES"/>
        </w:rPr>
        <w:t xml:space="preserve"> de los Gobiernos Departamentales</w:t>
      </w:r>
      <w:r>
        <w:rPr>
          <w:rFonts w:ascii="Arial" w:eastAsia="Times New Roman" w:hAnsi="Arial" w:cs="Arial"/>
          <w:sz w:val="24"/>
          <w:szCs w:val="24"/>
          <w:lang w:eastAsia="es-ES"/>
        </w:rPr>
        <w:t>,</w:t>
      </w:r>
      <w:r w:rsidRPr="00D913CD">
        <w:rPr>
          <w:rFonts w:ascii="Arial" w:eastAsia="Times New Roman" w:hAnsi="Arial" w:cs="Arial"/>
          <w:sz w:val="24"/>
          <w:szCs w:val="24"/>
          <w:lang w:eastAsia="es-ES"/>
        </w:rPr>
        <w:t xml:space="preserve"> </w:t>
      </w:r>
      <w:r>
        <w:rPr>
          <w:rFonts w:ascii="Arial" w:eastAsia="Times New Roman" w:hAnsi="Arial" w:cs="Arial"/>
          <w:sz w:val="24"/>
          <w:szCs w:val="24"/>
          <w:lang w:eastAsia="es-ES"/>
        </w:rPr>
        <w:t xml:space="preserve">en tanto carecen de norma legal habilitante para la construcción </w:t>
      </w:r>
      <w:r w:rsidRPr="00D913CD">
        <w:rPr>
          <w:rFonts w:ascii="Arial" w:eastAsia="Times New Roman" w:hAnsi="Arial" w:cs="Arial"/>
          <w:sz w:val="24"/>
          <w:szCs w:val="24"/>
          <w:lang w:eastAsia="es-ES"/>
        </w:rPr>
        <w:t>de vivien</w:t>
      </w:r>
      <w:r w:rsidR="00034423">
        <w:rPr>
          <w:rFonts w:ascii="Arial" w:eastAsia="Times New Roman" w:hAnsi="Arial" w:cs="Arial"/>
          <w:sz w:val="24"/>
          <w:szCs w:val="24"/>
          <w:lang w:eastAsia="es-ES"/>
        </w:rPr>
        <w:t>das.</w:t>
      </w:r>
    </w:p>
    <w:p w:rsidR="00261B03" w:rsidRDefault="00261B03" w:rsidP="00D913CD">
      <w:pPr>
        <w:widowControl w:val="0"/>
        <w:spacing w:after="0" w:line="360" w:lineRule="auto"/>
        <w:jc w:val="both"/>
        <w:rPr>
          <w:rFonts w:ascii="Arial" w:eastAsia="Times New Roman" w:hAnsi="Arial" w:cs="Arial"/>
          <w:sz w:val="24"/>
          <w:szCs w:val="24"/>
          <w:lang w:eastAsia="es-ES"/>
        </w:rPr>
      </w:pPr>
      <w:r>
        <w:rPr>
          <w:rFonts w:ascii="Arial" w:eastAsia="Times New Roman" w:hAnsi="Arial" w:cs="Arial"/>
          <w:b/>
          <w:bCs/>
          <w:sz w:val="24"/>
          <w:szCs w:val="24"/>
          <w:lang w:eastAsia="es-ES"/>
        </w:rPr>
        <w:t>4.8</w:t>
      </w:r>
      <w:r w:rsidRPr="00D913CD">
        <w:rPr>
          <w:rFonts w:ascii="Arial" w:eastAsia="Times New Roman" w:hAnsi="Arial" w:cs="Arial"/>
          <w:b/>
          <w:bCs/>
          <w:sz w:val="24"/>
          <w:szCs w:val="24"/>
          <w:lang w:eastAsia="es-ES"/>
        </w:rPr>
        <w:t>)</w:t>
      </w:r>
      <w:r w:rsidRPr="00D913CD">
        <w:rPr>
          <w:rFonts w:ascii="Arial" w:eastAsia="Times New Roman" w:hAnsi="Arial" w:cs="Arial"/>
          <w:sz w:val="24"/>
          <w:szCs w:val="24"/>
          <w:lang w:eastAsia="es-ES"/>
        </w:rPr>
        <w:t xml:space="preserve"> Con relación al Municipio de San Carlos, atento a la vigencia del Artículo 2 de la Ley Nº 11.250</w:t>
      </w:r>
      <w:r>
        <w:rPr>
          <w:rFonts w:ascii="Arial" w:eastAsia="Times New Roman" w:hAnsi="Arial" w:cs="Arial"/>
          <w:sz w:val="24"/>
          <w:szCs w:val="24"/>
          <w:lang w:eastAsia="es-ES"/>
        </w:rPr>
        <w:t xml:space="preserve"> de 9 de abril de 1949</w:t>
      </w:r>
      <w:r w:rsidRPr="00D913CD">
        <w:rPr>
          <w:rFonts w:ascii="Arial" w:eastAsia="Times New Roman" w:hAnsi="Arial" w:cs="Arial"/>
          <w:sz w:val="24"/>
          <w:szCs w:val="24"/>
          <w:lang w:eastAsia="es-ES"/>
        </w:rPr>
        <w:t>, la Intendencia deberá poner a su disposición</w:t>
      </w:r>
      <w:r>
        <w:rPr>
          <w:rFonts w:ascii="Arial" w:eastAsia="Times New Roman" w:hAnsi="Arial" w:cs="Arial"/>
          <w:sz w:val="24"/>
          <w:szCs w:val="24"/>
          <w:lang w:eastAsia="es-ES"/>
        </w:rPr>
        <w:t xml:space="preserve"> para la atención de sus</w:t>
      </w:r>
      <w:r w:rsidRPr="00655CFF">
        <w:rPr>
          <w:rFonts w:ascii="Arial" w:eastAsia="Times New Roman" w:hAnsi="Arial" w:cs="Arial"/>
          <w:sz w:val="24"/>
          <w:szCs w:val="24"/>
          <w:lang w:eastAsia="es-ES"/>
        </w:rPr>
        <w:t xml:space="preserve"> necesidades y servicios</w:t>
      </w:r>
      <w:r>
        <w:rPr>
          <w:rFonts w:ascii="Arial" w:eastAsia="Times New Roman" w:hAnsi="Arial" w:cs="Arial"/>
          <w:sz w:val="24"/>
          <w:szCs w:val="24"/>
          <w:lang w:eastAsia="es-ES"/>
        </w:rPr>
        <w:t>,</w:t>
      </w:r>
      <w:r w:rsidRPr="00D913CD">
        <w:rPr>
          <w:rFonts w:ascii="Arial" w:eastAsia="Times New Roman" w:hAnsi="Arial" w:cs="Arial"/>
          <w:sz w:val="24"/>
          <w:szCs w:val="24"/>
          <w:lang w:eastAsia="es-ES"/>
        </w:rPr>
        <w:t xml:space="preserve"> un monto equivalente, como mínimo al 90% de las rentas que se produzcan dentro de su jurisdic</w:t>
      </w:r>
      <w:r>
        <w:rPr>
          <w:rFonts w:ascii="Arial" w:eastAsia="Times New Roman" w:hAnsi="Arial" w:cs="Arial"/>
          <w:sz w:val="24"/>
          <w:szCs w:val="24"/>
          <w:lang w:eastAsia="es-ES"/>
        </w:rPr>
        <w:t>ción</w:t>
      </w:r>
      <w:r w:rsidR="00034423">
        <w:rPr>
          <w:rFonts w:ascii="Arial" w:eastAsia="Times New Roman" w:hAnsi="Arial" w:cs="Arial"/>
          <w:sz w:val="24"/>
          <w:szCs w:val="24"/>
          <w:lang w:eastAsia="es-ES"/>
        </w:rPr>
        <w:t>.</w:t>
      </w:r>
    </w:p>
    <w:p w:rsidR="00261B03" w:rsidRPr="00D913CD" w:rsidRDefault="00261B03" w:rsidP="00D913CD">
      <w:pPr>
        <w:widowControl w:val="0"/>
        <w:spacing w:after="0" w:line="360" w:lineRule="auto"/>
        <w:jc w:val="both"/>
        <w:rPr>
          <w:rFonts w:ascii="Arial" w:eastAsia="Times New Roman" w:hAnsi="Arial" w:cs="Arial"/>
          <w:b/>
          <w:sz w:val="24"/>
          <w:szCs w:val="24"/>
          <w:lang w:eastAsia="es-ES"/>
        </w:rPr>
      </w:pPr>
      <w:r>
        <w:rPr>
          <w:rFonts w:ascii="Arial" w:eastAsia="Times New Roman" w:hAnsi="Arial" w:cs="Arial"/>
          <w:b/>
          <w:sz w:val="24"/>
          <w:szCs w:val="24"/>
          <w:lang w:eastAsia="es-ES"/>
        </w:rPr>
        <w:t>5</w:t>
      </w:r>
      <w:r w:rsidR="00034423">
        <w:rPr>
          <w:rFonts w:ascii="Arial" w:eastAsia="Times New Roman" w:hAnsi="Arial" w:cs="Arial"/>
          <w:b/>
          <w:sz w:val="24"/>
          <w:szCs w:val="24"/>
          <w:lang w:eastAsia="es-ES"/>
        </w:rPr>
        <w:t>) Opinión</w:t>
      </w:r>
    </w:p>
    <w:p w:rsidR="00261B03" w:rsidRDefault="00261B03" w:rsidP="00F92926">
      <w:pPr>
        <w:spacing w:line="360" w:lineRule="auto"/>
        <w:jc w:val="both"/>
        <w:rPr>
          <w:rFonts w:ascii="Arial" w:hAnsi="Arial" w:cs="Arial"/>
          <w:sz w:val="24"/>
          <w:szCs w:val="24"/>
        </w:rPr>
      </w:pPr>
      <w:r>
        <w:rPr>
          <w:rFonts w:ascii="Arial" w:hAnsi="Arial" w:cs="Arial"/>
          <w:sz w:val="24"/>
          <w:szCs w:val="24"/>
        </w:rPr>
        <w:t>En opinión del Tribunal de Cuentas, el proyecto de Modificación Presupuestal de la Intendencia de Maldonado para el período 2018-2020 ha sido preparado en forma razonable, de acuerdo con los supuestos efectuados por el Organismo y se presenta de conformidad con las disposiciones constitucionales, legales y reglamentarias vigentes, excepto por lo establecido en los párrafos 3.1) a 3.3), 4.2), 4.4), 4.6) y 4.7).</w:t>
      </w:r>
    </w:p>
    <w:p w:rsidR="00261B03" w:rsidRPr="00261B03" w:rsidRDefault="00261B03" w:rsidP="00261B03">
      <w:pPr>
        <w:spacing w:line="360" w:lineRule="auto"/>
        <w:ind w:hanging="426"/>
        <w:jc w:val="both"/>
        <w:rPr>
          <w:rFonts w:ascii="Arial" w:hAnsi="Arial" w:cs="Arial"/>
          <w:sz w:val="24"/>
          <w:szCs w:val="24"/>
        </w:rPr>
      </w:pPr>
      <w:proofErr w:type="gramStart"/>
      <w:r>
        <w:rPr>
          <w:rFonts w:ascii="Arial" w:hAnsi="Arial" w:cs="Arial"/>
          <w:sz w:val="24"/>
          <w:szCs w:val="24"/>
        </w:rPr>
        <w:t>dc</w:t>
      </w:r>
      <w:proofErr w:type="gramEnd"/>
    </w:p>
    <w:sectPr w:rsidR="00261B03" w:rsidRPr="00261B03" w:rsidSect="004F3230">
      <w:pgSz w:w="11906" w:h="16838" w:code="9"/>
      <w:pgMar w:top="3119" w:right="1701" w:bottom="1701"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71BF7"/>
    <w:multiLevelType w:val="hybridMultilevel"/>
    <w:tmpl w:val="FAC01D58"/>
    <w:lvl w:ilvl="0" w:tplc="364084B0">
      <w:start w:val="1"/>
      <w:numFmt w:val="decimal"/>
      <w:lvlText w:val="%1)"/>
      <w:lvlJc w:val="left"/>
      <w:pPr>
        <w:tabs>
          <w:tab w:val="num" w:pos="360"/>
        </w:tabs>
        <w:ind w:left="360" w:hanging="360"/>
      </w:pPr>
      <w:rPr>
        <w:rFonts w:ascii="Arial" w:hAnsi="Arial"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CE53DAE"/>
    <w:multiLevelType w:val="hybridMultilevel"/>
    <w:tmpl w:val="8D7A148E"/>
    <w:lvl w:ilvl="0" w:tplc="380A0011">
      <w:start w:val="3"/>
      <w:numFmt w:val="decimal"/>
      <w:lvlText w:val="%1)"/>
      <w:lvlJc w:val="left"/>
      <w:pPr>
        <w:ind w:left="720" w:hanging="360"/>
      </w:pPr>
    </w:lvl>
    <w:lvl w:ilvl="1" w:tplc="380A0019">
      <w:start w:val="1"/>
      <w:numFmt w:val="lowerLetter"/>
      <w:lvlText w:val="%2."/>
      <w:lvlJc w:val="left"/>
      <w:pPr>
        <w:ind w:left="1440" w:hanging="360"/>
      </w:pPr>
    </w:lvl>
    <w:lvl w:ilvl="2" w:tplc="380A001B">
      <w:start w:val="1"/>
      <w:numFmt w:val="lowerRoman"/>
      <w:lvlText w:val="%3."/>
      <w:lvlJc w:val="right"/>
      <w:pPr>
        <w:ind w:left="2160" w:hanging="180"/>
      </w:pPr>
    </w:lvl>
    <w:lvl w:ilvl="3" w:tplc="380A000F">
      <w:start w:val="1"/>
      <w:numFmt w:val="decimal"/>
      <w:lvlText w:val="%4."/>
      <w:lvlJc w:val="left"/>
      <w:pPr>
        <w:ind w:left="2880" w:hanging="360"/>
      </w:pPr>
    </w:lvl>
    <w:lvl w:ilvl="4" w:tplc="380A0019">
      <w:start w:val="1"/>
      <w:numFmt w:val="lowerLetter"/>
      <w:lvlText w:val="%5."/>
      <w:lvlJc w:val="left"/>
      <w:pPr>
        <w:ind w:left="3600" w:hanging="360"/>
      </w:pPr>
    </w:lvl>
    <w:lvl w:ilvl="5" w:tplc="380A001B">
      <w:start w:val="1"/>
      <w:numFmt w:val="lowerRoman"/>
      <w:lvlText w:val="%6."/>
      <w:lvlJc w:val="right"/>
      <w:pPr>
        <w:ind w:left="4320" w:hanging="180"/>
      </w:pPr>
    </w:lvl>
    <w:lvl w:ilvl="6" w:tplc="380A000F">
      <w:start w:val="1"/>
      <w:numFmt w:val="decimal"/>
      <w:lvlText w:val="%7."/>
      <w:lvlJc w:val="left"/>
      <w:pPr>
        <w:ind w:left="5040" w:hanging="360"/>
      </w:pPr>
    </w:lvl>
    <w:lvl w:ilvl="7" w:tplc="380A0019">
      <w:start w:val="1"/>
      <w:numFmt w:val="lowerLetter"/>
      <w:lvlText w:val="%8."/>
      <w:lvlJc w:val="left"/>
      <w:pPr>
        <w:ind w:left="5760" w:hanging="360"/>
      </w:pPr>
    </w:lvl>
    <w:lvl w:ilvl="8" w:tplc="380A001B">
      <w:start w:val="1"/>
      <w:numFmt w:val="lowerRoman"/>
      <w:lvlText w:val="%9."/>
      <w:lvlJc w:val="right"/>
      <w:pPr>
        <w:ind w:left="6480" w:hanging="180"/>
      </w:pPr>
    </w:lvl>
  </w:abstractNum>
  <w:num w:numId="1">
    <w:abstractNumId w:val="0"/>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AC8"/>
    <w:rsid w:val="00034423"/>
    <w:rsid w:val="00261B03"/>
    <w:rsid w:val="002A1848"/>
    <w:rsid w:val="003D7326"/>
    <w:rsid w:val="004F3230"/>
    <w:rsid w:val="00624C81"/>
    <w:rsid w:val="00944DBD"/>
    <w:rsid w:val="00A60A73"/>
    <w:rsid w:val="00A8513A"/>
    <w:rsid w:val="00D9723F"/>
    <w:rsid w:val="00DA7A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1239</Words>
  <Characters>6819</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Nemmer</dc:creator>
  <cp:lastModifiedBy>Tribunal1</cp:lastModifiedBy>
  <cp:revision>4</cp:revision>
  <cp:lastPrinted>2018-10-25T13:25:00Z</cp:lastPrinted>
  <dcterms:created xsi:type="dcterms:W3CDTF">2018-10-25T13:26:00Z</dcterms:created>
  <dcterms:modified xsi:type="dcterms:W3CDTF">2018-11-30T18:42:00Z</dcterms:modified>
</cp:coreProperties>
</file>