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BCF" w:rsidRPr="00786EEB" w:rsidRDefault="00017BCF" w:rsidP="00786EEB">
      <w:pPr>
        <w:tabs>
          <w:tab w:val="center" w:pos="4253"/>
        </w:tabs>
        <w:suppressAutoHyphens/>
        <w:jc w:val="right"/>
        <w:rPr>
          <w:b/>
          <w:sz w:val="28"/>
          <w:szCs w:val="28"/>
          <w:lang w:val="es-ES_tradnl"/>
        </w:rPr>
      </w:pPr>
      <w:bookmarkStart w:id="0" w:name="_GoBack"/>
      <w:bookmarkEnd w:id="0"/>
      <w:r>
        <w:rPr>
          <w:b/>
          <w:sz w:val="28"/>
          <w:szCs w:val="28"/>
          <w:lang w:val="es-ES_tradnl"/>
        </w:rPr>
        <w:t>RES. 3316/18</w:t>
      </w:r>
    </w:p>
    <w:p w:rsidR="00017BCF" w:rsidRDefault="00017BCF" w:rsidP="00786EEB">
      <w:pPr>
        <w:tabs>
          <w:tab w:val="center" w:pos="4253"/>
        </w:tabs>
        <w:suppressAutoHyphens/>
        <w:jc w:val="right"/>
        <w:rPr>
          <w:b/>
          <w:lang w:val="es-ES_tradnl"/>
        </w:rPr>
      </w:pPr>
    </w:p>
    <w:p w:rsidR="00017BCF" w:rsidRPr="00762B34" w:rsidRDefault="00017BCF">
      <w:pPr>
        <w:tabs>
          <w:tab w:val="center" w:pos="4253"/>
        </w:tabs>
        <w:suppressAutoHyphens/>
        <w:jc w:val="center"/>
        <w:rPr>
          <w:b/>
          <w:lang w:val="es-ES_tradnl"/>
        </w:rPr>
      </w:pPr>
      <w:r w:rsidRPr="00762B34">
        <w:rPr>
          <w:b/>
          <w:lang w:val="es-ES_tradnl"/>
        </w:rPr>
        <w:t>RESOLUCION ADOPTADA POR EL</w:t>
      </w:r>
    </w:p>
    <w:p w:rsidR="00017BCF" w:rsidRPr="00762B34" w:rsidRDefault="00017BCF">
      <w:pPr>
        <w:tabs>
          <w:tab w:val="left" w:pos="-720"/>
        </w:tabs>
        <w:suppressAutoHyphens/>
        <w:jc w:val="center"/>
        <w:rPr>
          <w:b/>
          <w:lang w:val="es-ES_tradnl"/>
        </w:rPr>
      </w:pPr>
    </w:p>
    <w:p w:rsidR="00017BCF" w:rsidRPr="00762B34" w:rsidRDefault="00017BCF">
      <w:pPr>
        <w:tabs>
          <w:tab w:val="center" w:pos="4253"/>
        </w:tabs>
        <w:suppressAutoHyphens/>
        <w:jc w:val="center"/>
        <w:rPr>
          <w:b/>
          <w:lang w:val="es-ES_tradnl"/>
        </w:rPr>
      </w:pPr>
      <w:r w:rsidRPr="00762B34">
        <w:rPr>
          <w:b/>
          <w:lang w:val="es-ES_tradnl"/>
        </w:rPr>
        <w:t>TRIBUNAL DE CUENTAS</w:t>
      </w:r>
    </w:p>
    <w:p w:rsidR="00017BCF" w:rsidRPr="00762B34" w:rsidRDefault="00017BCF">
      <w:pPr>
        <w:tabs>
          <w:tab w:val="left" w:pos="-720"/>
        </w:tabs>
        <w:suppressAutoHyphens/>
        <w:jc w:val="center"/>
        <w:rPr>
          <w:b/>
          <w:lang w:val="es-ES_tradnl"/>
        </w:rPr>
      </w:pPr>
    </w:p>
    <w:p w:rsidR="00017BCF" w:rsidRPr="00762B34" w:rsidRDefault="00017BCF">
      <w:pPr>
        <w:tabs>
          <w:tab w:val="center" w:pos="4253"/>
        </w:tabs>
        <w:suppressAutoHyphens/>
        <w:jc w:val="center"/>
        <w:rPr>
          <w:b/>
          <w:lang w:val="es-ES_tradnl"/>
        </w:rPr>
      </w:pPr>
      <w:r w:rsidRPr="00762B34">
        <w:rPr>
          <w:b/>
          <w:lang w:val="es-ES_tradnl"/>
        </w:rPr>
        <w:t xml:space="preserve">EN SESION DE FECHA </w:t>
      </w:r>
      <w:r>
        <w:rPr>
          <w:b/>
          <w:lang w:val="es-ES_tradnl"/>
        </w:rPr>
        <w:t xml:space="preserve">24 DE OCTUBRE </w:t>
      </w:r>
      <w:r>
        <w:rPr>
          <w:rFonts w:ascii="Helvetica" w:hAnsi="Helvetica"/>
          <w:b/>
          <w:lang w:val="es-ES_tradnl"/>
        </w:rPr>
        <w:t>DE 2018</w:t>
      </w:r>
    </w:p>
    <w:p w:rsidR="00017BCF" w:rsidRPr="00762B34" w:rsidRDefault="00017BCF">
      <w:pPr>
        <w:tabs>
          <w:tab w:val="center" w:pos="4253"/>
        </w:tabs>
        <w:suppressAutoHyphens/>
        <w:jc w:val="center"/>
        <w:rPr>
          <w:b/>
          <w:lang w:val="es-ES_tradnl"/>
        </w:rPr>
      </w:pPr>
    </w:p>
    <w:p w:rsidR="00017BCF" w:rsidRPr="000734DE" w:rsidRDefault="00017BCF">
      <w:pPr>
        <w:tabs>
          <w:tab w:val="center" w:pos="4253"/>
        </w:tabs>
        <w:suppressAutoHyphens/>
        <w:jc w:val="center"/>
        <w:rPr>
          <w:b/>
          <w:lang w:val="es-UY"/>
        </w:rPr>
      </w:pPr>
      <w:r w:rsidRPr="000734DE">
        <w:rPr>
          <w:b/>
          <w:lang w:val="es-UY"/>
        </w:rPr>
        <w:t xml:space="preserve">(E. E. Nº 2018-17-1-0006037, </w:t>
      </w:r>
      <w:proofErr w:type="spellStart"/>
      <w:r w:rsidRPr="000734DE">
        <w:rPr>
          <w:b/>
          <w:lang w:val="es-UY"/>
        </w:rPr>
        <w:t>Ent</w:t>
      </w:r>
      <w:proofErr w:type="spellEnd"/>
      <w:r w:rsidRPr="000734DE">
        <w:rPr>
          <w:b/>
          <w:lang w:val="es-UY"/>
        </w:rPr>
        <w:t>. N° 4651/18)</w:t>
      </w:r>
    </w:p>
    <w:p w:rsidR="00017BCF" w:rsidRPr="000734DE" w:rsidRDefault="00017BC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017BCF" w:rsidRPr="000734DE" w:rsidRDefault="00017BCF" w:rsidP="00762B34">
      <w:pPr>
        <w:tabs>
          <w:tab w:val="center" w:pos="4253"/>
        </w:tabs>
        <w:suppressAutoHyphens/>
        <w:jc w:val="right"/>
        <w:rPr>
          <w:spacing w:val="-3"/>
          <w:lang w:val="es-UY"/>
        </w:rPr>
      </w:pPr>
    </w:p>
    <w:p w:rsidR="00BE222F" w:rsidRDefault="001A4214" w:rsidP="000734DE">
      <w:pPr>
        <w:spacing w:line="360" w:lineRule="auto"/>
        <w:ind w:firstLine="851"/>
        <w:jc w:val="both"/>
        <w:rPr>
          <w:rFonts w:cs="Times New Roman"/>
          <w:snapToGrid w:val="0"/>
          <w:spacing w:val="-3"/>
          <w:szCs w:val="20"/>
          <w:lang w:val="es-ES_tradnl"/>
        </w:rPr>
      </w:pPr>
      <w:r>
        <w:rPr>
          <w:b/>
          <w:bCs/>
        </w:rPr>
        <w:t xml:space="preserve">VISTO Y CONSIDERANDO: </w:t>
      </w:r>
      <w:r w:rsidR="00BE222F" w:rsidRPr="00BE222F">
        <w:rPr>
          <w:bCs/>
        </w:rPr>
        <w:t>el Oficio 398/2018 de 26/09/2018</w:t>
      </w:r>
      <w:r w:rsidR="00BE222F">
        <w:rPr>
          <w:b/>
          <w:bCs/>
        </w:rPr>
        <w:t xml:space="preserve"> </w:t>
      </w:r>
      <w:r w:rsidR="00FE3422">
        <w:rPr>
          <w:rFonts w:cs="Times New Roman"/>
          <w:snapToGrid w:val="0"/>
          <w:spacing w:val="-3"/>
          <w:szCs w:val="20"/>
          <w:lang w:val="es-ES_tradnl"/>
        </w:rPr>
        <w:t xml:space="preserve">remitido por la Junta Departamental de </w:t>
      </w:r>
      <w:r w:rsidR="00BE222F">
        <w:rPr>
          <w:rFonts w:cs="Times New Roman"/>
          <w:snapToGrid w:val="0"/>
          <w:spacing w:val="-3"/>
          <w:szCs w:val="20"/>
          <w:lang w:val="es-ES_tradnl"/>
        </w:rPr>
        <w:t>Flores</w:t>
      </w:r>
      <w:r w:rsidR="00FE3422">
        <w:rPr>
          <w:rFonts w:cs="Times New Roman"/>
          <w:snapToGrid w:val="0"/>
          <w:spacing w:val="-3"/>
          <w:szCs w:val="20"/>
          <w:lang w:val="es-ES_tradnl"/>
        </w:rPr>
        <w:t xml:space="preserve">, relativo a </w:t>
      </w:r>
      <w:r w:rsidR="00BE222F">
        <w:rPr>
          <w:rFonts w:cs="Times New Roman"/>
          <w:snapToGrid w:val="0"/>
          <w:spacing w:val="-3"/>
          <w:szCs w:val="20"/>
          <w:lang w:val="es-ES_tradnl"/>
        </w:rPr>
        <w:t>un fideicomiso a suscribir entre la Intendencia de Flores  y CONAFIN AFISA</w:t>
      </w:r>
      <w:r w:rsidR="00350A28">
        <w:rPr>
          <w:rFonts w:cs="Times New Roman"/>
          <w:snapToGrid w:val="0"/>
          <w:spacing w:val="-3"/>
          <w:szCs w:val="20"/>
          <w:lang w:val="es-ES_tradnl"/>
        </w:rPr>
        <w:t>;</w:t>
      </w:r>
    </w:p>
    <w:p w:rsidR="001A4214" w:rsidRPr="00BB17ED" w:rsidRDefault="001A4214" w:rsidP="000734DE">
      <w:pPr>
        <w:suppressAutoHyphens/>
        <w:spacing w:line="360" w:lineRule="auto"/>
        <w:ind w:firstLine="851"/>
        <w:jc w:val="both"/>
        <w:rPr>
          <w:bCs/>
          <w:highlight w:val="yellow"/>
        </w:rPr>
      </w:pPr>
      <w:r w:rsidRPr="00CF413B">
        <w:rPr>
          <w:b/>
          <w:bCs/>
        </w:rPr>
        <w:t>ATENTO:</w:t>
      </w:r>
      <w:r w:rsidRPr="00CF413B">
        <w:rPr>
          <w:bCs/>
        </w:rPr>
        <w:t xml:space="preserve"> a lo establecido </w:t>
      </w:r>
      <w:r w:rsidR="006235FB">
        <w:rPr>
          <w:bCs/>
        </w:rPr>
        <w:t xml:space="preserve">por </w:t>
      </w:r>
      <w:r w:rsidR="006235FB" w:rsidRPr="003B7D8A">
        <w:t xml:space="preserve">el </w:t>
      </w:r>
      <w:r w:rsidR="00017BCF">
        <w:t>A</w:t>
      </w:r>
      <w:r w:rsidR="006235FB" w:rsidRPr="003B7D8A">
        <w:t xml:space="preserve">rtículo 301 </w:t>
      </w:r>
      <w:r w:rsidR="00CC3A0A">
        <w:t>I</w:t>
      </w:r>
      <w:r w:rsidR="006235FB" w:rsidRPr="003B7D8A">
        <w:t>nciso 2</w:t>
      </w:r>
      <w:r w:rsidR="00CC3A0A">
        <w:t>)</w:t>
      </w:r>
      <w:r w:rsidR="006235FB" w:rsidRPr="003B7D8A">
        <w:t xml:space="preserve"> de la Constitución</w:t>
      </w:r>
      <w:r w:rsidR="00CC3A0A">
        <w:t xml:space="preserve"> de la República</w:t>
      </w:r>
      <w:r w:rsidRPr="00CF413B">
        <w:rPr>
          <w:bCs/>
        </w:rPr>
        <w:t>;</w:t>
      </w:r>
    </w:p>
    <w:p w:rsidR="001A4214" w:rsidRPr="00CF413B" w:rsidRDefault="001A4214" w:rsidP="001A4214">
      <w:pPr>
        <w:suppressAutoHyphens/>
        <w:spacing w:line="360" w:lineRule="auto"/>
        <w:jc w:val="center"/>
        <w:rPr>
          <w:b/>
          <w:bCs/>
        </w:rPr>
      </w:pPr>
      <w:r w:rsidRPr="00CF413B">
        <w:rPr>
          <w:b/>
          <w:bCs/>
        </w:rPr>
        <w:t>EL TRIBUNAL ACUERDA</w:t>
      </w:r>
    </w:p>
    <w:p w:rsidR="001A4214" w:rsidRPr="00CF413B" w:rsidRDefault="001A4214" w:rsidP="00CC3A0A">
      <w:pPr>
        <w:numPr>
          <w:ilvl w:val="0"/>
          <w:numId w:val="1"/>
        </w:numPr>
        <w:suppressAutoHyphens/>
        <w:spacing w:line="360" w:lineRule="auto"/>
        <w:ind w:left="284" w:hanging="284"/>
        <w:rPr>
          <w:bCs/>
        </w:rPr>
      </w:pPr>
      <w:r w:rsidRPr="00CF413B">
        <w:rPr>
          <w:bCs/>
        </w:rPr>
        <w:t>Ap</w:t>
      </w:r>
      <w:r w:rsidR="000734DE">
        <w:rPr>
          <w:bCs/>
        </w:rPr>
        <w:t>robar el Informe que se adjunta;</w:t>
      </w:r>
    </w:p>
    <w:p w:rsidR="001A4214" w:rsidRDefault="001A4214" w:rsidP="00CC3A0A">
      <w:pPr>
        <w:numPr>
          <w:ilvl w:val="0"/>
          <w:numId w:val="1"/>
        </w:numPr>
        <w:suppressAutoHyphens/>
        <w:spacing w:line="360" w:lineRule="auto"/>
        <w:ind w:left="284" w:hanging="284"/>
        <w:rPr>
          <w:bCs/>
        </w:rPr>
      </w:pPr>
      <w:r w:rsidRPr="00CF413B">
        <w:rPr>
          <w:bCs/>
        </w:rPr>
        <w:t>Comunica</w:t>
      </w:r>
      <w:r w:rsidR="00CC3A0A">
        <w:rPr>
          <w:bCs/>
        </w:rPr>
        <w:t>r a la Intendencia; y</w:t>
      </w:r>
    </w:p>
    <w:p w:rsidR="00874B15" w:rsidRPr="00874B15" w:rsidRDefault="00874B15" w:rsidP="00CC3A0A">
      <w:pPr>
        <w:pStyle w:val="Prrafodelista"/>
        <w:numPr>
          <w:ilvl w:val="0"/>
          <w:numId w:val="1"/>
        </w:numPr>
        <w:spacing w:line="360" w:lineRule="auto"/>
        <w:ind w:left="284" w:hanging="284"/>
        <w:jc w:val="both"/>
        <w:rPr>
          <w:bCs/>
        </w:rPr>
      </w:pPr>
      <w:r w:rsidRPr="00874B15">
        <w:rPr>
          <w:bCs/>
        </w:rPr>
        <w:t>Devolver los antecedentes</w:t>
      </w:r>
      <w:r w:rsidR="00FE3422">
        <w:rPr>
          <w:bCs/>
        </w:rPr>
        <w:t xml:space="preserve"> a la Junta Departamental</w:t>
      </w:r>
      <w:r w:rsidRPr="00874B15">
        <w:rPr>
          <w:bCs/>
        </w:rPr>
        <w:t>.</w:t>
      </w:r>
    </w:p>
    <w:p w:rsidR="00CB2C70" w:rsidRDefault="00CB2C70" w:rsidP="001A4214">
      <w:pPr>
        <w:suppressAutoHyphens/>
        <w:spacing w:line="360" w:lineRule="auto"/>
        <w:jc w:val="both"/>
        <w:rPr>
          <w:bCs/>
        </w:rPr>
      </w:pPr>
    </w:p>
    <w:p w:rsidR="00CB2C70" w:rsidRDefault="00CB2C70" w:rsidP="001A4214">
      <w:pPr>
        <w:suppressAutoHyphens/>
        <w:spacing w:line="360" w:lineRule="auto"/>
        <w:jc w:val="both"/>
        <w:rPr>
          <w:bCs/>
        </w:rPr>
      </w:pPr>
    </w:p>
    <w:p w:rsidR="00CB2C70" w:rsidRDefault="00CB2C70" w:rsidP="001A4214">
      <w:pPr>
        <w:suppressAutoHyphens/>
        <w:spacing w:line="360" w:lineRule="auto"/>
        <w:jc w:val="both"/>
        <w:rPr>
          <w:bCs/>
        </w:rPr>
      </w:pPr>
    </w:p>
    <w:p w:rsidR="00CB2C70" w:rsidRDefault="00CB2C70" w:rsidP="001A4214">
      <w:pPr>
        <w:suppressAutoHyphens/>
        <w:spacing w:line="360" w:lineRule="auto"/>
        <w:jc w:val="both"/>
        <w:rPr>
          <w:bCs/>
        </w:rPr>
      </w:pPr>
    </w:p>
    <w:p w:rsidR="001A4214" w:rsidRDefault="001A4214" w:rsidP="001A4214">
      <w:pPr>
        <w:suppressAutoHyphens/>
        <w:spacing w:line="360" w:lineRule="auto"/>
        <w:jc w:val="both"/>
        <w:rPr>
          <w:bCs/>
        </w:rPr>
      </w:pPr>
    </w:p>
    <w:p w:rsidR="001A4214" w:rsidRPr="00CC3A0A" w:rsidRDefault="00CC3A0A" w:rsidP="001A4214">
      <w:pPr>
        <w:suppressAutoHyphens/>
        <w:spacing w:line="360" w:lineRule="auto"/>
        <w:jc w:val="both"/>
        <w:rPr>
          <w:bCs/>
        </w:rPr>
      </w:pPr>
      <w:proofErr w:type="spellStart"/>
      <w:proofErr w:type="gramStart"/>
      <w:r w:rsidRPr="00CC3A0A">
        <w:rPr>
          <w:bCs/>
        </w:rPr>
        <w:t>cr</w:t>
      </w:r>
      <w:proofErr w:type="spellEnd"/>
      <w:proofErr w:type="gramEnd"/>
    </w:p>
    <w:p w:rsidR="00014FA3" w:rsidRDefault="00014FA3"/>
    <w:p w:rsidR="00226FB5" w:rsidRDefault="00226FB5"/>
    <w:p w:rsidR="00226FB5" w:rsidRDefault="00226FB5"/>
    <w:p w:rsidR="00226FB5" w:rsidRDefault="00226FB5"/>
    <w:p w:rsidR="00226FB5" w:rsidRDefault="00226FB5"/>
    <w:p w:rsidR="00226FB5" w:rsidRDefault="00226FB5"/>
    <w:p w:rsidR="00226FB5" w:rsidRDefault="00226FB5"/>
    <w:p w:rsidR="00226FB5" w:rsidRDefault="00226FB5"/>
    <w:p w:rsidR="00226FB5" w:rsidRDefault="00226FB5"/>
    <w:p w:rsidR="00226FB5" w:rsidRPr="00282007" w:rsidRDefault="00226FB5" w:rsidP="0028200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282007">
        <w:rPr>
          <w:b/>
          <w:bCs/>
        </w:rPr>
        <w:lastRenderedPageBreak/>
        <w:t>INFORME</w:t>
      </w:r>
    </w:p>
    <w:p w:rsidR="00226FB5" w:rsidRPr="00282007" w:rsidRDefault="00226FB5" w:rsidP="00282007">
      <w:pPr>
        <w:autoSpaceDE w:val="0"/>
        <w:autoSpaceDN w:val="0"/>
        <w:adjustRightInd w:val="0"/>
        <w:spacing w:line="360" w:lineRule="auto"/>
      </w:pPr>
    </w:p>
    <w:p w:rsidR="00226FB5" w:rsidRPr="00282007" w:rsidRDefault="00226FB5" w:rsidP="00282007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B74659">
        <w:rPr>
          <w:b/>
        </w:rPr>
        <w:t>1)</w:t>
      </w:r>
      <w:r w:rsidRPr="00282007">
        <w:t xml:space="preserve"> </w:t>
      </w:r>
      <w:r w:rsidRPr="00282007">
        <w:rPr>
          <w:b/>
          <w:bCs/>
        </w:rPr>
        <w:t>OBJETO Y ANTECEDENTES</w:t>
      </w:r>
    </w:p>
    <w:p w:rsidR="00226FB5" w:rsidRDefault="00226FB5" w:rsidP="00B74659">
      <w:pPr>
        <w:autoSpaceDE w:val="0"/>
        <w:autoSpaceDN w:val="0"/>
        <w:adjustRightInd w:val="0"/>
        <w:spacing w:line="360" w:lineRule="auto"/>
        <w:jc w:val="both"/>
      </w:pPr>
      <w:r w:rsidRPr="00282007">
        <w:rPr>
          <w:b/>
          <w:bCs/>
        </w:rPr>
        <w:t xml:space="preserve">1.1- </w:t>
      </w:r>
      <w:r w:rsidRPr="00282007">
        <w:t>El presente informe se emite en ejercicio de la atribución asignada al Tribunal de Cuentas por el artículo 301 de l</w:t>
      </w:r>
      <w:r w:rsidR="000734DE">
        <w:t>a Constitución de la República.</w:t>
      </w:r>
    </w:p>
    <w:p w:rsidR="00226FB5" w:rsidRPr="00282007" w:rsidRDefault="00226FB5" w:rsidP="00B74659">
      <w:pPr>
        <w:autoSpaceDE w:val="0"/>
        <w:autoSpaceDN w:val="0"/>
        <w:adjustRightInd w:val="0"/>
        <w:spacing w:line="360" w:lineRule="auto"/>
        <w:jc w:val="both"/>
      </w:pPr>
      <w:r w:rsidRPr="00282007">
        <w:t>Por Resoluciones 12/206/2018 de fecha 04/09/</w:t>
      </w:r>
      <w:r>
        <w:t>20</w:t>
      </w:r>
      <w:r w:rsidRPr="00282007">
        <w:t>18, y 12/344/2018 de fecha 18/09/18, el Intendente de Flores remitió las actuaciones a la Junta Departamental respecto al contrato de fideicomiso proyectado.</w:t>
      </w:r>
    </w:p>
    <w:p w:rsidR="00226FB5" w:rsidRDefault="00226FB5" w:rsidP="00B74659">
      <w:pPr>
        <w:autoSpaceDE w:val="0"/>
        <w:autoSpaceDN w:val="0"/>
        <w:adjustRightInd w:val="0"/>
        <w:spacing w:line="360" w:lineRule="auto"/>
        <w:jc w:val="both"/>
      </w:pPr>
      <w:r w:rsidRPr="00282007">
        <w:t>Por Oficio N° 398/2018 de fecha 26/09/18, la Junta Departamental</w:t>
      </w:r>
      <w:r>
        <w:t xml:space="preserve"> </w:t>
      </w:r>
      <w:r w:rsidRPr="00282007">
        <w:t>de Flores a su vez remite a este Tribunal dichas actuaciones respecto a un</w:t>
      </w:r>
      <w:r>
        <w:t xml:space="preserve"> </w:t>
      </w:r>
      <w:r w:rsidRPr="00282007">
        <w:t>fideicomiso a suscribir entre la Intendencia de Flores y CONAFIN AFISA, a</w:t>
      </w:r>
      <w:r>
        <w:t xml:space="preserve"> </w:t>
      </w:r>
      <w:r w:rsidRPr="00282007">
        <w:t>efectos del informe previsto en el artículo 301 de la Constitución de la</w:t>
      </w:r>
      <w:r>
        <w:t xml:space="preserve"> </w:t>
      </w:r>
      <w:r w:rsidRPr="00282007">
        <w:t>República.</w:t>
      </w:r>
    </w:p>
    <w:p w:rsidR="00226FB5" w:rsidRPr="00282007" w:rsidRDefault="00226FB5" w:rsidP="00B74659">
      <w:pPr>
        <w:autoSpaceDE w:val="0"/>
        <w:autoSpaceDN w:val="0"/>
        <w:adjustRightInd w:val="0"/>
        <w:spacing w:line="360" w:lineRule="auto"/>
        <w:jc w:val="both"/>
      </w:pPr>
      <w:r w:rsidRPr="00282007">
        <w:rPr>
          <w:b/>
          <w:bCs/>
        </w:rPr>
        <w:t xml:space="preserve">1.2- </w:t>
      </w:r>
      <w:r w:rsidRPr="00282007">
        <w:t>El contrato se denominará “FIDEICOMISO DE ADMINISTRACIÓN</w:t>
      </w:r>
      <w:r>
        <w:t xml:space="preserve"> </w:t>
      </w:r>
      <w:r w:rsidRPr="00282007">
        <w:t>DE TERRENOS PARA SOLUCIONES HABITACIONALES DE LA INTENDENCIA</w:t>
      </w:r>
      <w:r>
        <w:t xml:space="preserve"> </w:t>
      </w:r>
      <w:r w:rsidRPr="00282007">
        <w:t>DEPARTAMENTAL DE FLORES”, y tiene como finalidad administrar los bienes</w:t>
      </w:r>
      <w:r>
        <w:t xml:space="preserve"> </w:t>
      </w:r>
      <w:proofErr w:type="spellStart"/>
      <w:r w:rsidRPr="00282007">
        <w:t>fideicomitidos</w:t>
      </w:r>
      <w:proofErr w:type="spellEnd"/>
      <w:r w:rsidRPr="00282007">
        <w:t xml:space="preserve"> para la adquisición, enajenación, realojo y reacondicionamiento de</w:t>
      </w:r>
      <w:r>
        <w:t xml:space="preserve"> </w:t>
      </w:r>
      <w:r w:rsidRPr="00282007">
        <w:t>terrenos y su entorno, con el fin de otorgar soluciones habitacionales y sociales. Las</w:t>
      </w:r>
      <w:r>
        <w:t xml:space="preserve"> </w:t>
      </w:r>
      <w:r w:rsidRPr="00282007">
        <w:t>soluciones habitacionales deberán encontrarse enmarcadas en programas de</w:t>
      </w:r>
      <w:r>
        <w:t xml:space="preserve"> </w:t>
      </w:r>
      <w:r w:rsidRPr="00282007">
        <w:t>interés social, siendo promovidas y financiadas por el MVOTMA y otras instituciones</w:t>
      </w:r>
      <w:r>
        <w:t xml:space="preserve"> </w:t>
      </w:r>
      <w:r w:rsidRPr="00282007">
        <w:t>u organismos públicos.</w:t>
      </w:r>
    </w:p>
    <w:p w:rsidR="00226FB5" w:rsidRPr="00282007" w:rsidRDefault="00226FB5" w:rsidP="00B74659">
      <w:pPr>
        <w:autoSpaceDE w:val="0"/>
        <w:autoSpaceDN w:val="0"/>
        <w:adjustRightInd w:val="0"/>
        <w:spacing w:line="360" w:lineRule="auto"/>
        <w:jc w:val="both"/>
      </w:pPr>
      <w:r w:rsidRPr="00282007">
        <w:rPr>
          <w:b/>
          <w:bCs/>
        </w:rPr>
        <w:t xml:space="preserve">1.3.- </w:t>
      </w:r>
      <w:r w:rsidRPr="00282007">
        <w:t>La Intendencia de Flores transferirá al patrimonio de afectación que</w:t>
      </w:r>
      <w:r>
        <w:t xml:space="preserve"> </w:t>
      </w:r>
      <w:r w:rsidRPr="00282007">
        <w:t>se crea, el 15% anual de los derechos de crédito presentes y futuros que a ésta le</w:t>
      </w:r>
      <w:r>
        <w:t xml:space="preserve"> </w:t>
      </w:r>
      <w:r w:rsidRPr="00282007">
        <w:t>corresponde percibir del Fideicomiso SUCIVE. La cesión se efectivizará a partir del</w:t>
      </w:r>
      <w:r>
        <w:t xml:space="preserve"> </w:t>
      </w:r>
      <w:r w:rsidRPr="00282007">
        <w:t>01/01/</w:t>
      </w:r>
      <w:r>
        <w:t>20</w:t>
      </w:r>
      <w:r w:rsidRPr="00282007">
        <w:t>19 y estará vigente hasta la cancelación total de los pasivos que tenga el</w:t>
      </w:r>
      <w:r>
        <w:t xml:space="preserve"> </w:t>
      </w:r>
      <w:r w:rsidRPr="00282007">
        <w:t>Fideicomiso</w:t>
      </w:r>
      <w:r>
        <w:t>.</w:t>
      </w:r>
    </w:p>
    <w:p w:rsidR="00226FB5" w:rsidRDefault="00226FB5" w:rsidP="00B74659">
      <w:pPr>
        <w:autoSpaceDE w:val="0"/>
        <w:autoSpaceDN w:val="0"/>
        <w:adjustRightInd w:val="0"/>
        <w:spacing w:line="360" w:lineRule="auto"/>
        <w:jc w:val="both"/>
      </w:pPr>
      <w:r w:rsidRPr="00282007">
        <w:rPr>
          <w:b/>
          <w:bCs/>
        </w:rPr>
        <w:t xml:space="preserve">1.4.- </w:t>
      </w:r>
      <w:proofErr w:type="spellStart"/>
      <w:r w:rsidRPr="00282007">
        <w:t>Conafin</w:t>
      </w:r>
      <w:proofErr w:type="spellEnd"/>
      <w:r w:rsidRPr="00282007">
        <w:t xml:space="preserve"> </w:t>
      </w:r>
      <w:proofErr w:type="spellStart"/>
      <w:r w:rsidRPr="00282007">
        <w:t>Afisa</w:t>
      </w:r>
      <w:proofErr w:type="spellEnd"/>
      <w:r w:rsidRPr="00282007">
        <w:t>, cuyo capital accionario pertenece en un 100% a la</w:t>
      </w:r>
      <w:r>
        <w:t xml:space="preserve"> </w:t>
      </w:r>
      <w:r w:rsidRPr="00282007">
        <w:t>CND, en carácter de fiduciaria entre otras obligaciones, ha de celebrar todos los</w:t>
      </w:r>
      <w:r>
        <w:t xml:space="preserve"> </w:t>
      </w:r>
      <w:r w:rsidRPr="00282007">
        <w:t>actos civiles y comerciales necesarios, abonará el monto de los inmuebles que se</w:t>
      </w:r>
      <w:r>
        <w:t xml:space="preserve"> </w:t>
      </w:r>
      <w:r w:rsidRPr="00282007">
        <w:t>adquieran, devolverá al Fideicomitente los sobrantes anuales de los créditos</w:t>
      </w:r>
      <w:r>
        <w:t xml:space="preserve"> </w:t>
      </w:r>
      <w:r w:rsidRPr="00282007">
        <w:t>cedidos, destinará los flujos cedidos al servicio de deuda de créditos que podrá</w:t>
      </w:r>
      <w:r>
        <w:t xml:space="preserve"> </w:t>
      </w:r>
      <w:r w:rsidRPr="00282007">
        <w:t xml:space="preserve">contraer con destino a financiar el objeto del Fideicomiso, por hasta un monto de </w:t>
      </w:r>
      <w:r>
        <w:t>U$S 3:000.000</w:t>
      </w:r>
      <w:r w:rsidRPr="00282007">
        <w:t xml:space="preserve"> y los gastos derivados del mismo (que incluyen entre otros los</w:t>
      </w:r>
      <w:r>
        <w:t xml:space="preserve"> </w:t>
      </w:r>
      <w:r w:rsidRPr="00282007">
        <w:t>relativos a la adquisición, enajenación, realojo y reacondicionamiento de terrenos).</w:t>
      </w:r>
      <w:r>
        <w:t xml:space="preserve"> </w:t>
      </w:r>
      <w:r w:rsidRPr="00282007">
        <w:t>Además deberá suministrar información y rendición de cuentas a la fideicomitente</w:t>
      </w:r>
      <w:r>
        <w:t xml:space="preserve"> </w:t>
      </w:r>
      <w:r w:rsidRPr="00282007">
        <w:t>con la periodicidad que se pacta.</w:t>
      </w:r>
    </w:p>
    <w:p w:rsidR="00226FB5" w:rsidRPr="00282007" w:rsidRDefault="00226FB5" w:rsidP="00B74659">
      <w:pPr>
        <w:autoSpaceDE w:val="0"/>
        <w:autoSpaceDN w:val="0"/>
        <w:adjustRightInd w:val="0"/>
        <w:spacing w:line="360" w:lineRule="auto"/>
        <w:jc w:val="both"/>
      </w:pPr>
      <w:r w:rsidRPr="00282007">
        <w:t>La fiduciaria podrá efectuar inversiones en instrumentos de deuda</w:t>
      </w:r>
      <w:r>
        <w:t xml:space="preserve"> </w:t>
      </w:r>
      <w:r w:rsidRPr="00282007">
        <w:t>del gobierno emitidos por el BCU y/o depósitos en instituciones financieras de</w:t>
      </w:r>
      <w:r>
        <w:t xml:space="preserve"> </w:t>
      </w:r>
      <w:r w:rsidRPr="00282007">
        <w:t>plaza que estime convenientes.</w:t>
      </w:r>
    </w:p>
    <w:p w:rsidR="00226FB5" w:rsidRPr="00282007" w:rsidRDefault="00226FB5" w:rsidP="00B74659">
      <w:pPr>
        <w:autoSpaceDE w:val="0"/>
        <w:autoSpaceDN w:val="0"/>
        <w:adjustRightInd w:val="0"/>
        <w:spacing w:line="360" w:lineRule="auto"/>
        <w:jc w:val="both"/>
      </w:pPr>
      <w:r w:rsidRPr="00282007">
        <w:rPr>
          <w:b/>
          <w:bCs/>
        </w:rPr>
        <w:t xml:space="preserve">1.5.- </w:t>
      </w:r>
      <w:r w:rsidRPr="00282007">
        <w:t>Por concepto de remuneración, la fiduciaria percibirá la suma</w:t>
      </w:r>
      <w:r>
        <w:t xml:space="preserve"> </w:t>
      </w:r>
      <w:r w:rsidR="000734DE">
        <w:t>de U$S</w:t>
      </w:r>
      <w:r w:rsidRPr="00282007">
        <w:t>10.705 más IVA, 50% a la firma del contrato y 50% una vez suscrito el</w:t>
      </w:r>
      <w:r>
        <w:t xml:space="preserve"> </w:t>
      </w:r>
      <w:r w:rsidRPr="00282007">
        <w:t>préstamo con la institución financiadora. Asimismo percibirá una remuneración</w:t>
      </w:r>
      <w:r>
        <w:t xml:space="preserve"> </w:t>
      </w:r>
      <w:r w:rsidRPr="00282007">
        <w:t>mensual de UI 19150 más IVA. Además cobrará un 10% más IVA sobre los</w:t>
      </w:r>
      <w:r>
        <w:t xml:space="preserve"> </w:t>
      </w:r>
      <w:r w:rsidRPr="00282007">
        <w:t>rendimientos financieros positivos netos que se obtengan por colocaciones en</w:t>
      </w:r>
      <w:r>
        <w:t xml:space="preserve"> </w:t>
      </w:r>
      <w:r w:rsidRPr="00282007">
        <w:t>instrumentos financieros.</w:t>
      </w:r>
    </w:p>
    <w:p w:rsidR="00226FB5" w:rsidRPr="00282007" w:rsidRDefault="00226FB5" w:rsidP="000734DE">
      <w:pPr>
        <w:autoSpaceDE w:val="0"/>
        <w:autoSpaceDN w:val="0"/>
        <w:adjustRightInd w:val="0"/>
        <w:spacing w:line="360" w:lineRule="auto"/>
        <w:jc w:val="both"/>
      </w:pPr>
      <w:r w:rsidRPr="00282007">
        <w:rPr>
          <w:b/>
          <w:bCs/>
        </w:rPr>
        <w:t xml:space="preserve">1.6.- </w:t>
      </w:r>
      <w:r w:rsidRPr="00282007">
        <w:t>El plazo del Fideicomiso será de 15 años, pudiendo prorrogarse</w:t>
      </w:r>
      <w:r>
        <w:t xml:space="preserve"> </w:t>
      </w:r>
      <w:r w:rsidRPr="00282007">
        <w:t>hasta un máximo de 30 años.</w:t>
      </w:r>
    </w:p>
    <w:p w:rsidR="00226FB5" w:rsidRPr="00282007" w:rsidRDefault="00226FB5" w:rsidP="000734DE">
      <w:pPr>
        <w:autoSpaceDE w:val="0"/>
        <w:autoSpaceDN w:val="0"/>
        <w:adjustRightInd w:val="0"/>
        <w:spacing w:line="360" w:lineRule="auto"/>
        <w:jc w:val="both"/>
      </w:pPr>
      <w:r w:rsidRPr="00282007">
        <w:rPr>
          <w:b/>
          <w:bCs/>
        </w:rPr>
        <w:t xml:space="preserve">1.7.- </w:t>
      </w:r>
      <w:r w:rsidRPr="00282007">
        <w:t>En Anexo 1, dentro de las inversiones a realizar en el marco del</w:t>
      </w:r>
      <w:r>
        <w:t xml:space="preserve"> </w:t>
      </w:r>
      <w:r w:rsidRPr="00282007">
        <w:t>Fideicomiso, se detallan:</w:t>
      </w:r>
    </w:p>
    <w:p w:rsidR="00226FB5" w:rsidRPr="00282007" w:rsidRDefault="00226FB5" w:rsidP="000734DE">
      <w:pPr>
        <w:autoSpaceDE w:val="0"/>
        <w:autoSpaceDN w:val="0"/>
        <w:adjustRightInd w:val="0"/>
        <w:spacing w:line="360" w:lineRule="auto"/>
        <w:jc w:val="both"/>
      </w:pPr>
      <w:r w:rsidRPr="00282007">
        <w:t>- Soluciones Habitacionales;</w:t>
      </w:r>
    </w:p>
    <w:p w:rsidR="00226FB5" w:rsidRPr="00282007" w:rsidRDefault="00226FB5" w:rsidP="000734DE">
      <w:pPr>
        <w:autoSpaceDE w:val="0"/>
        <w:autoSpaceDN w:val="0"/>
        <w:adjustRightInd w:val="0"/>
        <w:spacing w:line="360" w:lineRule="auto"/>
        <w:jc w:val="both"/>
      </w:pPr>
      <w:r w:rsidRPr="00282007">
        <w:t>- Adquisición de terrenos (se estiman 2 manzanas) con la infraestructura</w:t>
      </w:r>
      <w:r>
        <w:t xml:space="preserve"> </w:t>
      </w:r>
      <w:r w:rsidRPr="00282007">
        <w:t>necesaria para que puedan ser habitables;</w:t>
      </w:r>
    </w:p>
    <w:p w:rsidR="00226FB5" w:rsidRPr="00282007" w:rsidRDefault="00226FB5" w:rsidP="000734DE">
      <w:pPr>
        <w:autoSpaceDE w:val="0"/>
        <w:autoSpaceDN w:val="0"/>
        <w:adjustRightInd w:val="0"/>
        <w:spacing w:line="360" w:lineRule="auto"/>
        <w:jc w:val="both"/>
      </w:pPr>
      <w:r w:rsidRPr="00282007">
        <w:t>- Traslado del Obrador Municipal hacia afuera de la ciudad, dejando una</w:t>
      </w:r>
      <w:r>
        <w:t xml:space="preserve"> </w:t>
      </w:r>
      <w:r w:rsidRPr="00282007">
        <w:t>manzana libre para destinarla a soluciones habitacionales;</w:t>
      </w:r>
    </w:p>
    <w:p w:rsidR="00226FB5" w:rsidRPr="00282007" w:rsidRDefault="00226FB5" w:rsidP="000734DE">
      <w:pPr>
        <w:autoSpaceDE w:val="0"/>
        <w:autoSpaceDN w:val="0"/>
        <w:adjustRightInd w:val="0"/>
        <w:spacing w:line="360" w:lineRule="auto"/>
        <w:jc w:val="both"/>
      </w:pPr>
      <w:r w:rsidRPr="00282007">
        <w:t>- Traslado de los Talleres, Carpintería y Herrería Municipales hacia afuera de la</w:t>
      </w:r>
      <w:r>
        <w:t xml:space="preserve"> </w:t>
      </w:r>
      <w:r w:rsidRPr="00282007">
        <w:t>ciudad;</w:t>
      </w:r>
    </w:p>
    <w:p w:rsidR="00226FB5" w:rsidRPr="00282007" w:rsidRDefault="00226FB5" w:rsidP="000734DE">
      <w:pPr>
        <w:autoSpaceDE w:val="0"/>
        <w:autoSpaceDN w:val="0"/>
        <w:adjustRightInd w:val="0"/>
        <w:spacing w:line="360" w:lineRule="auto"/>
        <w:jc w:val="both"/>
      </w:pPr>
      <w:r w:rsidRPr="00282007">
        <w:t>(Nota: Las soluciones habitacionales corren por cuenta de los privados</w:t>
      </w:r>
      <w:r>
        <w:t xml:space="preserve"> </w:t>
      </w:r>
      <w:r w:rsidRPr="00282007">
        <w:t>Cooperativas de vivienda y otros grupos de interesados)</w:t>
      </w:r>
      <w:r w:rsidR="00E95170">
        <w:t>.</w:t>
      </w:r>
    </w:p>
    <w:p w:rsidR="00226FB5" w:rsidRPr="00282007" w:rsidRDefault="00226FB5" w:rsidP="000734DE">
      <w:pPr>
        <w:autoSpaceDE w:val="0"/>
        <w:autoSpaceDN w:val="0"/>
        <w:adjustRightInd w:val="0"/>
        <w:spacing w:line="360" w:lineRule="auto"/>
        <w:jc w:val="both"/>
      </w:pPr>
      <w:r w:rsidRPr="00282007">
        <w:t>- Obra de carácter “social”;</w:t>
      </w:r>
    </w:p>
    <w:p w:rsidR="00226FB5" w:rsidRPr="00282007" w:rsidRDefault="00226FB5" w:rsidP="000734DE">
      <w:pPr>
        <w:autoSpaceDE w:val="0"/>
        <w:autoSpaceDN w:val="0"/>
        <w:adjustRightInd w:val="0"/>
        <w:spacing w:line="360" w:lineRule="auto"/>
        <w:jc w:val="both"/>
      </w:pPr>
      <w:r w:rsidRPr="00282007">
        <w:t>- Remodelación de paseo público (obra planificada en el Parque Lavalleja y su</w:t>
      </w:r>
      <w:r>
        <w:t xml:space="preserve"> </w:t>
      </w:r>
      <w:r w:rsidRPr="00282007">
        <w:t>conexión con el Microcentro;</w:t>
      </w:r>
    </w:p>
    <w:p w:rsidR="00226FB5" w:rsidRDefault="00226FB5" w:rsidP="000734DE">
      <w:pPr>
        <w:autoSpaceDE w:val="0"/>
        <w:autoSpaceDN w:val="0"/>
        <w:adjustRightInd w:val="0"/>
        <w:spacing w:line="360" w:lineRule="auto"/>
        <w:jc w:val="both"/>
      </w:pPr>
      <w:r w:rsidRPr="00282007">
        <w:t>- Obra que se piense hacer en los locales que dejarían libres los Talleres,</w:t>
      </w:r>
      <w:r>
        <w:t xml:space="preserve"> </w:t>
      </w:r>
      <w:r w:rsidRPr="00282007">
        <w:t>Carpintería y Herrería-</w:t>
      </w:r>
      <w:r w:rsidR="000734DE">
        <w:t xml:space="preserve"> </w:t>
      </w:r>
      <w:r w:rsidRPr="00282007">
        <w:t>(Se podrán incluir otras obras que se encuentren acordes con</w:t>
      </w:r>
      <w:r>
        <w:t xml:space="preserve"> </w:t>
      </w:r>
      <w:r w:rsidRPr="00282007">
        <w:t>el objetivo del fideicomiso)</w:t>
      </w:r>
      <w:r w:rsidR="00E95170">
        <w:t>.</w:t>
      </w:r>
    </w:p>
    <w:p w:rsidR="000734DE" w:rsidRPr="00282007" w:rsidRDefault="000734DE" w:rsidP="000734DE">
      <w:pPr>
        <w:autoSpaceDE w:val="0"/>
        <w:autoSpaceDN w:val="0"/>
        <w:adjustRightInd w:val="0"/>
        <w:spacing w:line="360" w:lineRule="auto"/>
        <w:jc w:val="both"/>
      </w:pPr>
    </w:p>
    <w:p w:rsidR="00226FB5" w:rsidRPr="00282007" w:rsidRDefault="00226FB5" w:rsidP="00B74659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282007">
        <w:rPr>
          <w:b/>
          <w:bCs/>
        </w:rPr>
        <w:t>2) SITUACIÓN FINANCIERA</w:t>
      </w:r>
    </w:p>
    <w:p w:rsidR="00226FB5" w:rsidRPr="00282007" w:rsidRDefault="00226FB5" w:rsidP="00B74659">
      <w:pPr>
        <w:autoSpaceDE w:val="0"/>
        <w:autoSpaceDN w:val="0"/>
        <w:adjustRightInd w:val="0"/>
        <w:spacing w:line="360" w:lineRule="auto"/>
        <w:jc w:val="both"/>
      </w:pPr>
      <w:r w:rsidRPr="00282007">
        <w:t>La Intendencia de Flores presenta un déficit</w:t>
      </w:r>
      <w:r>
        <w:t xml:space="preserve"> </w:t>
      </w:r>
      <w:r w:rsidRPr="00282007">
        <w:t>acumulado al 31/12/2017 de $44:978.304. En la Modificación Presupuestal 2017- 2020 de esa Intendencia se prevé</w:t>
      </w:r>
      <w:r>
        <w:t xml:space="preserve"> </w:t>
      </w:r>
      <w:r w:rsidRPr="00282007">
        <w:t>un superávit total de recursos sobre gastos de $ 226.674.483 para el trienio 2018-</w:t>
      </w:r>
      <w:r>
        <w:t xml:space="preserve"> 2020 lo que absorbería el resultado negativo a esa fecha.</w:t>
      </w:r>
    </w:p>
    <w:p w:rsidR="00226FB5" w:rsidRDefault="00226FB5" w:rsidP="00B74659">
      <w:pPr>
        <w:autoSpaceDE w:val="0"/>
        <w:autoSpaceDN w:val="0"/>
        <w:adjustRightInd w:val="0"/>
        <w:spacing w:line="360" w:lineRule="auto"/>
        <w:jc w:val="both"/>
      </w:pPr>
      <w:r w:rsidRPr="00282007">
        <w:t>Dicha Comuna percibió en el ejercicio 2017 por concepto de Patente de Rodados la</w:t>
      </w:r>
      <w:r>
        <w:t xml:space="preserve"> suma de $ 209.323.982 </w:t>
      </w:r>
      <w:r w:rsidRPr="00C26BC1">
        <w:t xml:space="preserve">(Fideicomiso SUCIVE). </w:t>
      </w:r>
      <w:r w:rsidRPr="00282007">
        <w:t>El promedio de los últimos tres ejercicios, 2015, 2016 y</w:t>
      </w:r>
      <w:r>
        <w:t xml:space="preserve"> </w:t>
      </w:r>
      <w:r w:rsidRPr="00282007">
        <w:t>2017</w:t>
      </w:r>
      <w:r>
        <w:t>,</w:t>
      </w:r>
      <w:r w:rsidRPr="00282007">
        <w:t xml:space="preserve"> fue de $ 198.858.417. </w:t>
      </w:r>
      <w:r>
        <w:t xml:space="preserve">De ese total de ingresos por el referido concepto, solo el </w:t>
      </w:r>
      <w:r w:rsidRPr="00282007">
        <w:t>10% se encuentra comprometido</w:t>
      </w:r>
      <w:r>
        <w:t xml:space="preserve"> </w:t>
      </w:r>
      <w:r w:rsidRPr="00282007">
        <w:t xml:space="preserve">en </w:t>
      </w:r>
      <w:r>
        <w:t xml:space="preserve">  </w:t>
      </w:r>
      <w:r w:rsidRPr="00282007">
        <w:t xml:space="preserve">un </w:t>
      </w:r>
      <w:r>
        <w:t xml:space="preserve"> </w:t>
      </w:r>
      <w:r w:rsidRPr="00282007">
        <w:t xml:space="preserve">convenio </w:t>
      </w:r>
      <w:r>
        <w:t xml:space="preserve"> </w:t>
      </w:r>
      <w:r w:rsidRPr="00282007">
        <w:t xml:space="preserve">con </w:t>
      </w:r>
      <w:r>
        <w:t xml:space="preserve"> </w:t>
      </w:r>
      <w:r w:rsidRPr="00282007">
        <w:t>UTE</w:t>
      </w:r>
      <w:r>
        <w:t xml:space="preserve">. En relación al 15 % que se afectaría al fideicomiso </w:t>
      </w:r>
    </w:p>
    <w:p w:rsidR="00226FB5" w:rsidRPr="00282007" w:rsidRDefault="00226FB5" w:rsidP="00B74659">
      <w:pPr>
        <w:autoSpaceDE w:val="0"/>
        <w:autoSpaceDN w:val="0"/>
        <w:adjustRightInd w:val="0"/>
        <w:spacing w:line="360" w:lineRule="auto"/>
        <w:jc w:val="both"/>
      </w:pPr>
      <w:r>
        <w:t>($ 29.800.000)</w:t>
      </w:r>
      <w:r w:rsidRPr="00282007">
        <w:t xml:space="preserve">, </w:t>
      </w:r>
      <w:r>
        <w:t xml:space="preserve">este monto </w:t>
      </w:r>
      <w:r w:rsidRPr="00282007">
        <w:t>excede</w:t>
      </w:r>
      <w:r>
        <w:t xml:space="preserve"> </w:t>
      </w:r>
      <w:r w:rsidRPr="00282007">
        <w:t xml:space="preserve">ampliamente </w:t>
      </w:r>
      <w:r>
        <w:t xml:space="preserve">las necesidades de fondos anuales previstas por la Intendencia ($ 8.400.000) </w:t>
      </w:r>
      <w:r w:rsidRPr="00974F04">
        <w:t>tomando en cuenta un endeudamiento aproximado de U$S 3.000.000 que equivale, a la fecha de este informe a, aproximadamente, $ 101.400.000 más los gastos derivados del fideicomiso.</w:t>
      </w:r>
    </w:p>
    <w:p w:rsidR="00226FB5" w:rsidRPr="00282007" w:rsidRDefault="00226FB5" w:rsidP="00A20447">
      <w:pPr>
        <w:autoSpaceDE w:val="0"/>
        <w:autoSpaceDN w:val="0"/>
        <w:adjustRightInd w:val="0"/>
        <w:spacing w:line="360" w:lineRule="auto"/>
        <w:jc w:val="both"/>
      </w:pPr>
      <w:r w:rsidRPr="00282007">
        <w:t>En cuanto a la incidencia de los honorarios de la fiduciaria en el resultado acumulado,</w:t>
      </w:r>
      <w:r>
        <w:t xml:space="preserve"> resulta que</w:t>
      </w:r>
      <w:r w:rsidRPr="00282007">
        <w:t xml:space="preserve"> los mismos </w:t>
      </w:r>
      <w:r>
        <w:t xml:space="preserve">serán similares, en el actual periodo de gobierno, </w:t>
      </w:r>
      <w:r w:rsidRPr="00282007">
        <w:t xml:space="preserve">con el costo del endeudamiento con </w:t>
      </w:r>
      <w:proofErr w:type="spellStart"/>
      <w:r w:rsidRPr="00282007">
        <w:t>Scotiabank</w:t>
      </w:r>
      <w:proofErr w:type="spellEnd"/>
      <w:r w:rsidRPr="00282007">
        <w:t xml:space="preserve"> y BBVA</w:t>
      </w:r>
      <w:r>
        <w:t xml:space="preserve"> ya cancelados</w:t>
      </w:r>
      <w:r w:rsidRPr="00282007">
        <w:t>,</w:t>
      </w:r>
      <w:r>
        <w:t xml:space="preserve"> por lo </w:t>
      </w:r>
      <w:r w:rsidRPr="00282007">
        <w:t>que la contratación del fideicomiso no afectará el déficit acumulado de la</w:t>
      </w:r>
      <w:r>
        <w:t xml:space="preserve"> </w:t>
      </w:r>
      <w:r w:rsidRPr="00282007">
        <w:t>Intendencia.</w:t>
      </w:r>
    </w:p>
    <w:p w:rsidR="00226FB5" w:rsidRPr="00282007" w:rsidRDefault="00226FB5" w:rsidP="00B74659">
      <w:pPr>
        <w:autoSpaceDE w:val="0"/>
        <w:autoSpaceDN w:val="0"/>
        <w:adjustRightInd w:val="0"/>
        <w:spacing w:line="360" w:lineRule="auto"/>
        <w:jc w:val="both"/>
      </w:pPr>
      <w:r w:rsidRPr="00282007">
        <w:t>Se deja constancia que respecto a la Rendición de Cuentas correspondiente al</w:t>
      </w:r>
      <w:r>
        <w:t xml:space="preserve"> </w:t>
      </w:r>
      <w:r w:rsidRPr="00282007">
        <w:t>ejercicio 2017, el Tribunal aún no emitió opinión, resultando los importes expuestos</w:t>
      </w:r>
      <w:r>
        <w:t xml:space="preserve"> </w:t>
      </w:r>
      <w:r w:rsidRPr="00282007">
        <w:t>precedentemente, del documento remitido por la Intendencia.</w:t>
      </w:r>
    </w:p>
    <w:p w:rsidR="00226FB5" w:rsidRPr="00282007" w:rsidRDefault="00226FB5" w:rsidP="00B74659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282007">
        <w:rPr>
          <w:b/>
          <w:bCs/>
        </w:rPr>
        <w:t>3) NORMAS Y CRITERIOS APLICABLES</w:t>
      </w:r>
    </w:p>
    <w:p w:rsidR="00226FB5" w:rsidRPr="00282007" w:rsidRDefault="00226FB5" w:rsidP="00B74659">
      <w:pPr>
        <w:autoSpaceDE w:val="0"/>
        <w:autoSpaceDN w:val="0"/>
        <w:adjustRightInd w:val="0"/>
        <w:spacing w:line="360" w:lineRule="auto"/>
        <w:jc w:val="both"/>
      </w:pPr>
      <w:r w:rsidRPr="00282007">
        <w:rPr>
          <w:b/>
          <w:bCs/>
        </w:rPr>
        <w:t xml:space="preserve">3.1- </w:t>
      </w:r>
      <w:r w:rsidRPr="00282007">
        <w:t>De conformidad al Art. 301 inciso 2 de la Constitución de la</w:t>
      </w:r>
      <w:r>
        <w:t xml:space="preserve"> </w:t>
      </w:r>
      <w:r w:rsidRPr="00282007">
        <w:t>República, los Gobiernos Departamentales requieren para contratar</w:t>
      </w:r>
      <w:r>
        <w:t xml:space="preserve"> </w:t>
      </w:r>
      <w:r w:rsidRPr="00282007">
        <w:t>préstamos</w:t>
      </w:r>
      <w:proofErr w:type="gramStart"/>
      <w:r w:rsidRPr="00282007">
        <w:t>,</w:t>
      </w:r>
      <w:r>
        <w:t xml:space="preserve"> </w:t>
      </w:r>
      <w:r w:rsidRPr="00282007">
        <w:t>”</w:t>
      </w:r>
      <w:proofErr w:type="gramEnd"/>
      <w:r w:rsidRPr="00282007">
        <w:t>la iniciativa del Intendente y la aprobación de la mayoría absoluta de</w:t>
      </w:r>
      <w:r>
        <w:t xml:space="preserve"> </w:t>
      </w:r>
      <w:r w:rsidRPr="00282007">
        <w:t>votos del total de componentes de la Junta Departamental, previo informe del</w:t>
      </w:r>
      <w:r>
        <w:t xml:space="preserve"> </w:t>
      </w:r>
      <w:r w:rsidRPr="00282007">
        <w:t>Tribunal de Cuentas. Si el plazo de los préstamos excediera el período de gobierno</w:t>
      </w:r>
      <w:r>
        <w:t xml:space="preserve"> </w:t>
      </w:r>
      <w:r w:rsidRPr="00282007">
        <w:t>del Intendente proponente, se requerirá para su aprobación, los dos tercios de votos</w:t>
      </w:r>
      <w:r>
        <w:t xml:space="preserve"> </w:t>
      </w:r>
      <w:r w:rsidRPr="00282007">
        <w:t>del total de componentes de la Junta Departamental”.</w:t>
      </w:r>
    </w:p>
    <w:p w:rsidR="00226FB5" w:rsidRPr="00282007" w:rsidRDefault="00226FB5" w:rsidP="00B74659">
      <w:pPr>
        <w:autoSpaceDE w:val="0"/>
        <w:autoSpaceDN w:val="0"/>
        <w:adjustRightInd w:val="0"/>
        <w:spacing w:line="360" w:lineRule="auto"/>
        <w:jc w:val="both"/>
      </w:pPr>
      <w:r w:rsidRPr="00282007">
        <w:t>Si bien el fideicomiso proyectado en principio es de administración,</w:t>
      </w:r>
      <w:r>
        <w:t xml:space="preserve"> </w:t>
      </w:r>
      <w:r w:rsidRPr="00282007">
        <w:t>corresponde aplicar lo dispuesto en la norma constitucional referida, en tanto se</w:t>
      </w:r>
      <w:r>
        <w:t xml:space="preserve"> </w:t>
      </w:r>
      <w:r w:rsidRPr="00282007">
        <w:t>autoriza a la fiduciaria a contraer créditos con destino a financiar el objeto del</w:t>
      </w:r>
      <w:r>
        <w:t xml:space="preserve"> </w:t>
      </w:r>
      <w:r w:rsidRPr="00282007">
        <w:t>Fideicomiso por hasta un monto de tres millones de dólares.</w:t>
      </w:r>
    </w:p>
    <w:p w:rsidR="00226FB5" w:rsidRPr="00282007" w:rsidRDefault="00226FB5" w:rsidP="00B74659">
      <w:pPr>
        <w:autoSpaceDE w:val="0"/>
        <w:autoSpaceDN w:val="0"/>
        <w:adjustRightInd w:val="0"/>
        <w:spacing w:line="360" w:lineRule="auto"/>
        <w:jc w:val="both"/>
      </w:pPr>
      <w:r w:rsidRPr="00282007">
        <w:rPr>
          <w:b/>
          <w:bCs/>
        </w:rPr>
        <w:t xml:space="preserve">3.2.- </w:t>
      </w:r>
      <w:r w:rsidRPr="00282007">
        <w:t>El informe del Tribunal tiene por objeto el control de los aspectos</w:t>
      </w:r>
      <w:r>
        <w:t xml:space="preserve"> </w:t>
      </w:r>
      <w:r w:rsidRPr="00282007">
        <w:t>legales y las condiciones económicas financieras para contratar el préstamo, así</w:t>
      </w:r>
      <w:r>
        <w:t xml:space="preserve"> </w:t>
      </w:r>
      <w:r w:rsidRPr="00282007">
        <w:t>como las posibilidades de su reintegro de acuerdo a los recursos que se prevean al</w:t>
      </w:r>
      <w:r>
        <w:t xml:space="preserve"> </w:t>
      </w:r>
      <w:r w:rsidRPr="00282007">
        <w:t>efecto.</w:t>
      </w:r>
    </w:p>
    <w:p w:rsidR="00226FB5" w:rsidRDefault="00226FB5" w:rsidP="00B74659">
      <w:pPr>
        <w:autoSpaceDE w:val="0"/>
        <w:autoSpaceDN w:val="0"/>
        <w:adjustRightInd w:val="0"/>
        <w:spacing w:line="360" w:lineRule="auto"/>
        <w:jc w:val="both"/>
      </w:pPr>
      <w:r w:rsidRPr="00282007">
        <w:t>Dicho informe, de acuerdo con la norma precitada, debe ser previo al</w:t>
      </w:r>
      <w:r>
        <w:t xml:space="preserve"> </w:t>
      </w:r>
      <w:r w:rsidR="000734DE">
        <w:t>pronunciamiento de la Junta.</w:t>
      </w:r>
    </w:p>
    <w:p w:rsidR="000734DE" w:rsidRPr="00282007" w:rsidRDefault="000734DE" w:rsidP="00B74659">
      <w:pPr>
        <w:autoSpaceDE w:val="0"/>
        <w:autoSpaceDN w:val="0"/>
        <w:adjustRightInd w:val="0"/>
        <w:spacing w:line="360" w:lineRule="auto"/>
        <w:jc w:val="both"/>
      </w:pPr>
    </w:p>
    <w:p w:rsidR="00226FB5" w:rsidRPr="00282007" w:rsidRDefault="00226FB5" w:rsidP="00B74659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282007">
        <w:rPr>
          <w:b/>
          <w:bCs/>
        </w:rPr>
        <w:t>4) CONCLUSIONES</w:t>
      </w:r>
    </w:p>
    <w:p w:rsidR="00226FB5" w:rsidRDefault="00226FB5" w:rsidP="00B74659">
      <w:pPr>
        <w:autoSpaceDE w:val="0"/>
        <w:autoSpaceDN w:val="0"/>
        <w:adjustRightInd w:val="0"/>
        <w:spacing w:line="360" w:lineRule="auto"/>
        <w:jc w:val="both"/>
      </w:pPr>
      <w:r w:rsidRPr="00282007">
        <w:rPr>
          <w:b/>
          <w:bCs/>
        </w:rPr>
        <w:t xml:space="preserve">4.1.- </w:t>
      </w:r>
      <w:r w:rsidRPr="00282007">
        <w:t>Se ha dado cumplimiento a lo dispuesto por el Art. 301 inciso 2º</w:t>
      </w:r>
      <w:r>
        <w:t xml:space="preserve"> </w:t>
      </w:r>
      <w:r w:rsidRPr="00282007">
        <w:t>de la Constitución de la República al solicitarse el informe que compete a éste</w:t>
      </w:r>
      <w:r>
        <w:t xml:space="preserve"> </w:t>
      </w:r>
      <w:r w:rsidRPr="00282007">
        <w:t>Tribunal, previamente a la suscripción del contrato y a la anuencia del Legislativo</w:t>
      </w:r>
      <w:r>
        <w:t xml:space="preserve"> </w:t>
      </w:r>
      <w:r w:rsidRPr="00282007">
        <w:t>Departamental.</w:t>
      </w:r>
    </w:p>
    <w:p w:rsidR="00226FB5" w:rsidRPr="00B74659" w:rsidRDefault="00226FB5" w:rsidP="00B74659">
      <w:pPr>
        <w:autoSpaceDE w:val="0"/>
        <w:autoSpaceDN w:val="0"/>
        <w:adjustRightInd w:val="0"/>
        <w:spacing w:line="360" w:lineRule="auto"/>
        <w:jc w:val="both"/>
      </w:pPr>
      <w:r w:rsidRPr="00B74659">
        <w:rPr>
          <w:b/>
        </w:rPr>
        <w:t>4.2.-</w:t>
      </w:r>
      <w:r>
        <w:rPr>
          <w:b/>
        </w:rPr>
        <w:t xml:space="preserve"> </w:t>
      </w:r>
      <w:r>
        <w:t>La contratación encuadra en la causal del Art. 33 numeral 1 del TOCAF.</w:t>
      </w:r>
    </w:p>
    <w:p w:rsidR="00226FB5" w:rsidRPr="00282007" w:rsidRDefault="00226FB5" w:rsidP="00B74659">
      <w:pPr>
        <w:autoSpaceDE w:val="0"/>
        <w:autoSpaceDN w:val="0"/>
        <w:adjustRightInd w:val="0"/>
        <w:spacing w:line="360" w:lineRule="auto"/>
        <w:jc w:val="both"/>
      </w:pPr>
      <w:r w:rsidRPr="00282007">
        <w:rPr>
          <w:b/>
          <w:bCs/>
        </w:rPr>
        <w:t>4.</w:t>
      </w:r>
      <w:r>
        <w:rPr>
          <w:b/>
          <w:bCs/>
        </w:rPr>
        <w:t>3</w:t>
      </w:r>
      <w:r w:rsidRPr="00282007">
        <w:rPr>
          <w:b/>
          <w:bCs/>
        </w:rPr>
        <w:t xml:space="preserve">.- </w:t>
      </w:r>
      <w:r w:rsidRPr="00282007">
        <w:t>La adquisición de inmuebles, enajenación, realojo y</w:t>
      </w:r>
      <w:r>
        <w:t xml:space="preserve"> </w:t>
      </w:r>
      <w:r w:rsidRPr="00282007">
        <w:t>acondicionamiento de terrenos, en principio, cumpliendo con las normas legales</w:t>
      </w:r>
      <w:r>
        <w:t xml:space="preserve">  r</w:t>
      </w:r>
      <w:r w:rsidRPr="00282007">
        <w:t>espectivas (en su caso Texto Ordenado de Contabilidad y Administración</w:t>
      </w:r>
      <w:r>
        <w:t xml:space="preserve"> </w:t>
      </w:r>
      <w:r w:rsidRPr="00282007">
        <w:t>Financiera, Ley Orgánica Municipal y Ley de Ordenamiento Territorial), integra la</w:t>
      </w:r>
      <w:r>
        <w:t xml:space="preserve"> </w:t>
      </w:r>
      <w:r w:rsidRPr="00282007">
        <w:t>competencia de la Intendencia de Flores. No obstante, en el caso no se cumple con</w:t>
      </w:r>
      <w:r>
        <w:t xml:space="preserve"> </w:t>
      </w:r>
      <w:r w:rsidRPr="00282007">
        <w:t>la condición establecida en el artículo 11 literal E) de la Ley No. 15</w:t>
      </w:r>
      <w:r>
        <w:t>.</w:t>
      </w:r>
      <w:r w:rsidRPr="00282007">
        <w:t>785, norma que</w:t>
      </w:r>
      <w:r>
        <w:t xml:space="preserve"> </w:t>
      </w:r>
      <w:r w:rsidRPr="00282007">
        <w:t>incluye como cometido de la CND el prestar servicios de administración de</w:t>
      </w:r>
    </w:p>
    <w:p w:rsidR="00226FB5" w:rsidRPr="00282007" w:rsidRDefault="00226FB5" w:rsidP="00B74659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282007">
        <w:t>fondos</w:t>
      </w:r>
      <w:proofErr w:type="gramEnd"/>
      <w:r w:rsidRPr="00282007">
        <w:t>, “cuando los mismos no puedan ser prestados por otras personas públicas en</w:t>
      </w:r>
      <w:r>
        <w:t xml:space="preserve"> </w:t>
      </w:r>
      <w:r w:rsidRPr="00282007">
        <w:t>razón de sus cometidos”.</w:t>
      </w:r>
    </w:p>
    <w:p w:rsidR="00226FB5" w:rsidRPr="00282007" w:rsidRDefault="00226FB5" w:rsidP="00B74659">
      <w:pPr>
        <w:autoSpaceDE w:val="0"/>
        <w:autoSpaceDN w:val="0"/>
        <w:adjustRightInd w:val="0"/>
        <w:spacing w:line="360" w:lineRule="auto"/>
        <w:jc w:val="both"/>
      </w:pPr>
      <w:r w:rsidRPr="00282007">
        <w:t>Asimismo, el transferir fondos públicos para que sean administrados</w:t>
      </w:r>
      <w:r>
        <w:t xml:space="preserve"> </w:t>
      </w:r>
      <w:r w:rsidRPr="00282007">
        <w:t>por una persona jurídica que se rige por el derecho privado, conlleva la no</w:t>
      </w:r>
      <w:r>
        <w:t xml:space="preserve"> </w:t>
      </w:r>
      <w:r w:rsidRPr="00282007">
        <w:t>aplicación de normas legales preceptivas para el Gobierno Departamental,</w:t>
      </w:r>
      <w:r>
        <w:t xml:space="preserve"> </w:t>
      </w:r>
      <w:r w:rsidRPr="00282007">
        <w:t>normas que regulan las contrataciones a que se destinan dichos fondos.-</w:t>
      </w:r>
    </w:p>
    <w:p w:rsidR="00226FB5" w:rsidRDefault="00226FB5" w:rsidP="00B74659">
      <w:pPr>
        <w:autoSpaceDE w:val="0"/>
        <w:autoSpaceDN w:val="0"/>
        <w:adjustRightInd w:val="0"/>
        <w:spacing w:line="360" w:lineRule="auto"/>
        <w:jc w:val="both"/>
      </w:pPr>
      <w:r w:rsidRPr="00282007">
        <w:rPr>
          <w:b/>
          <w:bCs/>
        </w:rPr>
        <w:t>4.</w:t>
      </w:r>
      <w:r>
        <w:rPr>
          <w:b/>
          <w:bCs/>
        </w:rPr>
        <w:t>4</w:t>
      </w:r>
      <w:r w:rsidRPr="00282007">
        <w:rPr>
          <w:b/>
          <w:bCs/>
        </w:rPr>
        <w:t xml:space="preserve">.- </w:t>
      </w:r>
      <w:r>
        <w:t>L</w:t>
      </w:r>
      <w:r w:rsidRPr="00282007">
        <w:t>a compra de</w:t>
      </w:r>
      <w:r>
        <w:t xml:space="preserve"> </w:t>
      </w:r>
      <w:r w:rsidRPr="00282007">
        <w:t>inmuebles para ser enajenados a terceros, no encuadra en lo establecido en el</w:t>
      </w:r>
      <w:r>
        <w:t xml:space="preserve"> A</w:t>
      </w:r>
      <w:r w:rsidRPr="00282007">
        <w:t>rtículo 36 Nral.1 de la Ley 9.515 de 28/10/35 (adquirir terrenos y edificios para</w:t>
      </w:r>
      <w:r>
        <w:t xml:space="preserve"> </w:t>
      </w:r>
      <w:r w:rsidRPr="00282007">
        <w:t>oficinas y establecimientos departamentales), ni tampoco configura la hipótesis del</w:t>
      </w:r>
      <w:r>
        <w:t xml:space="preserve"> A</w:t>
      </w:r>
      <w:r w:rsidRPr="00282007">
        <w:t>rtículo 67 de la Ley 18.308 de 30/06/08 (para cartera de tierras). Tampoco</w:t>
      </w:r>
      <w:r>
        <w:t xml:space="preserve"> </w:t>
      </w:r>
      <w:r w:rsidRPr="00282007">
        <w:t xml:space="preserve">encuadra el caso en lo dispuesto por el </w:t>
      </w:r>
      <w:r>
        <w:t>A</w:t>
      </w:r>
      <w:r w:rsidRPr="00282007">
        <w:t>rtículo 81 inciso 2 del TOCAF</w:t>
      </w:r>
      <w:r>
        <w:t xml:space="preserve"> </w:t>
      </w:r>
      <w:r w:rsidRPr="00282007">
        <w:t>(enajenación de bienes inmuebles a un fideicomiso).-</w:t>
      </w:r>
    </w:p>
    <w:p w:rsidR="00226FB5" w:rsidRPr="00282007" w:rsidRDefault="00226FB5" w:rsidP="00B74659">
      <w:pPr>
        <w:autoSpaceDE w:val="0"/>
        <w:autoSpaceDN w:val="0"/>
        <w:adjustRightInd w:val="0"/>
        <w:spacing w:line="360" w:lineRule="auto"/>
        <w:jc w:val="both"/>
      </w:pPr>
      <w:r w:rsidRPr="00A2349E">
        <w:rPr>
          <w:b/>
          <w:bCs/>
        </w:rPr>
        <w:t>4.</w:t>
      </w:r>
      <w:r>
        <w:rPr>
          <w:b/>
          <w:bCs/>
        </w:rPr>
        <w:t>5.-</w:t>
      </w:r>
      <w:r>
        <w:t xml:space="preserve"> La realización del Fideicomiso en los términos informados no afectará el déficit acumulado de la Intendencia.</w:t>
      </w:r>
    </w:p>
    <w:p w:rsidR="00226FB5" w:rsidRPr="00282007" w:rsidRDefault="00226FB5" w:rsidP="00B74659">
      <w:pPr>
        <w:autoSpaceDE w:val="0"/>
        <w:autoSpaceDN w:val="0"/>
        <w:adjustRightInd w:val="0"/>
        <w:spacing w:line="360" w:lineRule="auto"/>
        <w:jc w:val="both"/>
      </w:pPr>
      <w:r w:rsidRPr="00282007">
        <w:rPr>
          <w:b/>
          <w:bCs/>
        </w:rPr>
        <w:t>4.</w:t>
      </w:r>
      <w:r>
        <w:rPr>
          <w:b/>
          <w:bCs/>
        </w:rPr>
        <w:t>6</w:t>
      </w:r>
      <w:r w:rsidRPr="00282007">
        <w:rPr>
          <w:b/>
          <w:bCs/>
        </w:rPr>
        <w:t xml:space="preserve">.- </w:t>
      </w:r>
      <w:r w:rsidRPr="00282007">
        <w:t>Si igualmente se otorgara la anuencia de la Junta</w:t>
      </w:r>
      <w:r>
        <w:t xml:space="preserve"> </w:t>
      </w:r>
      <w:r w:rsidRPr="00282007">
        <w:t>Departamental por las mayorías requeridas, culminado el procedimiento legal de</w:t>
      </w:r>
      <w:r>
        <w:t xml:space="preserve"> </w:t>
      </w:r>
      <w:r w:rsidRPr="00282007">
        <w:t>contratación, deberá ser sometido por la Intendencia actuante, junto con el contrato</w:t>
      </w:r>
      <w:r>
        <w:t xml:space="preserve"> </w:t>
      </w:r>
      <w:r w:rsidRPr="00282007">
        <w:t>proyectado o suscrito ad referéndum, a la intervención preventiva que compete a</w:t>
      </w:r>
      <w:r>
        <w:t xml:space="preserve"> </w:t>
      </w:r>
      <w:r w:rsidRPr="00282007">
        <w:t>éste Tribunal.</w:t>
      </w:r>
    </w:p>
    <w:p w:rsidR="00226FB5" w:rsidRDefault="00226FB5" w:rsidP="00282007">
      <w:pPr>
        <w:autoSpaceDE w:val="0"/>
        <w:autoSpaceDN w:val="0"/>
        <w:adjustRightInd w:val="0"/>
        <w:spacing w:line="360" w:lineRule="auto"/>
      </w:pPr>
    </w:p>
    <w:p w:rsidR="00226FB5" w:rsidRDefault="00226FB5" w:rsidP="00282007">
      <w:pPr>
        <w:autoSpaceDE w:val="0"/>
        <w:autoSpaceDN w:val="0"/>
        <w:adjustRightInd w:val="0"/>
        <w:spacing w:line="360" w:lineRule="auto"/>
      </w:pPr>
    </w:p>
    <w:p w:rsidR="00226FB5" w:rsidRDefault="00226FB5" w:rsidP="00226FB5">
      <w:pPr>
        <w:autoSpaceDE w:val="0"/>
        <w:autoSpaceDN w:val="0"/>
        <w:adjustRightInd w:val="0"/>
        <w:spacing w:line="360" w:lineRule="auto"/>
      </w:pPr>
      <w:proofErr w:type="spellStart"/>
      <w:proofErr w:type="gramStart"/>
      <w:r>
        <w:t>cr</w:t>
      </w:r>
      <w:proofErr w:type="spellEnd"/>
      <w:proofErr w:type="gramEnd"/>
    </w:p>
    <w:sectPr w:rsidR="00226FB5" w:rsidSect="00CC3A0A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4243A"/>
    <w:multiLevelType w:val="hybridMultilevel"/>
    <w:tmpl w:val="705634A8"/>
    <w:lvl w:ilvl="0" w:tplc="9A1231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214"/>
    <w:rsid w:val="00014FA3"/>
    <w:rsid w:val="00017BCF"/>
    <w:rsid w:val="0005229D"/>
    <w:rsid w:val="000734DE"/>
    <w:rsid w:val="001663C5"/>
    <w:rsid w:val="001A4214"/>
    <w:rsid w:val="001B4F0E"/>
    <w:rsid w:val="00205FA5"/>
    <w:rsid w:val="00226FB5"/>
    <w:rsid w:val="0023171D"/>
    <w:rsid w:val="00350A28"/>
    <w:rsid w:val="0056306D"/>
    <w:rsid w:val="006235FB"/>
    <w:rsid w:val="00624752"/>
    <w:rsid w:val="00691937"/>
    <w:rsid w:val="00713CE6"/>
    <w:rsid w:val="007147DF"/>
    <w:rsid w:val="00750A96"/>
    <w:rsid w:val="00763263"/>
    <w:rsid w:val="00781DEF"/>
    <w:rsid w:val="00874B15"/>
    <w:rsid w:val="008905ED"/>
    <w:rsid w:val="008E60F6"/>
    <w:rsid w:val="00913794"/>
    <w:rsid w:val="00927E4E"/>
    <w:rsid w:val="00A631AC"/>
    <w:rsid w:val="00A713B6"/>
    <w:rsid w:val="00B34A1A"/>
    <w:rsid w:val="00B75AFC"/>
    <w:rsid w:val="00BD0CE9"/>
    <w:rsid w:val="00BE222F"/>
    <w:rsid w:val="00C56C89"/>
    <w:rsid w:val="00CB2C70"/>
    <w:rsid w:val="00CC3A0A"/>
    <w:rsid w:val="00D552BB"/>
    <w:rsid w:val="00E64292"/>
    <w:rsid w:val="00E95170"/>
    <w:rsid w:val="00FE02AB"/>
    <w:rsid w:val="00FE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21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4B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21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4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6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1446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 de Cuentas</dc:creator>
  <cp:lastModifiedBy>Tribunal1</cp:lastModifiedBy>
  <cp:revision>5</cp:revision>
  <cp:lastPrinted>2018-10-26T15:03:00Z</cp:lastPrinted>
  <dcterms:created xsi:type="dcterms:W3CDTF">2018-10-26T15:04:00Z</dcterms:created>
  <dcterms:modified xsi:type="dcterms:W3CDTF">2018-11-30T18:01:00Z</dcterms:modified>
</cp:coreProperties>
</file>