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700" w:rsidRPr="00786EEB" w:rsidRDefault="00897700"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3143/18</w:t>
      </w:r>
    </w:p>
    <w:p w:rsidR="00897700" w:rsidRPr="00897700" w:rsidRDefault="00897700" w:rsidP="00897700">
      <w:pPr>
        <w:tabs>
          <w:tab w:val="center" w:pos="4253"/>
        </w:tabs>
        <w:suppressAutoHyphens/>
        <w:spacing w:after="0" w:line="240" w:lineRule="auto"/>
        <w:jc w:val="center"/>
        <w:rPr>
          <w:rFonts w:ascii="Arial" w:hAnsi="Arial" w:cs="Arial"/>
          <w:b/>
          <w:sz w:val="24"/>
          <w:szCs w:val="24"/>
          <w:lang w:val="es-ES_tradnl"/>
        </w:rPr>
      </w:pPr>
      <w:r w:rsidRPr="00897700">
        <w:rPr>
          <w:rFonts w:ascii="Arial" w:hAnsi="Arial" w:cs="Arial"/>
          <w:b/>
          <w:sz w:val="24"/>
          <w:szCs w:val="24"/>
          <w:lang w:val="es-ES_tradnl"/>
        </w:rPr>
        <w:t>RESOLUCION ADOPTADA POR EL</w:t>
      </w:r>
    </w:p>
    <w:p w:rsidR="00897700" w:rsidRPr="00897700" w:rsidRDefault="00897700" w:rsidP="00897700">
      <w:pPr>
        <w:tabs>
          <w:tab w:val="left" w:pos="-720"/>
        </w:tabs>
        <w:suppressAutoHyphens/>
        <w:spacing w:after="0" w:line="240" w:lineRule="auto"/>
        <w:jc w:val="center"/>
        <w:rPr>
          <w:rFonts w:ascii="Arial" w:hAnsi="Arial" w:cs="Arial"/>
          <w:b/>
          <w:sz w:val="24"/>
          <w:szCs w:val="24"/>
          <w:lang w:val="es-ES_tradnl"/>
        </w:rPr>
      </w:pPr>
    </w:p>
    <w:p w:rsidR="00897700" w:rsidRPr="00897700" w:rsidRDefault="00897700" w:rsidP="00897700">
      <w:pPr>
        <w:tabs>
          <w:tab w:val="center" w:pos="4253"/>
        </w:tabs>
        <w:suppressAutoHyphens/>
        <w:spacing w:after="0" w:line="240" w:lineRule="auto"/>
        <w:jc w:val="center"/>
        <w:rPr>
          <w:rFonts w:ascii="Arial" w:hAnsi="Arial" w:cs="Arial"/>
          <w:b/>
          <w:sz w:val="24"/>
          <w:szCs w:val="24"/>
          <w:lang w:val="es-ES_tradnl"/>
        </w:rPr>
      </w:pPr>
      <w:r w:rsidRPr="00897700">
        <w:rPr>
          <w:rFonts w:ascii="Arial" w:hAnsi="Arial" w:cs="Arial"/>
          <w:b/>
          <w:sz w:val="24"/>
          <w:szCs w:val="24"/>
          <w:lang w:val="es-ES_tradnl"/>
        </w:rPr>
        <w:t>TRIBUNAL DE CUENTAS</w:t>
      </w:r>
    </w:p>
    <w:p w:rsidR="00897700" w:rsidRPr="00897700" w:rsidRDefault="00897700" w:rsidP="00897700">
      <w:pPr>
        <w:tabs>
          <w:tab w:val="left" w:pos="-720"/>
        </w:tabs>
        <w:suppressAutoHyphens/>
        <w:spacing w:after="0" w:line="240" w:lineRule="auto"/>
        <w:jc w:val="center"/>
        <w:rPr>
          <w:rFonts w:ascii="Arial" w:hAnsi="Arial" w:cs="Arial"/>
          <w:b/>
          <w:sz w:val="24"/>
          <w:szCs w:val="24"/>
          <w:lang w:val="es-ES_tradnl"/>
        </w:rPr>
      </w:pPr>
    </w:p>
    <w:p w:rsidR="00897700" w:rsidRPr="00897700" w:rsidRDefault="00897700" w:rsidP="00897700">
      <w:pPr>
        <w:tabs>
          <w:tab w:val="center" w:pos="4253"/>
        </w:tabs>
        <w:suppressAutoHyphens/>
        <w:spacing w:after="0" w:line="240" w:lineRule="auto"/>
        <w:jc w:val="center"/>
        <w:rPr>
          <w:rFonts w:ascii="Arial" w:hAnsi="Arial" w:cs="Arial"/>
          <w:b/>
          <w:sz w:val="24"/>
          <w:szCs w:val="24"/>
          <w:lang w:val="es-ES_tradnl"/>
        </w:rPr>
      </w:pPr>
      <w:r w:rsidRPr="00897700">
        <w:rPr>
          <w:rFonts w:ascii="Arial" w:hAnsi="Arial" w:cs="Arial"/>
          <w:b/>
          <w:sz w:val="24"/>
          <w:szCs w:val="24"/>
          <w:lang w:val="es-ES_tradnl"/>
        </w:rPr>
        <w:t xml:space="preserve">EN SESION DE FECHA 3 DE OCTUBRE </w:t>
      </w:r>
      <w:r w:rsidRPr="00897700">
        <w:rPr>
          <w:rFonts w:ascii="Helvetica" w:hAnsi="Helvetica"/>
          <w:b/>
          <w:sz w:val="24"/>
          <w:szCs w:val="24"/>
          <w:lang w:val="es-ES_tradnl"/>
        </w:rPr>
        <w:t>DE 2018</w:t>
      </w:r>
    </w:p>
    <w:p w:rsidR="00897700" w:rsidRPr="00897700" w:rsidRDefault="00897700" w:rsidP="00897700">
      <w:pPr>
        <w:tabs>
          <w:tab w:val="center" w:pos="4253"/>
        </w:tabs>
        <w:suppressAutoHyphens/>
        <w:spacing w:after="0" w:line="240" w:lineRule="auto"/>
        <w:jc w:val="center"/>
        <w:rPr>
          <w:rFonts w:ascii="Arial" w:hAnsi="Arial" w:cs="Arial"/>
          <w:b/>
          <w:sz w:val="24"/>
          <w:szCs w:val="24"/>
          <w:lang w:val="es-ES_tradnl"/>
        </w:rPr>
      </w:pPr>
    </w:p>
    <w:p w:rsidR="00897700" w:rsidRPr="00243754" w:rsidRDefault="00897700" w:rsidP="00897700">
      <w:pPr>
        <w:tabs>
          <w:tab w:val="center" w:pos="4253"/>
        </w:tabs>
        <w:suppressAutoHyphens/>
        <w:spacing w:after="0" w:line="240" w:lineRule="auto"/>
        <w:jc w:val="center"/>
        <w:rPr>
          <w:rFonts w:ascii="Arial" w:hAnsi="Arial" w:cs="Arial"/>
          <w:b/>
          <w:sz w:val="24"/>
          <w:szCs w:val="24"/>
          <w:lang w:val="es-UY"/>
        </w:rPr>
      </w:pPr>
      <w:r w:rsidRPr="00243754">
        <w:rPr>
          <w:rFonts w:ascii="Arial" w:hAnsi="Arial" w:cs="Arial"/>
          <w:b/>
          <w:sz w:val="24"/>
          <w:szCs w:val="24"/>
          <w:lang w:val="es-UY"/>
        </w:rPr>
        <w:t xml:space="preserve">(E. E. Nº 2018-17-1-0004108, </w:t>
      </w:r>
      <w:proofErr w:type="spellStart"/>
      <w:r w:rsidRPr="00243754">
        <w:rPr>
          <w:rFonts w:ascii="Arial" w:hAnsi="Arial" w:cs="Arial"/>
          <w:b/>
          <w:sz w:val="24"/>
          <w:szCs w:val="24"/>
          <w:lang w:val="es-UY"/>
        </w:rPr>
        <w:t>Ent</w:t>
      </w:r>
      <w:proofErr w:type="spellEnd"/>
      <w:r w:rsidRPr="00243754">
        <w:rPr>
          <w:rFonts w:ascii="Arial" w:hAnsi="Arial" w:cs="Arial"/>
          <w:b/>
          <w:sz w:val="24"/>
          <w:szCs w:val="24"/>
          <w:lang w:val="es-UY"/>
        </w:rPr>
        <w:t>. N° 3163/18)</w:t>
      </w:r>
    </w:p>
    <w:p w:rsidR="00897700" w:rsidRPr="00243754" w:rsidRDefault="00897700" w:rsidP="00897700">
      <w:pPr>
        <w:tabs>
          <w:tab w:val="center" w:pos="4253"/>
        </w:tabs>
        <w:suppressAutoHyphens/>
        <w:spacing w:after="0" w:line="240" w:lineRule="auto"/>
        <w:jc w:val="center"/>
        <w:rPr>
          <w:rFonts w:ascii="Helvetica" w:hAnsi="Helvetica"/>
          <w:b/>
          <w:sz w:val="24"/>
          <w:szCs w:val="24"/>
          <w:lang w:val="es-UY"/>
        </w:rPr>
      </w:pPr>
    </w:p>
    <w:p w:rsidR="00897700" w:rsidRPr="00243754" w:rsidRDefault="00897700" w:rsidP="00762B34">
      <w:pPr>
        <w:tabs>
          <w:tab w:val="center" w:pos="4253"/>
        </w:tabs>
        <w:suppressAutoHyphens/>
        <w:jc w:val="right"/>
        <w:rPr>
          <w:rFonts w:ascii="Arial" w:hAnsi="Arial"/>
          <w:spacing w:val="-3"/>
          <w:lang w:val="es-UY"/>
        </w:rPr>
      </w:pPr>
    </w:p>
    <w:p w:rsidR="00DB3D6D" w:rsidRDefault="00517E1D" w:rsidP="0052061A">
      <w:pPr>
        <w:spacing w:after="0" w:line="360" w:lineRule="auto"/>
        <w:ind w:firstLine="851"/>
        <w:jc w:val="both"/>
        <w:rPr>
          <w:rFonts w:ascii="Arial" w:hAnsi="Arial" w:cs="Arial"/>
          <w:sz w:val="24"/>
          <w:szCs w:val="24"/>
        </w:rPr>
      </w:pPr>
      <w:r w:rsidRPr="00517E1D">
        <w:rPr>
          <w:rFonts w:ascii="Arial" w:hAnsi="Arial" w:cs="Arial"/>
          <w:b/>
          <w:sz w:val="24"/>
          <w:szCs w:val="24"/>
        </w:rPr>
        <w:t>VISTO</w:t>
      </w:r>
      <w:r w:rsidR="003A1609" w:rsidRPr="0052061A">
        <w:rPr>
          <w:rFonts w:ascii="Arial" w:hAnsi="Arial" w:cs="Arial"/>
          <w:b/>
          <w:sz w:val="24"/>
          <w:szCs w:val="24"/>
        </w:rPr>
        <w:t>:</w:t>
      </w:r>
      <w:r w:rsidR="003A1609">
        <w:rPr>
          <w:rFonts w:ascii="Arial" w:hAnsi="Arial" w:cs="Arial"/>
          <w:sz w:val="24"/>
          <w:szCs w:val="24"/>
        </w:rPr>
        <w:t xml:space="preserve"> el Oficio Nº 273/18 de fecha 18 de junio de 2018, remitido por la Presidencia de la </w:t>
      </w:r>
      <w:r>
        <w:rPr>
          <w:rFonts w:ascii="Arial" w:hAnsi="Arial" w:cs="Arial"/>
          <w:sz w:val="24"/>
          <w:szCs w:val="24"/>
        </w:rPr>
        <w:t>Administración Nacional de Telecomunicaciones</w:t>
      </w:r>
      <w:r w:rsidR="00673554">
        <w:rPr>
          <w:rFonts w:ascii="Arial" w:hAnsi="Arial" w:cs="Arial"/>
          <w:sz w:val="24"/>
          <w:szCs w:val="24"/>
        </w:rPr>
        <w:t xml:space="preserve"> (ANTEL)</w:t>
      </w:r>
      <w:r>
        <w:rPr>
          <w:rFonts w:ascii="Arial" w:hAnsi="Arial" w:cs="Arial"/>
          <w:sz w:val="24"/>
          <w:szCs w:val="24"/>
        </w:rPr>
        <w:t xml:space="preserve">, relacionadas con el </w:t>
      </w:r>
      <w:r w:rsidR="003A1609">
        <w:rPr>
          <w:rFonts w:ascii="Arial" w:hAnsi="Arial" w:cs="Arial"/>
          <w:sz w:val="24"/>
          <w:szCs w:val="24"/>
        </w:rPr>
        <w:t>R</w:t>
      </w:r>
      <w:r>
        <w:rPr>
          <w:rFonts w:ascii="Arial" w:hAnsi="Arial" w:cs="Arial"/>
          <w:sz w:val="24"/>
          <w:szCs w:val="24"/>
        </w:rPr>
        <w:t>eglamento para el us</w:t>
      </w:r>
      <w:r w:rsidR="0052061A">
        <w:rPr>
          <w:rFonts w:ascii="Arial" w:hAnsi="Arial" w:cs="Arial"/>
          <w:sz w:val="24"/>
          <w:szCs w:val="24"/>
        </w:rPr>
        <w:t>o de las tarjetas corporativas;</w:t>
      </w:r>
    </w:p>
    <w:p w:rsidR="00673554" w:rsidRDefault="00517E1D" w:rsidP="0052061A">
      <w:pPr>
        <w:spacing w:after="0" w:line="360" w:lineRule="auto"/>
        <w:ind w:firstLine="851"/>
        <w:jc w:val="both"/>
        <w:rPr>
          <w:rFonts w:ascii="Arial" w:hAnsi="Arial" w:cs="Arial"/>
          <w:sz w:val="24"/>
          <w:szCs w:val="24"/>
        </w:rPr>
      </w:pPr>
      <w:r w:rsidRPr="00517E1D">
        <w:rPr>
          <w:rFonts w:ascii="Arial" w:hAnsi="Arial" w:cs="Arial"/>
          <w:b/>
          <w:sz w:val="24"/>
          <w:szCs w:val="24"/>
        </w:rPr>
        <w:t xml:space="preserve">RESULTANDO: 1) </w:t>
      </w:r>
      <w:r w:rsidR="00673554" w:rsidRPr="00673554">
        <w:rPr>
          <w:rFonts w:ascii="Arial" w:hAnsi="Arial" w:cs="Arial"/>
          <w:sz w:val="24"/>
          <w:szCs w:val="24"/>
        </w:rPr>
        <w:t xml:space="preserve">que </w:t>
      </w:r>
      <w:r w:rsidR="003A1609">
        <w:rPr>
          <w:rFonts w:ascii="Arial" w:hAnsi="Arial" w:cs="Arial"/>
          <w:sz w:val="24"/>
          <w:szCs w:val="24"/>
        </w:rPr>
        <w:t xml:space="preserve">al Oficio referido se adjunta </w:t>
      </w:r>
      <w:r w:rsidR="003D68C8">
        <w:rPr>
          <w:rFonts w:ascii="Arial" w:hAnsi="Arial" w:cs="Arial"/>
          <w:sz w:val="24"/>
          <w:szCs w:val="24"/>
        </w:rPr>
        <w:t>R</w:t>
      </w:r>
      <w:r w:rsidR="00673554">
        <w:rPr>
          <w:rFonts w:ascii="Arial" w:hAnsi="Arial" w:cs="Arial"/>
          <w:sz w:val="24"/>
          <w:szCs w:val="24"/>
        </w:rPr>
        <w:t>esoluc</w:t>
      </w:r>
      <w:r w:rsidR="003D68C8">
        <w:rPr>
          <w:rFonts w:ascii="Arial" w:hAnsi="Arial" w:cs="Arial"/>
          <w:sz w:val="24"/>
          <w:szCs w:val="24"/>
        </w:rPr>
        <w:t xml:space="preserve">ión </w:t>
      </w:r>
      <w:r w:rsidR="0052061A">
        <w:rPr>
          <w:rFonts w:ascii="Arial" w:hAnsi="Arial" w:cs="Arial"/>
          <w:sz w:val="24"/>
          <w:szCs w:val="24"/>
        </w:rPr>
        <w:t>Nº</w:t>
      </w:r>
      <w:r w:rsidR="003A1609">
        <w:rPr>
          <w:rFonts w:ascii="Arial" w:hAnsi="Arial" w:cs="Arial"/>
          <w:sz w:val="24"/>
          <w:szCs w:val="24"/>
        </w:rPr>
        <w:t>613/18 de fecha 13/6/18 adoptada por</w:t>
      </w:r>
      <w:r w:rsidR="00673554">
        <w:rPr>
          <w:rFonts w:ascii="Arial" w:hAnsi="Arial" w:cs="Arial"/>
          <w:sz w:val="24"/>
          <w:szCs w:val="24"/>
        </w:rPr>
        <w:t xml:space="preserve"> el Directorio de ANTEL, </w:t>
      </w:r>
      <w:r w:rsidR="003A1609">
        <w:rPr>
          <w:rFonts w:ascii="Arial" w:hAnsi="Arial" w:cs="Arial"/>
          <w:sz w:val="24"/>
          <w:szCs w:val="24"/>
        </w:rPr>
        <w:t xml:space="preserve">mediante la cual se </w:t>
      </w:r>
      <w:r w:rsidR="00673554">
        <w:rPr>
          <w:rFonts w:ascii="Arial" w:hAnsi="Arial" w:cs="Arial"/>
          <w:sz w:val="24"/>
          <w:szCs w:val="24"/>
        </w:rPr>
        <w:t>dispuso crear un fondo permanente en dólares americanos y pesos uruguayos por el monto de U$S 100.000 y $ 1:000.000</w:t>
      </w:r>
      <w:r w:rsidR="003A1609">
        <w:rPr>
          <w:rFonts w:ascii="Arial" w:hAnsi="Arial" w:cs="Arial"/>
          <w:sz w:val="24"/>
          <w:szCs w:val="24"/>
        </w:rPr>
        <w:t xml:space="preserve"> respectivamente</w:t>
      </w:r>
      <w:r w:rsidR="00673554">
        <w:rPr>
          <w:rFonts w:ascii="Arial" w:hAnsi="Arial" w:cs="Arial"/>
          <w:sz w:val="24"/>
          <w:szCs w:val="24"/>
        </w:rPr>
        <w:t>, con el fin de imputar los gastos asociados a las tarjetas de crédito corporativas, así como también apro</w:t>
      </w:r>
      <w:r w:rsidR="0052061A">
        <w:rPr>
          <w:rFonts w:ascii="Arial" w:hAnsi="Arial" w:cs="Arial"/>
          <w:sz w:val="24"/>
          <w:szCs w:val="24"/>
        </w:rPr>
        <w:t>bar el reglamento para su uso;</w:t>
      </w:r>
    </w:p>
    <w:p w:rsidR="00E45936" w:rsidRPr="00E45936" w:rsidRDefault="00E45936" w:rsidP="0052061A">
      <w:pPr>
        <w:spacing w:after="0" w:line="360" w:lineRule="auto"/>
        <w:ind w:firstLine="2835"/>
        <w:jc w:val="both"/>
        <w:rPr>
          <w:rFonts w:ascii="Arial" w:hAnsi="Arial" w:cs="Arial"/>
          <w:b/>
          <w:bCs/>
          <w:sz w:val="24"/>
          <w:szCs w:val="24"/>
        </w:rPr>
      </w:pPr>
      <w:r>
        <w:rPr>
          <w:rFonts w:ascii="Arial" w:hAnsi="Arial" w:cs="Arial"/>
          <w:b/>
          <w:bCs/>
          <w:sz w:val="24"/>
          <w:szCs w:val="24"/>
        </w:rPr>
        <w:t xml:space="preserve">2) </w:t>
      </w:r>
      <w:r w:rsidR="00673554" w:rsidRPr="00673554">
        <w:rPr>
          <w:rFonts w:ascii="Arial" w:hAnsi="Arial" w:cs="Arial"/>
          <w:sz w:val="24"/>
          <w:szCs w:val="24"/>
        </w:rPr>
        <w:t>que</w:t>
      </w:r>
      <w:r>
        <w:rPr>
          <w:rFonts w:ascii="Arial" w:hAnsi="Arial" w:cs="Arial"/>
          <w:sz w:val="24"/>
          <w:szCs w:val="24"/>
        </w:rPr>
        <w:t xml:space="preserve"> se acompaña copia de dicho</w:t>
      </w:r>
      <w:r w:rsidR="003A1609">
        <w:rPr>
          <w:rFonts w:ascii="Arial" w:hAnsi="Arial" w:cs="Arial"/>
          <w:sz w:val="24"/>
          <w:szCs w:val="24"/>
        </w:rPr>
        <w:t xml:space="preserve"> Reglamento, del que surge que</w:t>
      </w:r>
      <w:r w:rsidR="00673554" w:rsidRPr="00673554">
        <w:rPr>
          <w:rFonts w:ascii="Arial" w:hAnsi="Arial" w:cs="Arial"/>
          <w:sz w:val="24"/>
          <w:szCs w:val="24"/>
        </w:rPr>
        <w:t xml:space="preserve"> </w:t>
      </w:r>
      <w:r>
        <w:rPr>
          <w:rFonts w:ascii="Arial" w:hAnsi="Arial" w:cs="Arial"/>
          <w:sz w:val="24"/>
          <w:szCs w:val="24"/>
        </w:rPr>
        <w:t>se crea un Fondo Permanente  en pesos y dólares americanos, al que se imputarán exclusivamente los gastos asociados a las Tarjetas corporativas (Capítulo III, numeral 1º)</w:t>
      </w:r>
      <w:r w:rsidR="0052061A">
        <w:rPr>
          <w:rFonts w:ascii="Arial" w:hAnsi="Arial" w:cs="Arial"/>
          <w:sz w:val="24"/>
          <w:szCs w:val="24"/>
        </w:rPr>
        <w:t>;</w:t>
      </w:r>
    </w:p>
    <w:p w:rsidR="00E45936" w:rsidRDefault="00B355AF" w:rsidP="0052061A">
      <w:pPr>
        <w:spacing w:after="0" w:line="360" w:lineRule="auto"/>
        <w:ind w:firstLine="2835"/>
        <w:jc w:val="both"/>
        <w:rPr>
          <w:rFonts w:ascii="Arial" w:hAnsi="Arial" w:cs="Arial"/>
          <w:sz w:val="24"/>
          <w:szCs w:val="24"/>
        </w:rPr>
      </w:pPr>
      <w:r>
        <w:rPr>
          <w:rFonts w:ascii="Arial" w:hAnsi="Arial" w:cs="Arial"/>
          <w:b/>
          <w:bCs/>
          <w:sz w:val="24"/>
          <w:szCs w:val="24"/>
        </w:rPr>
        <w:t>3</w:t>
      </w:r>
      <w:r w:rsidR="00673554" w:rsidRPr="00673554">
        <w:rPr>
          <w:rFonts w:ascii="Arial" w:hAnsi="Arial" w:cs="Arial"/>
          <w:b/>
          <w:bCs/>
          <w:sz w:val="24"/>
          <w:szCs w:val="24"/>
        </w:rPr>
        <w:t xml:space="preserve">) </w:t>
      </w:r>
      <w:r w:rsidR="00673554" w:rsidRPr="00673554">
        <w:rPr>
          <w:rFonts w:ascii="Arial" w:hAnsi="Arial" w:cs="Arial"/>
          <w:sz w:val="24"/>
          <w:szCs w:val="24"/>
        </w:rPr>
        <w:t>que</w:t>
      </w:r>
      <w:r w:rsidR="00E45936">
        <w:rPr>
          <w:rFonts w:ascii="Arial" w:hAnsi="Arial" w:cs="Arial"/>
          <w:sz w:val="24"/>
          <w:szCs w:val="24"/>
        </w:rPr>
        <w:t xml:space="preserve"> según se establece en el numeral 3º del Capítulo III,  dichas T</w:t>
      </w:r>
      <w:r w:rsidR="00673554" w:rsidRPr="00673554">
        <w:rPr>
          <w:rFonts w:ascii="Arial" w:hAnsi="Arial" w:cs="Arial"/>
          <w:sz w:val="24"/>
          <w:szCs w:val="24"/>
        </w:rPr>
        <w:t xml:space="preserve">arjetas corporativas se </w:t>
      </w:r>
      <w:r w:rsidR="00673554">
        <w:rPr>
          <w:rFonts w:ascii="Arial" w:hAnsi="Arial" w:cs="Arial"/>
          <w:sz w:val="24"/>
          <w:szCs w:val="24"/>
        </w:rPr>
        <w:t xml:space="preserve">podrán </w:t>
      </w:r>
      <w:r w:rsidR="00673554" w:rsidRPr="00673554">
        <w:rPr>
          <w:rFonts w:ascii="Arial" w:hAnsi="Arial" w:cs="Arial"/>
          <w:sz w:val="24"/>
          <w:szCs w:val="24"/>
        </w:rPr>
        <w:t>utilizar</w:t>
      </w:r>
      <w:r w:rsidR="00E45936">
        <w:rPr>
          <w:rFonts w:ascii="Arial" w:hAnsi="Arial" w:cs="Arial"/>
          <w:sz w:val="24"/>
          <w:szCs w:val="24"/>
        </w:rPr>
        <w:t>:</w:t>
      </w:r>
    </w:p>
    <w:p w:rsidR="00E45936" w:rsidRPr="00897700" w:rsidRDefault="00E45936" w:rsidP="00897700">
      <w:pPr>
        <w:spacing w:after="0" w:line="360" w:lineRule="auto"/>
        <w:ind w:firstLine="708"/>
        <w:jc w:val="both"/>
        <w:rPr>
          <w:rFonts w:ascii="Arial" w:hAnsi="Arial" w:cs="Arial"/>
          <w:sz w:val="24"/>
          <w:szCs w:val="24"/>
        </w:rPr>
      </w:pPr>
      <w:r w:rsidRPr="00897700">
        <w:rPr>
          <w:rFonts w:ascii="Arial" w:hAnsi="Arial" w:cs="Arial"/>
          <w:sz w:val="24"/>
          <w:szCs w:val="24"/>
        </w:rPr>
        <w:t xml:space="preserve">* </w:t>
      </w:r>
      <w:r w:rsidR="00673554" w:rsidRPr="00897700">
        <w:rPr>
          <w:rFonts w:ascii="Arial" w:hAnsi="Arial" w:cs="Arial"/>
          <w:sz w:val="24"/>
          <w:szCs w:val="24"/>
        </w:rPr>
        <w:t xml:space="preserve">para </w:t>
      </w:r>
      <w:r w:rsidR="003733B4" w:rsidRPr="00897700">
        <w:rPr>
          <w:rFonts w:ascii="Arial" w:hAnsi="Arial" w:cs="Arial"/>
          <w:sz w:val="24"/>
          <w:szCs w:val="24"/>
        </w:rPr>
        <w:t>“</w:t>
      </w:r>
      <w:r w:rsidR="00673554" w:rsidRPr="00897700">
        <w:rPr>
          <w:rFonts w:ascii="Arial" w:hAnsi="Arial" w:cs="Arial"/>
          <w:sz w:val="24"/>
          <w:szCs w:val="24"/>
        </w:rPr>
        <w:t>compras de material para capacitación, información de mercado, inscripciones a seminarios</w:t>
      </w:r>
      <w:r w:rsidR="00100C8A" w:rsidRPr="00897700">
        <w:rPr>
          <w:rFonts w:ascii="Arial" w:hAnsi="Arial" w:cs="Arial"/>
          <w:sz w:val="24"/>
          <w:szCs w:val="24"/>
        </w:rPr>
        <w:t xml:space="preserve">, congresos o cursos de formación en general o cualquier otro gasto para la gestión que se deba realizar en el exterior </w:t>
      </w:r>
      <w:r w:rsidR="003733B4" w:rsidRPr="00897700">
        <w:rPr>
          <w:rFonts w:ascii="Arial" w:hAnsi="Arial" w:cs="Arial"/>
          <w:sz w:val="24"/>
          <w:szCs w:val="24"/>
        </w:rPr>
        <w:t>o</w:t>
      </w:r>
      <w:r w:rsidR="003A1609" w:rsidRPr="00897700">
        <w:rPr>
          <w:rFonts w:ascii="Arial" w:hAnsi="Arial" w:cs="Arial"/>
          <w:sz w:val="24"/>
          <w:szCs w:val="24"/>
        </w:rPr>
        <w:t xml:space="preserve"> </w:t>
      </w:r>
      <w:r w:rsidR="00100C8A" w:rsidRPr="00897700">
        <w:rPr>
          <w:rFonts w:ascii="Arial" w:hAnsi="Arial" w:cs="Arial"/>
          <w:sz w:val="24"/>
          <w:szCs w:val="24"/>
        </w:rPr>
        <w:t>deba abonarse on-line a través de internet, cuya única forma de pago se</w:t>
      </w:r>
      <w:r w:rsidRPr="00897700">
        <w:rPr>
          <w:rFonts w:ascii="Arial" w:hAnsi="Arial" w:cs="Arial"/>
          <w:sz w:val="24"/>
          <w:szCs w:val="24"/>
        </w:rPr>
        <w:t xml:space="preserve">a mediante tarjeta de crédito </w:t>
      </w:r>
      <w:r w:rsidR="003733B4" w:rsidRPr="00897700">
        <w:rPr>
          <w:rFonts w:ascii="Arial" w:hAnsi="Arial" w:cs="Arial"/>
          <w:sz w:val="24"/>
          <w:szCs w:val="24"/>
        </w:rPr>
        <w:t>o la misma resulte más conveniente</w:t>
      </w:r>
      <w:r w:rsidRPr="00897700">
        <w:rPr>
          <w:rFonts w:ascii="Arial" w:hAnsi="Arial" w:cs="Arial"/>
          <w:sz w:val="24"/>
          <w:szCs w:val="24"/>
        </w:rPr>
        <w:t xml:space="preserve"> para la empresa</w:t>
      </w:r>
      <w:r w:rsidR="003733B4" w:rsidRPr="00897700">
        <w:rPr>
          <w:rFonts w:ascii="Arial" w:hAnsi="Arial" w:cs="Arial"/>
          <w:sz w:val="24"/>
          <w:szCs w:val="24"/>
        </w:rPr>
        <w:t>”</w:t>
      </w:r>
      <w:r w:rsidRPr="00897700">
        <w:rPr>
          <w:rFonts w:ascii="Arial" w:hAnsi="Arial" w:cs="Arial"/>
          <w:sz w:val="24"/>
          <w:szCs w:val="24"/>
        </w:rPr>
        <w:t>.</w:t>
      </w:r>
    </w:p>
    <w:p w:rsidR="00100C8A" w:rsidRPr="00897700" w:rsidRDefault="00E45936" w:rsidP="00100C8A">
      <w:pPr>
        <w:spacing w:line="360" w:lineRule="auto"/>
        <w:ind w:firstLine="708"/>
        <w:jc w:val="both"/>
        <w:rPr>
          <w:rFonts w:ascii="Arial" w:hAnsi="Arial" w:cs="Arial"/>
          <w:sz w:val="24"/>
          <w:szCs w:val="24"/>
        </w:rPr>
      </w:pPr>
      <w:r w:rsidRPr="00897700">
        <w:rPr>
          <w:rFonts w:ascii="Arial" w:hAnsi="Arial" w:cs="Arial"/>
          <w:sz w:val="24"/>
          <w:szCs w:val="24"/>
        </w:rPr>
        <w:lastRenderedPageBreak/>
        <w:t xml:space="preserve">* </w:t>
      </w:r>
      <w:proofErr w:type="gramStart"/>
      <w:r w:rsidRPr="00897700">
        <w:rPr>
          <w:rFonts w:ascii="Arial" w:hAnsi="Arial" w:cs="Arial"/>
          <w:sz w:val="24"/>
          <w:szCs w:val="24"/>
        </w:rPr>
        <w:t>e</w:t>
      </w:r>
      <w:r w:rsidR="00100C8A" w:rsidRPr="00897700">
        <w:rPr>
          <w:rFonts w:ascii="Arial" w:hAnsi="Arial" w:cs="Arial"/>
          <w:sz w:val="24"/>
          <w:szCs w:val="24"/>
        </w:rPr>
        <w:t>n</w:t>
      </w:r>
      <w:proofErr w:type="gramEnd"/>
      <w:r w:rsidR="00100C8A" w:rsidRPr="00897700">
        <w:rPr>
          <w:rFonts w:ascii="Arial" w:hAnsi="Arial" w:cs="Arial"/>
          <w:sz w:val="24"/>
          <w:szCs w:val="24"/>
        </w:rPr>
        <w:t xml:space="preserve"> caso de misiones de trabajo aprob</w:t>
      </w:r>
      <w:r w:rsidRPr="00897700">
        <w:rPr>
          <w:rFonts w:ascii="Arial" w:hAnsi="Arial" w:cs="Arial"/>
          <w:sz w:val="24"/>
          <w:szCs w:val="24"/>
        </w:rPr>
        <w:t>adas por el Directorio de ANTEL</w:t>
      </w:r>
      <w:r w:rsidR="00B355AF" w:rsidRPr="00897700">
        <w:rPr>
          <w:rFonts w:ascii="Arial" w:hAnsi="Arial" w:cs="Arial"/>
          <w:sz w:val="24"/>
          <w:szCs w:val="24"/>
        </w:rPr>
        <w:t>,</w:t>
      </w:r>
      <w:r w:rsidRPr="00897700">
        <w:rPr>
          <w:rFonts w:ascii="Arial" w:hAnsi="Arial" w:cs="Arial"/>
          <w:sz w:val="24"/>
          <w:szCs w:val="24"/>
        </w:rPr>
        <w:t xml:space="preserve"> </w:t>
      </w:r>
      <w:r w:rsidR="00100C8A" w:rsidRPr="00897700">
        <w:rPr>
          <w:rFonts w:ascii="Arial" w:hAnsi="Arial" w:cs="Arial"/>
          <w:sz w:val="24"/>
          <w:szCs w:val="24"/>
        </w:rPr>
        <w:t xml:space="preserve"> </w:t>
      </w:r>
      <w:r w:rsidR="003733B4" w:rsidRPr="00897700">
        <w:rPr>
          <w:rFonts w:ascii="Arial" w:hAnsi="Arial" w:cs="Arial"/>
          <w:sz w:val="24"/>
          <w:szCs w:val="24"/>
        </w:rPr>
        <w:t>“</w:t>
      </w:r>
      <w:r w:rsidR="00100C8A" w:rsidRPr="00897700">
        <w:rPr>
          <w:rFonts w:ascii="Arial" w:hAnsi="Arial" w:cs="Arial"/>
          <w:sz w:val="24"/>
          <w:szCs w:val="24"/>
        </w:rPr>
        <w:t>sólo se podrán pagar gastos imprevistos que surjan de las mismas o a los fines institucionales</w:t>
      </w:r>
      <w:r w:rsidR="003733B4" w:rsidRPr="00897700">
        <w:rPr>
          <w:rFonts w:ascii="Arial" w:hAnsi="Arial" w:cs="Arial"/>
          <w:sz w:val="24"/>
          <w:szCs w:val="24"/>
        </w:rPr>
        <w:t>”</w:t>
      </w:r>
      <w:r w:rsidR="00100C8A" w:rsidRPr="00897700">
        <w:rPr>
          <w:rFonts w:ascii="Arial" w:hAnsi="Arial" w:cs="Arial"/>
          <w:sz w:val="24"/>
          <w:szCs w:val="24"/>
        </w:rPr>
        <w:t>;</w:t>
      </w:r>
    </w:p>
    <w:p w:rsidR="00563A3D" w:rsidRDefault="00673554" w:rsidP="0052061A">
      <w:pPr>
        <w:spacing w:after="0" w:line="360" w:lineRule="auto"/>
        <w:ind w:firstLine="2835"/>
        <w:jc w:val="both"/>
        <w:rPr>
          <w:rFonts w:ascii="Arial" w:hAnsi="Arial" w:cs="Arial"/>
          <w:sz w:val="24"/>
          <w:szCs w:val="24"/>
        </w:rPr>
      </w:pPr>
      <w:r w:rsidRPr="00673554">
        <w:rPr>
          <w:rFonts w:ascii="Arial" w:hAnsi="Arial" w:cs="Arial"/>
          <w:b/>
          <w:bCs/>
          <w:sz w:val="24"/>
          <w:szCs w:val="24"/>
        </w:rPr>
        <w:t xml:space="preserve">4) </w:t>
      </w:r>
      <w:r w:rsidR="00243754">
        <w:rPr>
          <w:rFonts w:ascii="Arial" w:hAnsi="Arial" w:cs="Arial"/>
          <w:sz w:val="24"/>
          <w:szCs w:val="24"/>
        </w:rPr>
        <w:t>que el numeral 4) regula el procedimiento para la realización de las compras con este medio de pago y la forma de cancelación de los montos adeudados (“el pago puede efectuarse por transferencia bancaria o por débito directo a través de las cuentas bancarias destinadas a tales efectos”);</w:t>
      </w:r>
    </w:p>
    <w:p w:rsidR="00DB3D6D" w:rsidRPr="00897700" w:rsidRDefault="00563A3D" w:rsidP="0052061A">
      <w:pPr>
        <w:spacing w:after="0" w:line="360" w:lineRule="auto"/>
        <w:ind w:firstLine="2835"/>
        <w:jc w:val="both"/>
        <w:rPr>
          <w:rFonts w:ascii="Arial" w:hAnsi="Arial" w:cs="Arial"/>
          <w:sz w:val="24"/>
          <w:szCs w:val="24"/>
        </w:rPr>
      </w:pPr>
      <w:r w:rsidRPr="00897700">
        <w:rPr>
          <w:rFonts w:ascii="Arial" w:hAnsi="Arial" w:cs="Arial"/>
          <w:b/>
          <w:sz w:val="24"/>
          <w:szCs w:val="24"/>
        </w:rPr>
        <w:t xml:space="preserve">5) </w:t>
      </w:r>
      <w:r w:rsidRPr="00897700">
        <w:rPr>
          <w:rFonts w:ascii="Arial" w:hAnsi="Arial" w:cs="Arial"/>
          <w:sz w:val="24"/>
          <w:szCs w:val="24"/>
        </w:rPr>
        <w:t xml:space="preserve">que </w:t>
      </w:r>
      <w:r w:rsidR="00243754">
        <w:rPr>
          <w:rFonts w:ascii="Arial" w:hAnsi="Arial" w:cs="Arial"/>
          <w:sz w:val="24"/>
          <w:szCs w:val="24"/>
        </w:rPr>
        <w:t xml:space="preserve">el numeral 5) establece el procedimiento para efectuar las Rendiciones de Cuentas,  y en el punto 5.3 prevé la intervención del Contador Delegado del Tribunal de Cuentas, el procedimiento de observación de la misma por el referido Contador y la posterior reiteración por el Ordenador del gasto, que </w:t>
      </w:r>
      <w:proofErr w:type="gramStart"/>
      <w:r w:rsidR="00243754">
        <w:rPr>
          <w:rFonts w:ascii="Arial" w:hAnsi="Arial" w:cs="Arial"/>
          <w:sz w:val="24"/>
          <w:szCs w:val="24"/>
        </w:rPr>
        <w:t>habilita</w:t>
      </w:r>
      <w:proofErr w:type="gramEnd"/>
      <w:r w:rsidR="00243754">
        <w:rPr>
          <w:rFonts w:ascii="Arial" w:hAnsi="Arial" w:cs="Arial"/>
          <w:sz w:val="24"/>
          <w:szCs w:val="24"/>
        </w:rPr>
        <w:t xml:space="preserve"> a la reposición de la referida suma al Fondo Permanente;</w:t>
      </w:r>
    </w:p>
    <w:p w:rsidR="00690ABD" w:rsidRPr="00690ABD" w:rsidRDefault="00690ABD" w:rsidP="0052061A">
      <w:pPr>
        <w:spacing w:after="0" w:line="360" w:lineRule="auto"/>
        <w:ind w:firstLine="851"/>
        <w:jc w:val="both"/>
        <w:rPr>
          <w:rFonts w:ascii="Arial" w:eastAsia="Calibri" w:hAnsi="Arial" w:cs="Arial"/>
          <w:sz w:val="24"/>
          <w:szCs w:val="24"/>
        </w:rPr>
      </w:pPr>
      <w:r w:rsidRPr="00690ABD">
        <w:rPr>
          <w:rFonts w:ascii="Arial" w:hAnsi="Arial" w:cs="Arial"/>
          <w:b/>
          <w:bCs/>
          <w:sz w:val="24"/>
          <w:szCs w:val="24"/>
        </w:rPr>
        <w:t>CONSIDERANDO:</w:t>
      </w:r>
      <w:r w:rsidRPr="00690ABD">
        <w:rPr>
          <w:rFonts w:ascii="Arial" w:hAnsi="Arial" w:cs="Arial"/>
          <w:sz w:val="24"/>
          <w:szCs w:val="24"/>
        </w:rPr>
        <w:t xml:space="preserve"> </w:t>
      </w:r>
      <w:r w:rsidRPr="00690ABD">
        <w:rPr>
          <w:rFonts w:ascii="Arial" w:eastAsia="Calibri" w:hAnsi="Arial" w:cs="Arial"/>
          <w:b/>
          <w:sz w:val="24"/>
          <w:szCs w:val="24"/>
        </w:rPr>
        <w:t>1)</w:t>
      </w:r>
      <w:r w:rsidRPr="00690ABD">
        <w:rPr>
          <w:rFonts w:ascii="Arial" w:eastAsia="Calibri" w:hAnsi="Arial" w:cs="Arial"/>
          <w:sz w:val="24"/>
          <w:szCs w:val="24"/>
        </w:rPr>
        <w:t xml:space="preserve"> que este Tribunal, al amparo de lo establecido por el </w:t>
      </w:r>
      <w:r w:rsidR="00897700">
        <w:rPr>
          <w:rFonts w:ascii="Arial" w:eastAsia="Calibri" w:hAnsi="Arial" w:cs="Arial"/>
          <w:sz w:val="24"/>
          <w:szCs w:val="24"/>
        </w:rPr>
        <w:t>A</w:t>
      </w:r>
      <w:r w:rsidRPr="00690ABD">
        <w:rPr>
          <w:rFonts w:ascii="Arial" w:eastAsia="Calibri" w:hAnsi="Arial" w:cs="Arial"/>
          <w:sz w:val="24"/>
          <w:szCs w:val="24"/>
        </w:rPr>
        <w:t>rtículo 211, Literal F) de la Constitución de la R</w:t>
      </w:r>
      <w:r w:rsidR="00E733C1">
        <w:rPr>
          <w:rFonts w:ascii="Arial" w:eastAsia="Calibri" w:hAnsi="Arial" w:cs="Arial"/>
          <w:sz w:val="24"/>
          <w:szCs w:val="24"/>
        </w:rPr>
        <w:t>epública, dictó la Ordenanza Nº</w:t>
      </w:r>
      <w:r w:rsidRPr="00690ABD">
        <w:rPr>
          <w:rFonts w:ascii="Arial" w:eastAsia="Calibri" w:hAnsi="Arial" w:cs="Arial"/>
          <w:sz w:val="24"/>
          <w:szCs w:val="24"/>
        </w:rPr>
        <w:t xml:space="preserve"> 90 de fecha 2/5/2018, en la que fijó criterios generales y procedimientos para la utilización</w:t>
      </w:r>
      <w:r w:rsidRPr="00690ABD">
        <w:rPr>
          <w:rFonts w:ascii="Arial" w:hAnsi="Arial" w:cs="Arial"/>
          <w:sz w:val="24"/>
          <w:szCs w:val="24"/>
        </w:rPr>
        <w:t xml:space="preserve"> </w:t>
      </w:r>
      <w:r w:rsidRPr="00690ABD">
        <w:rPr>
          <w:rFonts w:ascii="Arial" w:eastAsia="Calibri" w:hAnsi="Arial" w:cs="Arial"/>
          <w:sz w:val="24"/>
          <w:szCs w:val="24"/>
        </w:rPr>
        <w:t>de las tarjetas corporativa</w:t>
      </w:r>
      <w:r w:rsidR="00E733C1">
        <w:rPr>
          <w:rFonts w:ascii="Arial" w:eastAsia="Calibri" w:hAnsi="Arial" w:cs="Arial"/>
          <w:sz w:val="24"/>
          <w:szCs w:val="24"/>
        </w:rPr>
        <w:t>s, a los que deben ajustarse los organismos al dictar las</w:t>
      </w:r>
      <w:r w:rsidRPr="00690ABD">
        <w:rPr>
          <w:rFonts w:ascii="Arial" w:eastAsia="Calibri" w:hAnsi="Arial" w:cs="Arial"/>
          <w:sz w:val="24"/>
          <w:szCs w:val="24"/>
        </w:rPr>
        <w:t xml:space="preserve"> reglamentacione</w:t>
      </w:r>
      <w:r w:rsidR="00E733C1">
        <w:rPr>
          <w:rFonts w:ascii="Arial" w:eastAsia="Calibri" w:hAnsi="Arial" w:cs="Arial"/>
          <w:sz w:val="24"/>
          <w:szCs w:val="24"/>
        </w:rPr>
        <w:t>s respectivas</w:t>
      </w:r>
      <w:r w:rsidR="0052061A">
        <w:rPr>
          <w:rFonts w:ascii="Arial" w:eastAsia="Calibri" w:hAnsi="Arial" w:cs="Arial"/>
          <w:sz w:val="24"/>
          <w:szCs w:val="24"/>
        </w:rPr>
        <w:t>;</w:t>
      </w:r>
    </w:p>
    <w:p w:rsidR="000A39FE" w:rsidRPr="00897700" w:rsidRDefault="0052061A" w:rsidP="0052061A">
      <w:pPr>
        <w:spacing w:after="0" w:line="360" w:lineRule="auto"/>
        <w:ind w:firstLine="2977"/>
        <w:jc w:val="both"/>
        <w:rPr>
          <w:rFonts w:ascii="Arial" w:eastAsia="Calibri" w:hAnsi="Arial" w:cs="Arial"/>
          <w:sz w:val="24"/>
          <w:szCs w:val="24"/>
        </w:rPr>
      </w:pPr>
      <w:r>
        <w:rPr>
          <w:rFonts w:ascii="Arial" w:eastAsia="Calibri" w:hAnsi="Arial" w:cs="Arial"/>
          <w:b/>
          <w:sz w:val="24"/>
          <w:szCs w:val="24"/>
        </w:rPr>
        <w:t xml:space="preserve"> </w:t>
      </w:r>
      <w:r w:rsidR="00690ABD" w:rsidRPr="00690ABD">
        <w:rPr>
          <w:rFonts w:ascii="Arial" w:eastAsia="Calibri" w:hAnsi="Arial" w:cs="Arial"/>
          <w:b/>
          <w:sz w:val="24"/>
          <w:szCs w:val="24"/>
        </w:rPr>
        <w:t xml:space="preserve">2) </w:t>
      </w:r>
      <w:r w:rsidR="00690ABD" w:rsidRPr="00690ABD">
        <w:rPr>
          <w:rFonts w:ascii="Arial" w:eastAsia="Calibri" w:hAnsi="Arial" w:cs="Arial"/>
          <w:sz w:val="24"/>
          <w:szCs w:val="24"/>
        </w:rPr>
        <w:t>que</w:t>
      </w:r>
      <w:r w:rsidR="00C22298">
        <w:rPr>
          <w:rFonts w:ascii="Arial" w:eastAsia="Calibri" w:hAnsi="Arial" w:cs="Arial"/>
          <w:sz w:val="24"/>
          <w:szCs w:val="24"/>
        </w:rPr>
        <w:t>,</w:t>
      </w:r>
      <w:r w:rsidR="00690ABD" w:rsidRPr="00690ABD">
        <w:rPr>
          <w:rFonts w:ascii="Arial" w:eastAsia="Calibri" w:hAnsi="Arial" w:cs="Arial"/>
          <w:sz w:val="24"/>
          <w:szCs w:val="24"/>
        </w:rPr>
        <w:t xml:space="preserve"> </w:t>
      </w:r>
      <w:r w:rsidR="00C22298">
        <w:rPr>
          <w:rFonts w:ascii="Arial" w:eastAsia="Calibri" w:hAnsi="Arial" w:cs="Arial"/>
          <w:sz w:val="24"/>
          <w:szCs w:val="24"/>
        </w:rPr>
        <w:t>si bien en términos generales la reglamentación remitida se ajusta a los requerimientos de la referida Ordenanza, hay algún punto que deben ajustarse;</w:t>
      </w:r>
    </w:p>
    <w:p w:rsidR="00E733C1" w:rsidRDefault="0052061A" w:rsidP="0052061A">
      <w:pPr>
        <w:spacing w:after="0" w:line="360" w:lineRule="auto"/>
        <w:ind w:firstLine="2977"/>
        <w:jc w:val="both"/>
        <w:rPr>
          <w:rFonts w:ascii="Arial" w:eastAsia="Calibri" w:hAnsi="Arial" w:cs="Arial"/>
          <w:sz w:val="24"/>
          <w:szCs w:val="24"/>
        </w:rPr>
      </w:pPr>
      <w:r>
        <w:rPr>
          <w:rFonts w:ascii="Arial" w:eastAsia="Calibri" w:hAnsi="Arial" w:cs="Arial"/>
          <w:b/>
          <w:sz w:val="24"/>
          <w:szCs w:val="24"/>
        </w:rPr>
        <w:t xml:space="preserve"> </w:t>
      </w:r>
      <w:r w:rsidR="000A39FE" w:rsidRPr="00E733C1">
        <w:rPr>
          <w:rFonts w:ascii="Arial" w:eastAsia="Calibri" w:hAnsi="Arial" w:cs="Arial"/>
          <w:b/>
          <w:sz w:val="24"/>
          <w:szCs w:val="24"/>
        </w:rPr>
        <w:t>3)</w:t>
      </w:r>
      <w:r w:rsidR="000A39FE">
        <w:rPr>
          <w:rFonts w:ascii="Arial" w:eastAsia="Calibri" w:hAnsi="Arial" w:cs="Arial"/>
          <w:sz w:val="24"/>
          <w:szCs w:val="24"/>
        </w:rPr>
        <w:t xml:space="preserve"> que</w:t>
      </w:r>
      <w:r w:rsidR="00FE64FE">
        <w:rPr>
          <w:rFonts w:ascii="Arial" w:eastAsia="Calibri" w:hAnsi="Arial" w:cs="Arial"/>
          <w:sz w:val="24"/>
          <w:szCs w:val="24"/>
        </w:rPr>
        <w:t xml:space="preserve">, </w:t>
      </w:r>
      <w:r w:rsidR="00662FAE">
        <w:rPr>
          <w:rFonts w:ascii="Arial" w:eastAsia="Calibri" w:hAnsi="Arial" w:cs="Arial"/>
          <w:sz w:val="24"/>
          <w:szCs w:val="24"/>
        </w:rPr>
        <w:t xml:space="preserve">el numeral 1.9 del Acuerda de la Ordenanza dispone que el fondo “podrá reponerse únicamente hasta el monto </w:t>
      </w:r>
      <w:proofErr w:type="gramStart"/>
      <w:r w:rsidR="00662FAE">
        <w:rPr>
          <w:rFonts w:ascii="Arial" w:eastAsia="Calibri" w:hAnsi="Arial" w:cs="Arial"/>
          <w:sz w:val="24"/>
          <w:szCs w:val="24"/>
        </w:rPr>
        <w:t>correspondiente</w:t>
      </w:r>
      <w:proofErr w:type="gramEnd"/>
      <w:r w:rsidR="00662FAE">
        <w:rPr>
          <w:rFonts w:ascii="Arial" w:eastAsia="Calibri" w:hAnsi="Arial" w:cs="Arial"/>
          <w:sz w:val="24"/>
          <w:szCs w:val="24"/>
        </w:rPr>
        <w:t xml:space="preserve"> a las rendiciones aprobadas”. En este caso, tratándose de la reposición de un fondo permanente que se efectúa a posteriori, </w:t>
      </w:r>
      <w:r w:rsidR="00706219">
        <w:rPr>
          <w:rFonts w:ascii="Arial" w:eastAsia="Calibri" w:hAnsi="Arial" w:cs="Arial"/>
          <w:sz w:val="24"/>
          <w:szCs w:val="24"/>
        </w:rPr>
        <w:t>no corresponde la aplicación del procedimiento previsto para la intervención preventiva de los gastos y pagos (Artículo 211 Literal B) de la Constitución de la República) por lo que no procede la reiteración del gasto (Resultando 5). En consecuencia, el procedimiento establecido en el numeral 5.3 de la Reglamentación aprobada debe ser modificado para que se ajuste a lo dispuesto por la Ordenanza, previendo que la reposición del fondo solo se puede realizar por los montos correspondientes a las rendiciones aprobadas por el Cont</w:t>
      </w:r>
      <w:r>
        <w:rPr>
          <w:rFonts w:ascii="Arial" w:eastAsia="Calibri" w:hAnsi="Arial" w:cs="Arial"/>
          <w:sz w:val="24"/>
          <w:szCs w:val="24"/>
        </w:rPr>
        <w:t>ador Delegado de este Tribunal;</w:t>
      </w:r>
    </w:p>
    <w:p w:rsidR="00FE64FE" w:rsidRDefault="0052061A" w:rsidP="0052061A">
      <w:pPr>
        <w:spacing w:after="0" w:line="360" w:lineRule="auto"/>
        <w:ind w:firstLine="2977"/>
        <w:jc w:val="both"/>
        <w:rPr>
          <w:rFonts w:ascii="Arial" w:eastAsia="Calibri" w:hAnsi="Arial" w:cs="Arial"/>
          <w:sz w:val="24"/>
          <w:szCs w:val="24"/>
        </w:rPr>
      </w:pPr>
      <w:r>
        <w:rPr>
          <w:rFonts w:ascii="Arial" w:eastAsia="Calibri" w:hAnsi="Arial" w:cs="Arial"/>
          <w:b/>
          <w:sz w:val="24"/>
          <w:szCs w:val="24"/>
        </w:rPr>
        <w:t xml:space="preserve"> </w:t>
      </w:r>
      <w:r w:rsidR="00E733C1" w:rsidRPr="00E733C1">
        <w:rPr>
          <w:rFonts w:ascii="Arial" w:eastAsia="Calibri" w:hAnsi="Arial" w:cs="Arial"/>
          <w:b/>
          <w:sz w:val="24"/>
          <w:szCs w:val="24"/>
        </w:rPr>
        <w:t>4)</w:t>
      </w:r>
      <w:r w:rsidR="00706219">
        <w:rPr>
          <w:rFonts w:ascii="Arial" w:eastAsia="Calibri" w:hAnsi="Arial" w:cs="Arial"/>
          <w:b/>
          <w:sz w:val="24"/>
          <w:szCs w:val="24"/>
        </w:rPr>
        <w:t xml:space="preserve"> </w:t>
      </w:r>
      <w:r w:rsidR="00897700">
        <w:rPr>
          <w:rFonts w:ascii="Arial" w:eastAsia="Calibri" w:hAnsi="Arial" w:cs="Arial"/>
          <w:sz w:val="24"/>
          <w:szCs w:val="24"/>
        </w:rPr>
        <w:t>que el N</w:t>
      </w:r>
      <w:r w:rsidR="00E733C1">
        <w:rPr>
          <w:rFonts w:ascii="Arial" w:eastAsia="Calibri" w:hAnsi="Arial" w:cs="Arial"/>
          <w:sz w:val="24"/>
          <w:szCs w:val="24"/>
        </w:rPr>
        <w:t>umeral 3</w:t>
      </w:r>
      <w:r w:rsidR="00897700">
        <w:rPr>
          <w:rFonts w:ascii="Arial" w:eastAsia="Calibri" w:hAnsi="Arial" w:cs="Arial"/>
          <w:sz w:val="24"/>
          <w:szCs w:val="24"/>
        </w:rPr>
        <w:t>)</w:t>
      </w:r>
      <w:r w:rsidR="00E733C1">
        <w:rPr>
          <w:rFonts w:ascii="Arial" w:eastAsia="Calibri" w:hAnsi="Arial" w:cs="Arial"/>
          <w:sz w:val="24"/>
          <w:szCs w:val="24"/>
        </w:rPr>
        <w:t xml:space="preserve"> del Acuerda de la citada Ordenanza exige que las reglamentaciones que se dicten deben </w:t>
      </w:r>
      <w:r w:rsidR="00E733C1" w:rsidRPr="00897700">
        <w:rPr>
          <w:rFonts w:ascii="Arial" w:eastAsia="Calibri" w:hAnsi="Arial" w:cs="Arial"/>
          <w:sz w:val="24"/>
          <w:szCs w:val="24"/>
        </w:rPr>
        <w:t>“ser sometidas previamente a consideración de este Tribunal”  y la reglamentación remitida</w:t>
      </w:r>
      <w:r w:rsidR="00E733C1">
        <w:rPr>
          <w:rFonts w:ascii="Arial" w:eastAsia="Calibri" w:hAnsi="Arial" w:cs="Arial"/>
          <w:sz w:val="24"/>
          <w:szCs w:val="24"/>
        </w:rPr>
        <w:t xml:space="preserve"> ya fue aprobada por el Ordenador competente</w:t>
      </w:r>
      <w:r w:rsidR="003D68C8">
        <w:rPr>
          <w:rFonts w:ascii="Arial" w:eastAsia="Calibri" w:hAnsi="Arial" w:cs="Arial"/>
          <w:sz w:val="24"/>
          <w:szCs w:val="24"/>
        </w:rPr>
        <w:t xml:space="preserve"> el 13 de junio de 2018, (numeral 2 de la Resolución del Directorio Nº 613/18), </w:t>
      </w:r>
      <w:r w:rsidR="00E733C1">
        <w:rPr>
          <w:rFonts w:ascii="Arial" w:eastAsia="Calibri" w:hAnsi="Arial" w:cs="Arial"/>
          <w:sz w:val="24"/>
          <w:szCs w:val="24"/>
        </w:rPr>
        <w:t>sin supeditar su entrada en vigencia al pronunciamiento de este Tribunal;</w:t>
      </w:r>
    </w:p>
    <w:p w:rsidR="00690ABD" w:rsidRPr="00690ABD" w:rsidRDefault="00690ABD" w:rsidP="0052061A">
      <w:pPr>
        <w:spacing w:after="0" w:line="360" w:lineRule="auto"/>
        <w:ind w:firstLine="851"/>
        <w:jc w:val="both"/>
        <w:rPr>
          <w:rFonts w:ascii="Arial" w:hAnsi="Arial" w:cs="Arial"/>
          <w:sz w:val="24"/>
          <w:szCs w:val="24"/>
        </w:rPr>
      </w:pPr>
      <w:r w:rsidRPr="00690ABD">
        <w:rPr>
          <w:rFonts w:ascii="Arial" w:hAnsi="Arial" w:cs="Arial"/>
          <w:b/>
          <w:bCs/>
          <w:sz w:val="24"/>
          <w:szCs w:val="24"/>
        </w:rPr>
        <w:t>ATENTO</w:t>
      </w:r>
      <w:r w:rsidR="00C22298">
        <w:rPr>
          <w:rFonts w:ascii="Arial" w:hAnsi="Arial" w:cs="Arial"/>
          <w:b/>
          <w:bCs/>
          <w:sz w:val="24"/>
          <w:szCs w:val="24"/>
        </w:rPr>
        <w:t>:</w:t>
      </w:r>
      <w:r w:rsidRPr="00690ABD">
        <w:rPr>
          <w:rFonts w:ascii="Arial" w:hAnsi="Arial" w:cs="Arial"/>
          <w:b/>
          <w:bCs/>
          <w:sz w:val="24"/>
          <w:szCs w:val="24"/>
        </w:rPr>
        <w:t xml:space="preserve"> </w:t>
      </w:r>
      <w:r w:rsidRPr="00690ABD">
        <w:rPr>
          <w:rFonts w:ascii="Arial" w:hAnsi="Arial" w:cs="Arial"/>
          <w:sz w:val="24"/>
          <w:szCs w:val="24"/>
        </w:rPr>
        <w:t>a lo precedentemente expuesto</w:t>
      </w:r>
      <w:r w:rsidR="003D68C8">
        <w:rPr>
          <w:rFonts w:ascii="Arial" w:hAnsi="Arial" w:cs="Arial"/>
          <w:sz w:val="24"/>
          <w:szCs w:val="24"/>
        </w:rPr>
        <w:t xml:space="preserve"> y a lo dispuesto por </w:t>
      </w:r>
      <w:r w:rsidR="00C22298">
        <w:rPr>
          <w:rFonts w:ascii="Arial" w:hAnsi="Arial" w:cs="Arial"/>
          <w:sz w:val="24"/>
          <w:szCs w:val="24"/>
        </w:rPr>
        <w:t>los Artículos 228 y 211 Literal E) de la Constitución de la República y por Ordenanza N° 90 de este Tribunal de fecha 2 de mayo de 2018;</w:t>
      </w:r>
    </w:p>
    <w:p w:rsidR="00690ABD" w:rsidRPr="00690ABD" w:rsidRDefault="00690ABD" w:rsidP="00C22298">
      <w:pPr>
        <w:pStyle w:val="Ttulo1"/>
        <w:rPr>
          <w:rFonts w:cs="Arial"/>
        </w:rPr>
      </w:pPr>
      <w:r w:rsidRPr="00690ABD">
        <w:rPr>
          <w:rFonts w:cs="Arial"/>
        </w:rPr>
        <w:t>EL TRIBUNAL ACUERDA</w:t>
      </w:r>
    </w:p>
    <w:p w:rsidR="00690ABD" w:rsidRDefault="00706219" w:rsidP="00C22298">
      <w:pPr>
        <w:numPr>
          <w:ilvl w:val="0"/>
          <w:numId w:val="1"/>
        </w:numPr>
        <w:tabs>
          <w:tab w:val="clear" w:pos="720"/>
          <w:tab w:val="num" w:pos="284"/>
        </w:tabs>
        <w:spacing w:after="0" w:line="360" w:lineRule="auto"/>
        <w:ind w:left="284" w:hanging="284"/>
        <w:jc w:val="both"/>
        <w:rPr>
          <w:rFonts w:ascii="Arial" w:hAnsi="Arial" w:cs="Arial"/>
          <w:sz w:val="24"/>
          <w:szCs w:val="24"/>
        </w:rPr>
      </w:pPr>
      <w:r>
        <w:rPr>
          <w:rFonts w:ascii="Arial" w:hAnsi="Arial" w:cs="Arial"/>
          <w:sz w:val="24"/>
          <w:szCs w:val="24"/>
        </w:rPr>
        <w:t>Expedirse en los términos de los Considerandos 2) y 3) de la presente</w:t>
      </w:r>
      <w:r w:rsidR="00C22298">
        <w:rPr>
          <w:rFonts w:ascii="Arial" w:hAnsi="Arial" w:cs="Arial"/>
          <w:sz w:val="24"/>
          <w:szCs w:val="24"/>
        </w:rPr>
        <w:t xml:space="preserve"> Resolución</w:t>
      </w:r>
      <w:r>
        <w:rPr>
          <w:rFonts w:ascii="Arial" w:hAnsi="Arial" w:cs="Arial"/>
          <w:sz w:val="24"/>
          <w:szCs w:val="24"/>
        </w:rPr>
        <w:t>;</w:t>
      </w:r>
    </w:p>
    <w:p w:rsidR="003D68C8" w:rsidRPr="00690ABD" w:rsidRDefault="00706219" w:rsidP="00C22298">
      <w:pPr>
        <w:numPr>
          <w:ilvl w:val="0"/>
          <w:numId w:val="1"/>
        </w:numPr>
        <w:tabs>
          <w:tab w:val="clear" w:pos="720"/>
          <w:tab w:val="num" w:pos="284"/>
        </w:tabs>
        <w:spacing w:after="0" w:line="360" w:lineRule="auto"/>
        <w:ind w:left="284" w:hanging="284"/>
        <w:jc w:val="both"/>
        <w:rPr>
          <w:rFonts w:ascii="Arial" w:hAnsi="Arial" w:cs="Arial"/>
          <w:sz w:val="24"/>
          <w:szCs w:val="24"/>
        </w:rPr>
      </w:pPr>
      <w:r>
        <w:rPr>
          <w:rFonts w:ascii="Arial" w:hAnsi="Arial" w:cs="Arial"/>
          <w:sz w:val="24"/>
          <w:szCs w:val="24"/>
        </w:rPr>
        <w:t>Señalar que ajustado el texto de la reglamentación de acuerdo con lo expresado en el Considerando 3), deberá remitirse nuevamente a este Tribunal a sus efectos;</w:t>
      </w:r>
    </w:p>
    <w:p w:rsidR="00690ABD" w:rsidRPr="00690ABD" w:rsidRDefault="00706219" w:rsidP="00897700">
      <w:pPr>
        <w:numPr>
          <w:ilvl w:val="0"/>
          <w:numId w:val="1"/>
        </w:numPr>
        <w:tabs>
          <w:tab w:val="clear" w:pos="720"/>
          <w:tab w:val="num" w:pos="284"/>
        </w:tabs>
        <w:spacing w:after="0" w:line="360" w:lineRule="auto"/>
        <w:ind w:left="284" w:hanging="284"/>
        <w:rPr>
          <w:rFonts w:ascii="Arial" w:hAnsi="Arial" w:cs="Arial"/>
          <w:sz w:val="24"/>
          <w:szCs w:val="24"/>
        </w:rPr>
      </w:pPr>
      <w:r>
        <w:rPr>
          <w:rFonts w:ascii="Arial" w:hAnsi="Arial" w:cs="Arial"/>
          <w:sz w:val="24"/>
          <w:szCs w:val="24"/>
        </w:rPr>
        <w:t>Téngase presente lo consignado en el Considerando 4);</w:t>
      </w:r>
      <w:r w:rsidR="00C22298">
        <w:rPr>
          <w:rFonts w:ascii="Arial" w:hAnsi="Arial" w:cs="Arial"/>
          <w:sz w:val="24"/>
          <w:szCs w:val="24"/>
        </w:rPr>
        <w:t xml:space="preserve"> y</w:t>
      </w:r>
    </w:p>
    <w:p w:rsidR="00690ABD" w:rsidRPr="003A1609" w:rsidRDefault="00706219" w:rsidP="00897700">
      <w:pPr>
        <w:pStyle w:val="Prrafodelista"/>
        <w:numPr>
          <w:ilvl w:val="0"/>
          <w:numId w:val="1"/>
        </w:numPr>
        <w:tabs>
          <w:tab w:val="clear" w:pos="720"/>
          <w:tab w:val="num" w:pos="284"/>
        </w:tabs>
        <w:spacing w:line="360" w:lineRule="auto"/>
        <w:ind w:left="284" w:hanging="284"/>
        <w:jc w:val="both"/>
        <w:rPr>
          <w:rFonts w:ascii="Arial" w:hAnsi="Arial" w:cs="Arial"/>
          <w:sz w:val="24"/>
          <w:szCs w:val="24"/>
        </w:rPr>
      </w:pPr>
      <w:r>
        <w:rPr>
          <w:rFonts w:ascii="Arial" w:hAnsi="Arial" w:cs="Arial"/>
          <w:sz w:val="24"/>
          <w:szCs w:val="24"/>
        </w:rPr>
        <w:t>Comunicar</w:t>
      </w:r>
      <w:r w:rsidR="003A1609">
        <w:rPr>
          <w:rFonts w:ascii="Arial" w:hAnsi="Arial" w:cs="Arial"/>
          <w:sz w:val="24"/>
          <w:szCs w:val="24"/>
        </w:rPr>
        <w:t xml:space="preserve"> a la Administración actuante</w:t>
      </w:r>
      <w:r>
        <w:rPr>
          <w:rFonts w:ascii="Arial" w:hAnsi="Arial" w:cs="Arial"/>
          <w:sz w:val="24"/>
          <w:szCs w:val="24"/>
        </w:rPr>
        <w:t xml:space="preserve"> y al Contador Delegado</w:t>
      </w:r>
      <w:r w:rsidR="003A1609">
        <w:rPr>
          <w:rFonts w:ascii="Arial" w:hAnsi="Arial" w:cs="Arial"/>
          <w:sz w:val="24"/>
          <w:szCs w:val="24"/>
        </w:rPr>
        <w:t>.</w:t>
      </w:r>
    </w:p>
    <w:p w:rsidR="00690ABD" w:rsidRDefault="00690ABD" w:rsidP="00690ABD">
      <w:pPr>
        <w:spacing w:line="240" w:lineRule="auto"/>
        <w:jc w:val="right"/>
        <w:rPr>
          <w:rFonts w:ascii="Arial" w:hAnsi="Arial" w:cs="Arial"/>
          <w:sz w:val="24"/>
          <w:szCs w:val="24"/>
        </w:rPr>
      </w:pPr>
    </w:p>
    <w:p w:rsidR="00690ABD" w:rsidRPr="00897700" w:rsidRDefault="00897700" w:rsidP="00690ABD">
      <w:pPr>
        <w:spacing w:line="240" w:lineRule="auto"/>
        <w:rPr>
          <w:rFonts w:ascii="Arial" w:hAnsi="Arial" w:cs="Arial"/>
          <w:sz w:val="24"/>
          <w:szCs w:val="24"/>
        </w:rPr>
      </w:pPr>
      <w:proofErr w:type="spellStart"/>
      <w:proofErr w:type="gramStart"/>
      <w:r w:rsidRPr="00897700">
        <w:rPr>
          <w:rFonts w:ascii="Arial" w:hAnsi="Arial" w:cs="Arial"/>
          <w:sz w:val="24"/>
          <w:szCs w:val="24"/>
        </w:rPr>
        <w:t>cr</w:t>
      </w:r>
      <w:proofErr w:type="spellEnd"/>
      <w:proofErr w:type="gramEnd"/>
    </w:p>
    <w:sectPr w:rsidR="00690ABD" w:rsidRPr="00897700" w:rsidSect="00C2229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7CD" w:rsidRDefault="005E57CD" w:rsidP="00D6024A">
      <w:pPr>
        <w:spacing w:after="0" w:line="240" w:lineRule="auto"/>
      </w:pPr>
      <w:r>
        <w:separator/>
      </w:r>
    </w:p>
  </w:endnote>
  <w:endnote w:type="continuationSeparator" w:id="0">
    <w:p w:rsidR="005E57CD" w:rsidRDefault="005E57CD" w:rsidP="00D6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7CD" w:rsidRDefault="005E57CD" w:rsidP="00D6024A">
      <w:pPr>
        <w:spacing w:after="0" w:line="240" w:lineRule="auto"/>
      </w:pPr>
      <w:r>
        <w:separator/>
      </w:r>
    </w:p>
  </w:footnote>
  <w:footnote w:type="continuationSeparator" w:id="0">
    <w:p w:rsidR="005E57CD" w:rsidRDefault="005E57CD" w:rsidP="00D60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83156"/>
    <w:multiLevelType w:val="hybridMultilevel"/>
    <w:tmpl w:val="7CD44B56"/>
    <w:lvl w:ilvl="0" w:tplc="8F8EC35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30"/>
    <w:rsid w:val="000A39FE"/>
    <w:rsid w:val="00100C8A"/>
    <w:rsid w:val="001132B8"/>
    <w:rsid w:val="001A70F6"/>
    <w:rsid w:val="00210A40"/>
    <w:rsid w:val="00243754"/>
    <w:rsid w:val="002A6C2D"/>
    <w:rsid w:val="003733B4"/>
    <w:rsid w:val="00381FEE"/>
    <w:rsid w:val="003A1609"/>
    <w:rsid w:val="003D68C8"/>
    <w:rsid w:val="004A5F67"/>
    <w:rsid w:val="00517E1D"/>
    <w:rsid w:val="0052061A"/>
    <w:rsid w:val="005445CE"/>
    <w:rsid w:val="00563A3D"/>
    <w:rsid w:val="00581BC9"/>
    <w:rsid w:val="005D388B"/>
    <w:rsid w:val="005E57CD"/>
    <w:rsid w:val="00626CBA"/>
    <w:rsid w:val="00662FAE"/>
    <w:rsid w:val="00673554"/>
    <w:rsid w:val="00690ABD"/>
    <w:rsid w:val="00706219"/>
    <w:rsid w:val="007511F4"/>
    <w:rsid w:val="007E5330"/>
    <w:rsid w:val="00897700"/>
    <w:rsid w:val="0091554B"/>
    <w:rsid w:val="0094132B"/>
    <w:rsid w:val="00B05AE6"/>
    <w:rsid w:val="00B355AF"/>
    <w:rsid w:val="00B76F00"/>
    <w:rsid w:val="00C22298"/>
    <w:rsid w:val="00C72DA5"/>
    <w:rsid w:val="00C80B83"/>
    <w:rsid w:val="00D6024A"/>
    <w:rsid w:val="00DA2845"/>
    <w:rsid w:val="00DB3D6D"/>
    <w:rsid w:val="00E45936"/>
    <w:rsid w:val="00E733C1"/>
    <w:rsid w:val="00E9702C"/>
    <w:rsid w:val="00FE6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90ABD"/>
    <w:pPr>
      <w:keepNext/>
      <w:spacing w:after="0" w:line="360" w:lineRule="auto"/>
      <w:jc w:val="center"/>
      <w:outlineLvl w:val="0"/>
    </w:pPr>
    <w:rPr>
      <w:rFonts w:ascii="Arial" w:eastAsia="Times New Roman" w:hAnsi="Arial"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Textodeglobo">
    <w:name w:val="Balloon Text"/>
    <w:basedOn w:val="Normal"/>
    <w:link w:val="TextodegloboCar"/>
    <w:uiPriority w:val="99"/>
    <w:semiHidden/>
    <w:unhideWhenUsed/>
    <w:rsid w:val="009155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54B"/>
    <w:rPr>
      <w:rFonts w:ascii="Tahoma" w:hAnsi="Tahoma" w:cs="Tahoma"/>
      <w:sz w:val="16"/>
      <w:szCs w:val="16"/>
    </w:rPr>
  </w:style>
  <w:style w:type="character" w:customStyle="1" w:styleId="Ttulo1Car">
    <w:name w:val="Título 1 Car"/>
    <w:basedOn w:val="Fuentedeprrafopredeter"/>
    <w:link w:val="Ttulo1"/>
    <w:rsid w:val="00690ABD"/>
    <w:rPr>
      <w:rFonts w:ascii="Arial" w:eastAsia="Times New Roman" w:hAnsi="Arial" w:cs="Times New Roman"/>
      <w:b/>
      <w:bCs/>
      <w:sz w:val="24"/>
      <w:szCs w:val="24"/>
      <w:lang w:eastAsia="es-ES"/>
    </w:rPr>
  </w:style>
  <w:style w:type="paragraph" w:styleId="Prrafodelista">
    <w:name w:val="List Paragraph"/>
    <w:basedOn w:val="Normal"/>
    <w:uiPriority w:val="34"/>
    <w:qFormat/>
    <w:rsid w:val="003A16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90ABD"/>
    <w:pPr>
      <w:keepNext/>
      <w:spacing w:after="0" w:line="360" w:lineRule="auto"/>
      <w:jc w:val="center"/>
      <w:outlineLvl w:val="0"/>
    </w:pPr>
    <w:rPr>
      <w:rFonts w:ascii="Arial" w:eastAsia="Times New Roman" w:hAnsi="Arial"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Textodeglobo">
    <w:name w:val="Balloon Text"/>
    <w:basedOn w:val="Normal"/>
    <w:link w:val="TextodegloboCar"/>
    <w:uiPriority w:val="99"/>
    <w:semiHidden/>
    <w:unhideWhenUsed/>
    <w:rsid w:val="009155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54B"/>
    <w:rPr>
      <w:rFonts w:ascii="Tahoma" w:hAnsi="Tahoma" w:cs="Tahoma"/>
      <w:sz w:val="16"/>
      <w:szCs w:val="16"/>
    </w:rPr>
  </w:style>
  <w:style w:type="character" w:customStyle="1" w:styleId="Ttulo1Car">
    <w:name w:val="Título 1 Car"/>
    <w:basedOn w:val="Fuentedeprrafopredeter"/>
    <w:link w:val="Ttulo1"/>
    <w:rsid w:val="00690ABD"/>
    <w:rPr>
      <w:rFonts w:ascii="Arial" w:eastAsia="Times New Roman" w:hAnsi="Arial" w:cs="Times New Roman"/>
      <w:b/>
      <w:bCs/>
      <w:sz w:val="24"/>
      <w:szCs w:val="24"/>
      <w:lang w:eastAsia="es-ES"/>
    </w:rPr>
  </w:style>
  <w:style w:type="paragraph" w:styleId="Prrafodelista">
    <w:name w:val="List Paragraph"/>
    <w:basedOn w:val="Normal"/>
    <w:uiPriority w:val="34"/>
    <w:qFormat/>
    <w:rsid w:val="003A1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03828-2FE7-4C2B-A8AA-33B55655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716</Words>
  <Characters>3940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2018-10-11T17:08:00Z</cp:lastPrinted>
  <dcterms:created xsi:type="dcterms:W3CDTF">2018-10-11T17:08:00Z</dcterms:created>
  <dcterms:modified xsi:type="dcterms:W3CDTF">2018-11-29T19:01:00Z</dcterms:modified>
</cp:coreProperties>
</file>