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EF" w:rsidRPr="00491BEF" w:rsidRDefault="00491BEF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 w:rsidRPr="00491BEF">
        <w:rPr>
          <w:rFonts w:cs="Arial"/>
          <w:b/>
          <w:sz w:val="28"/>
          <w:szCs w:val="28"/>
          <w:lang w:val="es-ES_tradnl"/>
        </w:rPr>
        <w:t>RES. 3414/18</w:t>
      </w:r>
    </w:p>
    <w:p w:rsidR="00491BEF" w:rsidRPr="00491BEF" w:rsidRDefault="00491BEF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491BEF" w:rsidRPr="00491BEF" w:rsidRDefault="00491BEF" w:rsidP="00491BEF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  <w:r w:rsidRPr="00491BEF">
        <w:rPr>
          <w:rFonts w:cs="Arial"/>
          <w:b/>
          <w:lang w:val="es-ES_tradnl"/>
        </w:rPr>
        <w:t>RESOLUCION ADOPTADA POR EL</w:t>
      </w:r>
    </w:p>
    <w:p w:rsidR="00491BEF" w:rsidRPr="00491BEF" w:rsidRDefault="00491BEF" w:rsidP="00491BEF">
      <w:pPr>
        <w:tabs>
          <w:tab w:val="left" w:pos="-720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</w:p>
    <w:p w:rsidR="00491BEF" w:rsidRPr="00491BEF" w:rsidRDefault="00491BEF" w:rsidP="00491BEF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  <w:r w:rsidRPr="00491BEF">
        <w:rPr>
          <w:rFonts w:cs="Arial"/>
          <w:b/>
          <w:lang w:val="es-ES_tradnl"/>
        </w:rPr>
        <w:t>TRIBUNAL DE CUENTAS</w:t>
      </w:r>
    </w:p>
    <w:p w:rsidR="00491BEF" w:rsidRPr="00491BEF" w:rsidRDefault="00491BEF" w:rsidP="00491BEF">
      <w:pPr>
        <w:tabs>
          <w:tab w:val="left" w:pos="-720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</w:p>
    <w:p w:rsidR="00491BEF" w:rsidRPr="00491BEF" w:rsidRDefault="00491BEF" w:rsidP="00491BEF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  <w:r w:rsidRPr="00491BEF">
        <w:rPr>
          <w:rFonts w:cs="Arial"/>
          <w:b/>
          <w:lang w:val="es-ES_tradnl"/>
        </w:rPr>
        <w:t>EN SESION DE FECHA 3 DE OCTUBRE DE 2018</w:t>
      </w:r>
    </w:p>
    <w:p w:rsidR="00491BEF" w:rsidRPr="00491BEF" w:rsidRDefault="00491BEF" w:rsidP="00491BEF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</w:p>
    <w:p w:rsidR="00491BEF" w:rsidRPr="009D322A" w:rsidRDefault="00491BEF" w:rsidP="00491BEF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s-UY"/>
        </w:rPr>
      </w:pPr>
      <w:r w:rsidRPr="009D322A">
        <w:rPr>
          <w:rFonts w:cs="Arial"/>
          <w:b/>
          <w:lang w:val="es-UY"/>
        </w:rPr>
        <w:t xml:space="preserve">(E. E. Nº 2018-17-1-0004859, </w:t>
      </w:r>
      <w:proofErr w:type="spellStart"/>
      <w:r w:rsidRPr="009D322A">
        <w:rPr>
          <w:rFonts w:cs="Arial"/>
          <w:b/>
          <w:lang w:val="es-UY"/>
        </w:rPr>
        <w:t>Ent</w:t>
      </w:r>
      <w:proofErr w:type="spellEnd"/>
      <w:r w:rsidRPr="009D322A">
        <w:rPr>
          <w:rFonts w:cs="Arial"/>
          <w:b/>
          <w:lang w:val="es-UY"/>
        </w:rPr>
        <w:t>. N° 3666/18)</w:t>
      </w:r>
    </w:p>
    <w:p w:rsidR="00491BEF" w:rsidRPr="009D322A" w:rsidRDefault="00491BE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97719A" w:rsidRDefault="0097719A" w:rsidP="00540224">
      <w:pPr>
        <w:ind w:firstLine="851"/>
        <w:jc w:val="both"/>
      </w:pPr>
      <w:r>
        <w:rPr>
          <w:b/>
          <w:bCs/>
        </w:rPr>
        <w:t xml:space="preserve">VISTO: </w:t>
      </w:r>
      <w:r>
        <w:t xml:space="preserve">los antecedentes remitidos por </w:t>
      </w:r>
      <w:r w:rsidR="000C6022">
        <w:t>e</w:t>
      </w:r>
      <w:r>
        <w:t xml:space="preserve">l </w:t>
      </w:r>
      <w:r w:rsidR="00982962">
        <w:t>Banco de la República Oriental del Uruguay (B.R.O.U.),</w:t>
      </w:r>
      <w:r>
        <w:t xml:space="preserve"> relacionados con </w:t>
      </w:r>
      <w:r w:rsidR="00982962">
        <w:t>el proyecto de r</w:t>
      </w:r>
      <w:r>
        <w:t>eglamento para el uso de las tarjetas corporativas;</w:t>
      </w:r>
    </w:p>
    <w:p w:rsidR="0097719A" w:rsidRDefault="0097719A" w:rsidP="00540224">
      <w:pPr>
        <w:ind w:firstLine="851"/>
        <w:jc w:val="both"/>
      </w:pPr>
      <w:r>
        <w:rPr>
          <w:b/>
          <w:bCs/>
        </w:rPr>
        <w:t xml:space="preserve">RESULTANDO: 1) </w:t>
      </w:r>
      <w:r>
        <w:t>que en cumplimiento de lo establecido en el numeral 4 de la Ordenanza N° 90 de 2/5/2018 dictada por e</w:t>
      </w:r>
      <w:r w:rsidR="00982962">
        <w:t>ste</w:t>
      </w:r>
      <w:r>
        <w:t xml:space="preserve"> Tribunal de Cuentas, se remite </w:t>
      </w:r>
      <w:r w:rsidR="00AE2808">
        <w:t xml:space="preserve">dicho </w:t>
      </w:r>
      <w:r>
        <w:t>proyecto de reglament</w:t>
      </w:r>
      <w:r w:rsidR="00AE2808">
        <w:t>o</w:t>
      </w:r>
      <w:r>
        <w:t>;</w:t>
      </w:r>
    </w:p>
    <w:p w:rsidR="00982962" w:rsidRDefault="00982962" w:rsidP="00540224">
      <w:pPr>
        <w:ind w:firstLine="2835"/>
        <w:jc w:val="both"/>
      </w:pPr>
      <w:r w:rsidRPr="002B0C50">
        <w:rPr>
          <w:b/>
        </w:rPr>
        <w:t>2)</w:t>
      </w:r>
      <w:r w:rsidR="00AE2808">
        <w:t xml:space="preserve"> que el </w:t>
      </w:r>
      <w:r w:rsidR="00491BEF">
        <w:t>A</w:t>
      </w:r>
      <w:r w:rsidR="00AE2808">
        <w:t xml:space="preserve">rtículo 1 </w:t>
      </w:r>
      <w:r>
        <w:t>dispone l</w:t>
      </w:r>
      <w:r w:rsidR="002B0C50">
        <w:t>a</w:t>
      </w:r>
      <w:r>
        <w:t xml:space="preserve"> creación de un </w:t>
      </w:r>
      <w:r w:rsidR="002B0C50">
        <w:t>F</w:t>
      </w:r>
      <w:r>
        <w:t xml:space="preserve">ondo </w:t>
      </w:r>
      <w:r w:rsidR="002B0C50">
        <w:t>P</w:t>
      </w:r>
      <w:r w:rsidR="005421E3">
        <w:t>ermanente</w:t>
      </w:r>
      <w:r>
        <w:t xml:space="preserve"> en </w:t>
      </w:r>
      <w:r w:rsidR="005421E3">
        <w:t>pesos</w:t>
      </w:r>
      <w:r>
        <w:t xml:space="preserve"> uruguayos y </w:t>
      </w:r>
      <w:r w:rsidR="005421E3">
        <w:t>dólares</w:t>
      </w:r>
      <w:r>
        <w:t xml:space="preserve"> estadounidense</w:t>
      </w:r>
      <w:r w:rsidR="002B0C50">
        <w:t>s</w:t>
      </w:r>
      <w:r>
        <w:t>, con el exclusivo fin de imputar los gastos asociados de la</w:t>
      </w:r>
      <w:r w:rsidR="002B0C50">
        <w:t>s</w:t>
      </w:r>
      <w:r>
        <w:t xml:space="preserve"> tarjetas </w:t>
      </w:r>
      <w:r w:rsidR="005421E3">
        <w:t>corporativas</w:t>
      </w:r>
      <w:r>
        <w:t>. Dichos fondos</w:t>
      </w:r>
      <w:r w:rsidR="002B0C50">
        <w:t>,</w:t>
      </w:r>
      <w:r>
        <w:t xml:space="preserve"> estarán asociados a una cuenta bancaria en pesos uruguayos y a</w:t>
      </w:r>
      <w:r w:rsidR="005421E3">
        <w:t xml:space="preserve"> </w:t>
      </w:r>
      <w:r>
        <w:t xml:space="preserve">otra en dólares estadounidenses que se </w:t>
      </w:r>
      <w:r w:rsidR="005421E3">
        <w:t>identificarán</w:t>
      </w:r>
      <w:r>
        <w:t xml:space="preserve"> y serán utilizadas </w:t>
      </w:r>
      <w:r w:rsidR="005421E3">
        <w:t>exclusivamente</w:t>
      </w:r>
      <w:r>
        <w:t xml:space="preserve"> con ese destino, </w:t>
      </w:r>
      <w:r w:rsidR="005421E3">
        <w:t>efectuándose</w:t>
      </w:r>
      <w:r>
        <w:t xml:space="preserve"> una </w:t>
      </w:r>
      <w:r w:rsidR="005421E3">
        <w:t>reposición</w:t>
      </w:r>
      <w:r>
        <w:t xml:space="preserve"> de las cuentas bancarias </w:t>
      </w:r>
      <w:r w:rsidR="005421E3">
        <w:t>que</w:t>
      </w:r>
      <w:r>
        <w:t xml:space="preserve"> integran el Fondo </w:t>
      </w:r>
      <w:r w:rsidR="005421E3">
        <w:t>Permanente</w:t>
      </w:r>
      <w:r>
        <w:t xml:space="preserve"> para las </w:t>
      </w:r>
      <w:r w:rsidR="005421E3">
        <w:t>rendiciones</w:t>
      </w:r>
      <w:r>
        <w:t xml:space="preserve"> de cuentas aprobadas e </w:t>
      </w:r>
      <w:r w:rsidR="005421E3">
        <w:t>intervenida</w:t>
      </w:r>
      <w:r w:rsidR="002B0C50">
        <w:t>s</w:t>
      </w:r>
      <w:r>
        <w:t xml:space="preserve">, </w:t>
      </w:r>
      <w:r w:rsidR="005421E3">
        <w:t xml:space="preserve">atendiendo al </w:t>
      </w:r>
      <w:r>
        <w:t>p</w:t>
      </w:r>
      <w:r w:rsidR="005421E3">
        <w:t>ro</w:t>
      </w:r>
      <w:r>
        <w:t>c</w:t>
      </w:r>
      <w:r w:rsidR="005421E3">
        <w:t>e</w:t>
      </w:r>
      <w:r>
        <w:t>dimi</w:t>
      </w:r>
      <w:r w:rsidR="005421E3">
        <w:t>e</w:t>
      </w:r>
      <w:r>
        <w:t>n</w:t>
      </w:r>
      <w:r w:rsidR="005421E3">
        <w:t>t</w:t>
      </w:r>
      <w:r>
        <w:t>o que se defina;</w:t>
      </w:r>
    </w:p>
    <w:p w:rsidR="007167C3" w:rsidRDefault="00491BEF" w:rsidP="00540224">
      <w:pPr>
        <w:ind w:firstLine="2835"/>
        <w:jc w:val="both"/>
      </w:pPr>
      <w:r w:rsidRPr="00491BEF">
        <w:rPr>
          <w:b/>
        </w:rPr>
        <w:t>3</w:t>
      </w:r>
      <w:r w:rsidR="0097719A">
        <w:rPr>
          <w:b/>
          <w:bCs/>
        </w:rPr>
        <w:t xml:space="preserve">) </w:t>
      </w:r>
      <w:r w:rsidR="00AE2808">
        <w:t xml:space="preserve">que el </w:t>
      </w:r>
      <w:r>
        <w:t>A</w:t>
      </w:r>
      <w:r w:rsidR="00AE2808">
        <w:t>rtículo 2</w:t>
      </w:r>
      <w:r w:rsidR="0097719A">
        <w:t xml:space="preserve"> indica que </w:t>
      </w:r>
      <w:r w:rsidR="00982962">
        <w:t xml:space="preserve">podrá hacerse uso de la tarjeta de crédito </w:t>
      </w:r>
      <w:r w:rsidR="005421E3">
        <w:t>corporativa</w:t>
      </w:r>
      <w:r w:rsidR="00982962">
        <w:t xml:space="preserve"> para solventar aquellos gastos a </w:t>
      </w:r>
      <w:r w:rsidR="005421E3">
        <w:t>efectuase</w:t>
      </w:r>
      <w:r w:rsidR="00982962">
        <w:t xml:space="preserve"> en el p</w:t>
      </w:r>
      <w:r w:rsidR="005421E3">
        <w:t>aí</w:t>
      </w:r>
      <w:r w:rsidR="00982962">
        <w:t xml:space="preserve">s o en el exterior, relacionados con fines institucionales normalmente vinculados al cargo y a la </w:t>
      </w:r>
      <w:r w:rsidR="005421E3">
        <w:t>investidura</w:t>
      </w:r>
      <w:r w:rsidR="00982962">
        <w:t xml:space="preserve"> de sus usuarios, y que por sus </w:t>
      </w:r>
      <w:r w:rsidR="005421E3">
        <w:t>características</w:t>
      </w:r>
      <w:r w:rsidR="00982962">
        <w:t xml:space="preserve"> y oportunidad no permitan razonablemente tramitarse de otra manera</w:t>
      </w:r>
      <w:r w:rsidR="007167C3">
        <w:t>;</w:t>
      </w:r>
    </w:p>
    <w:p w:rsidR="007167C3" w:rsidRDefault="00491BEF" w:rsidP="00540224">
      <w:pPr>
        <w:ind w:firstLine="2835"/>
        <w:jc w:val="both"/>
      </w:pPr>
      <w:r w:rsidRPr="00491BEF">
        <w:rPr>
          <w:b/>
        </w:rPr>
        <w:lastRenderedPageBreak/>
        <w:t>4</w:t>
      </w:r>
      <w:r w:rsidR="007167C3" w:rsidRPr="00491BEF">
        <w:rPr>
          <w:b/>
        </w:rPr>
        <w:t>)</w:t>
      </w:r>
      <w:r w:rsidR="007167C3">
        <w:t xml:space="preserve"> que dichas </w:t>
      </w:r>
      <w:r w:rsidR="0097719A">
        <w:t>tarjetas</w:t>
      </w:r>
      <w:r w:rsidR="007167C3">
        <w:t xml:space="preserve">, en ningún caso podrán usarse para atender gastos que no respondan a los fines institucionales o al </w:t>
      </w:r>
      <w:r w:rsidR="005421E3">
        <w:t>cumplimiento</w:t>
      </w:r>
      <w:r w:rsidR="007167C3">
        <w:t xml:space="preserve"> de misiones en que el jerarca deba </w:t>
      </w:r>
      <w:r w:rsidR="005421E3">
        <w:t>participar</w:t>
      </w:r>
      <w:r w:rsidR="007167C3">
        <w:t xml:space="preserve"> en función de sus cometidos, no pudiendo, en </w:t>
      </w:r>
      <w:r w:rsidR="005421E3">
        <w:t>particular, utilizarse</w:t>
      </w:r>
      <w:r w:rsidR="007167C3">
        <w:t xml:space="preserve"> para aten</w:t>
      </w:r>
      <w:r w:rsidR="00D11E0E">
        <w:t>d</w:t>
      </w:r>
      <w:r w:rsidR="007167C3">
        <w:t xml:space="preserve">er </w:t>
      </w:r>
      <w:r w:rsidR="005421E3">
        <w:t>gastos</w:t>
      </w:r>
      <w:r w:rsidR="007167C3">
        <w:t xml:space="preserve"> </w:t>
      </w:r>
      <w:r w:rsidR="005421E3">
        <w:t>personales</w:t>
      </w:r>
      <w:r w:rsidR="007167C3">
        <w:t>;</w:t>
      </w:r>
    </w:p>
    <w:p w:rsidR="007167C3" w:rsidRDefault="00491BEF" w:rsidP="00540224">
      <w:pPr>
        <w:ind w:firstLine="2835"/>
        <w:jc w:val="both"/>
      </w:pPr>
      <w:r w:rsidRPr="00491BEF">
        <w:rPr>
          <w:b/>
        </w:rPr>
        <w:t>5</w:t>
      </w:r>
      <w:r w:rsidR="007167C3" w:rsidRPr="002B0C50">
        <w:rPr>
          <w:b/>
        </w:rPr>
        <w:t>)</w:t>
      </w:r>
      <w:r w:rsidR="007167C3">
        <w:t xml:space="preserve"> que en los casos de </w:t>
      </w:r>
      <w:r w:rsidR="005421E3">
        <w:t>misiones</w:t>
      </w:r>
      <w:r w:rsidR="007167C3">
        <w:t xml:space="preserve"> de trabajo inherentes a</w:t>
      </w:r>
      <w:r w:rsidR="002B0C50">
        <w:t>l</w:t>
      </w:r>
      <w:r w:rsidR="007167C3">
        <w:t xml:space="preserve"> cargo y a l</w:t>
      </w:r>
      <w:r w:rsidR="002B0C50">
        <w:t>a</w:t>
      </w:r>
      <w:r w:rsidR="007167C3">
        <w:t xml:space="preserve"> </w:t>
      </w:r>
      <w:r w:rsidR="005421E3">
        <w:t>investidura</w:t>
      </w:r>
      <w:r w:rsidR="007167C3">
        <w:t xml:space="preserve"> de los usuarios de</w:t>
      </w:r>
      <w:r w:rsidR="002B0C50">
        <w:t xml:space="preserve"> </w:t>
      </w:r>
      <w:r w:rsidR="007167C3">
        <w:t xml:space="preserve">las </w:t>
      </w:r>
      <w:r w:rsidR="005421E3">
        <w:t>tarjetas</w:t>
      </w:r>
      <w:r w:rsidR="007167C3">
        <w:t xml:space="preserve"> o </w:t>
      </w:r>
      <w:r w:rsidR="005421E3">
        <w:t>dispuest</w:t>
      </w:r>
      <w:r w:rsidR="002B0C50">
        <w:t>a</w:t>
      </w:r>
      <w:r w:rsidR="005421E3">
        <w:t>s</w:t>
      </w:r>
      <w:r w:rsidR="007167C3">
        <w:t xml:space="preserve"> expresamente por el </w:t>
      </w:r>
      <w:r w:rsidR="005421E3">
        <w:t>Directorio</w:t>
      </w:r>
      <w:r w:rsidR="007167C3">
        <w:t>, sólo se podrán abonar gastos imprevistos que surjan de las mismas;</w:t>
      </w:r>
    </w:p>
    <w:p w:rsidR="007167C3" w:rsidRDefault="00491BEF" w:rsidP="00540224">
      <w:pPr>
        <w:ind w:firstLine="2835"/>
        <w:jc w:val="both"/>
      </w:pPr>
      <w:r w:rsidRPr="00491BEF">
        <w:rPr>
          <w:b/>
        </w:rPr>
        <w:t>6</w:t>
      </w:r>
      <w:r w:rsidR="007167C3" w:rsidRPr="002B0C50">
        <w:rPr>
          <w:b/>
        </w:rPr>
        <w:t>)</w:t>
      </w:r>
      <w:r w:rsidR="007167C3">
        <w:t xml:space="preserve"> que en las resoluciones del Directorio que se dispongan </w:t>
      </w:r>
      <w:r w:rsidR="005421E3">
        <w:t>misiones</w:t>
      </w:r>
      <w:r w:rsidR="007167C3">
        <w:t xml:space="preserve"> oficiales</w:t>
      </w:r>
      <w:r w:rsidR="00FE15D5">
        <w:t>,</w:t>
      </w:r>
      <w:r w:rsidR="007167C3">
        <w:t xml:space="preserve"> podrá establecerse que se abonen</w:t>
      </w:r>
      <w:r w:rsidR="00C52154">
        <w:t xml:space="preserve"> los gastos y/o viáticos correspondientes con las tarjetas corporativ</w:t>
      </w:r>
      <w:r w:rsidR="00017F9F">
        <w:t>a</w:t>
      </w:r>
      <w:r w:rsidR="00C52154">
        <w:t>s,</w:t>
      </w:r>
      <w:r w:rsidR="00951F64">
        <w:t xml:space="preserve"> </w:t>
      </w:r>
      <w:r w:rsidR="005421E3">
        <w:t>debiéndose</w:t>
      </w:r>
      <w:r w:rsidR="00C52154">
        <w:t xml:space="preserve"> precisar la duración de las mismas y el concepto de</w:t>
      </w:r>
      <w:r w:rsidR="00AE2808">
        <w:t xml:space="preserve"> los viáticos otorgados. No</w:t>
      </w:r>
      <w:r w:rsidR="00C52154">
        <w:t xml:space="preserve"> podrán atenderse con l</w:t>
      </w:r>
      <w:r w:rsidR="005421E3">
        <w:t>a</w:t>
      </w:r>
      <w:r w:rsidR="00C52154">
        <w:t xml:space="preserve"> tarjeta institucional, gastos que estén cubiertos por viáticos específicos;</w:t>
      </w:r>
    </w:p>
    <w:p w:rsidR="00C52154" w:rsidRDefault="00491BEF" w:rsidP="00540224">
      <w:pPr>
        <w:ind w:firstLine="2835"/>
        <w:jc w:val="both"/>
      </w:pPr>
      <w:r>
        <w:rPr>
          <w:b/>
        </w:rPr>
        <w:t>7</w:t>
      </w:r>
      <w:r w:rsidR="00C52154" w:rsidRPr="00FE15D5">
        <w:rPr>
          <w:b/>
        </w:rPr>
        <w:t>)</w:t>
      </w:r>
      <w:r w:rsidR="00C52154">
        <w:t xml:space="preserve"> que</w:t>
      </w:r>
      <w:r w:rsidR="00AE2808">
        <w:t xml:space="preserve"> el artículo 3 </w:t>
      </w:r>
      <w:r w:rsidR="00C52154">
        <w:t>autoriza la em</w:t>
      </w:r>
      <w:r w:rsidR="009D4CA3">
        <w:t>isió</w:t>
      </w:r>
      <w:r w:rsidR="00C52154">
        <w:t>n de tarjetas de créd</w:t>
      </w:r>
      <w:r w:rsidR="009D4CA3">
        <w:t>i</w:t>
      </w:r>
      <w:r w:rsidR="00C52154">
        <w:t>to para compras</w:t>
      </w:r>
      <w:r w:rsidR="009D4CA3">
        <w:t xml:space="preserve"> institucionales del B.R.O.U. (tarjeta institucional) a los siguientes funcionarios: miembros del Directorio, Gerente General y Secretaria General;</w:t>
      </w:r>
    </w:p>
    <w:p w:rsidR="009D4CA3" w:rsidRDefault="00491BEF" w:rsidP="00540224">
      <w:pPr>
        <w:ind w:firstLine="2835"/>
        <w:jc w:val="both"/>
      </w:pPr>
      <w:r w:rsidRPr="00491BEF">
        <w:rPr>
          <w:b/>
        </w:rPr>
        <w:t>8</w:t>
      </w:r>
      <w:r w:rsidR="009D4CA3" w:rsidRPr="00FE15D5">
        <w:rPr>
          <w:b/>
        </w:rPr>
        <w:t>)</w:t>
      </w:r>
      <w:r w:rsidR="005421E3">
        <w:t xml:space="preserve"> que</w:t>
      </w:r>
      <w:r w:rsidR="00AE2808">
        <w:t xml:space="preserve"> el </w:t>
      </w:r>
      <w:r>
        <w:t>A</w:t>
      </w:r>
      <w:r w:rsidR="00AE2808">
        <w:t>rtículo 4 prevé mensualmente</w:t>
      </w:r>
      <w:r w:rsidR="005421E3">
        <w:t>, se deberá</w:t>
      </w:r>
      <w:r w:rsidR="009D4CA3">
        <w:t xml:space="preserve"> realizar una rendi</w:t>
      </w:r>
      <w:r w:rsidR="005421E3">
        <w:t>ció</w:t>
      </w:r>
      <w:r w:rsidR="009D4CA3">
        <w:t>n de cuentas documentada de todos los gastos acreditados en cada estado de cuenta de las tarj</w:t>
      </w:r>
      <w:r w:rsidR="005421E3">
        <w:t>e</w:t>
      </w:r>
      <w:r w:rsidR="009D4CA3">
        <w:t>tas emitidas p</w:t>
      </w:r>
      <w:r w:rsidR="005421E3">
        <w:t>o</w:t>
      </w:r>
      <w:r w:rsidR="009D4CA3">
        <w:t>r pare de cada funcionario, contemplado las formalidades que establezca el p</w:t>
      </w:r>
      <w:r w:rsidR="00017F9F">
        <w:t>ro</w:t>
      </w:r>
      <w:r w:rsidR="009D4CA3">
        <w:t>c</w:t>
      </w:r>
      <w:r w:rsidR="00017F9F">
        <w:t>ed</w:t>
      </w:r>
      <w:r w:rsidR="009D4CA3">
        <w:t>i</w:t>
      </w:r>
      <w:r w:rsidR="00017F9F">
        <w:t>miento</w:t>
      </w:r>
      <w:r w:rsidR="00FE15D5">
        <w:t>;</w:t>
      </w:r>
    </w:p>
    <w:p w:rsidR="008F52BE" w:rsidRDefault="00491BEF" w:rsidP="00540224">
      <w:pPr>
        <w:ind w:firstLine="2835"/>
        <w:jc w:val="both"/>
      </w:pPr>
      <w:r>
        <w:rPr>
          <w:b/>
        </w:rPr>
        <w:t>9</w:t>
      </w:r>
      <w:r w:rsidR="009D4CA3" w:rsidRPr="00FE15D5">
        <w:rPr>
          <w:b/>
        </w:rPr>
        <w:t>)</w:t>
      </w:r>
      <w:r w:rsidR="009D4CA3">
        <w:t xml:space="preserve"> que</w:t>
      </w:r>
      <w:r w:rsidR="00AE2808">
        <w:t xml:space="preserve">, asimismo dispone se </w:t>
      </w:r>
      <w:r w:rsidR="009D4CA3">
        <w:t xml:space="preserve">que los Contadores Delegados y Auditores </w:t>
      </w:r>
      <w:r w:rsidR="008F52BE">
        <w:t>de este Tribunal</w:t>
      </w:r>
      <w:r w:rsidR="00FE15D5">
        <w:t>,</w:t>
      </w:r>
      <w:r w:rsidR="008F52BE">
        <w:t xml:space="preserve"> </w:t>
      </w:r>
      <w:r w:rsidR="009D4CA3">
        <w:t>analizar</w:t>
      </w:r>
      <w:r w:rsidR="00FE15D5">
        <w:t>á</w:t>
      </w:r>
      <w:r w:rsidR="009D4CA3">
        <w:t>n la rendi</w:t>
      </w:r>
      <w:r w:rsidR="00017F9F">
        <w:t>ció</w:t>
      </w:r>
      <w:r w:rsidR="009D4CA3">
        <w:t>n de cuenta</w:t>
      </w:r>
      <w:r w:rsidR="00D11E0E">
        <w:t>s</w:t>
      </w:r>
      <w:r w:rsidR="009D4CA3">
        <w:t xml:space="preserve"> presentada y controlar</w:t>
      </w:r>
      <w:r w:rsidR="00FE15D5">
        <w:t>á</w:t>
      </w:r>
      <w:r w:rsidR="009D4CA3">
        <w:t>n el cumplim</w:t>
      </w:r>
      <w:r w:rsidR="002B0C50">
        <w:t>e</w:t>
      </w:r>
      <w:r w:rsidR="009D4CA3">
        <w:t>n</w:t>
      </w:r>
      <w:r w:rsidR="002B0C50">
        <w:t>t</w:t>
      </w:r>
      <w:r w:rsidR="009D4CA3">
        <w:t>o de las dispo</w:t>
      </w:r>
      <w:r w:rsidR="002B0C50">
        <w:t>s</w:t>
      </w:r>
      <w:r w:rsidR="009D4CA3">
        <w:t>i</w:t>
      </w:r>
      <w:r w:rsidR="002B0C50">
        <w:t>ci</w:t>
      </w:r>
      <w:r w:rsidR="009D4CA3">
        <w:t>ones lega</w:t>
      </w:r>
      <w:r w:rsidR="002B0C50">
        <w:t>l</w:t>
      </w:r>
      <w:r w:rsidR="009D4CA3">
        <w:t>es y la reglamentación, en forma previa a interven</w:t>
      </w:r>
      <w:r w:rsidR="00D11E0E">
        <w:t>ir</w:t>
      </w:r>
      <w:r w:rsidR="002B0C50">
        <w:t xml:space="preserve"> la reposición</w:t>
      </w:r>
      <w:r w:rsidR="009D4CA3">
        <w:t xml:space="preserve"> del f</w:t>
      </w:r>
      <w:r w:rsidR="00FE15D5">
        <w:t>ond</w:t>
      </w:r>
      <w:r w:rsidR="009D4CA3">
        <w:t>o, debien</w:t>
      </w:r>
      <w:r w:rsidR="002B0C50">
        <w:t>d</w:t>
      </w:r>
      <w:r w:rsidR="009D4CA3">
        <w:t>o aproba</w:t>
      </w:r>
      <w:r w:rsidR="008F52BE">
        <w:t xml:space="preserve">r o reprobar la misma, indicando en este </w:t>
      </w:r>
      <w:r w:rsidR="002B0C50">
        <w:t>ú</w:t>
      </w:r>
      <w:r w:rsidR="008F52BE">
        <w:t>ltimo caso los motivos;</w:t>
      </w:r>
    </w:p>
    <w:p w:rsidR="009D4CA3" w:rsidRDefault="00491BEF" w:rsidP="00540224">
      <w:pPr>
        <w:ind w:firstLine="2835"/>
        <w:jc w:val="both"/>
      </w:pPr>
      <w:r w:rsidRPr="00491BEF">
        <w:rPr>
          <w:b/>
        </w:rPr>
        <w:t>10</w:t>
      </w:r>
      <w:r w:rsidR="008F52BE" w:rsidRPr="00FE15D5">
        <w:rPr>
          <w:b/>
        </w:rPr>
        <w:t>)</w:t>
      </w:r>
      <w:r w:rsidR="008F52BE">
        <w:t xml:space="preserve"> que asimi</w:t>
      </w:r>
      <w:r w:rsidR="002B0C50">
        <w:t>s</w:t>
      </w:r>
      <w:r w:rsidR="008F52BE">
        <w:t>mo los Contadores referidos, comun</w:t>
      </w:r>
      <w:r w:rsidR="002B0C50">
        <w:t>i</w:t>
      </w:r>
      <w:r w:rsidR="008F52BE">
        <w:t>ca</w:t>
      </w:r>
      <w:r w:rsidR="002B0C50">
        <w:t>rá</w:t>
      </w:r>
      <w:r w:rsidR="008F52BE">
        <w:t>n en forma trimestral a este Tribunal las rendi</w:t>
      </w:r>
      <w:r w:rsidR="002B0C50">
        <w:t>cion</w:t>
      </w:r>
      <w:r w:rsidR="008F52BE">
        <w:t>es no aprobadas (</w:t>
      </w:r>
      <w:r>
        <w:t>A</w:t>
      </w:r>
      <w:r w:rsidR="008F52BE">
        <w:t xml:space="preserve">rtículo 211 de la </w:t>
      </w:r>
      <w:r w:rsidR="002B0C50">
        <w:t>Constitución</w:t>
      </w:r>
      <w:r w:rsidR="008F52BE">
        <w:t xml:space="preserve"> de la Rep</w:t>
      </w:r>
      <w:r w:rsidR="009D4407">
        <w:t>ú</w:t>
      </w:r>
      <w:r w:rsidR="008F52BE">
        <w:t>blica);</w:t>
      </w:r>
    </w:p>
    <w:p w:rsidR="0097719A" w:rsidRPr="003C2B84" w:rsidRDefault="0097719A" w:rsidP="00540224">
      <w:pPr>
        <w:ind w:firstLine="851"/>
        <w:jc w:val="both"/>
        <w:rPr>
          <w:rFonts w:eastAsia="Calibri" w:cs="Arial"/>
          <w:lang w:eastAsia="en-US"/>
        </w:rPr>
      </w:pPr>
      <w:r>
        <w:rPr>
          <w:b/>
          <w:bCs/>
        </w:rPr>
        <w:t>CONSIDERANDO:</w:t>
      </w:r>
      <w:r>
        <w:t xml:space="preserve"> </w:t>
      </w:r>
      <w:r w:rsidRPr="003C2B84">
        <w:rPr>
          <w:rFonts w:eastAsia="Calibri" w:cs="Arial"/>
          <w:b/>
          <w:lang w:eastAsia="en-US"/>
        </w:rPr>
        <w:t>1)</w:t>
      </w:r>
      <w:r w:rsidRPr="003C2B84">
        <w:rPr>
          <w:rFonts w:eastAsia="Calibri" w:cs="Arial"/>
          <w:lang w:eastAsia="en-US"/>
        </w:rPr>
        <w:t xml:space="preserve"> que este Tribunal, al amparo de lo establecido por el </w:t>
      </w:r>
      <w:r w:rsidR="00491BEF">
        <w:rPr>
          <w:rFonts w:eastAsia="Calibri" w:cs="Arial"/>
          <w:lang w:eastAsia="en-US"/>
        </w:rPr>
        <w:t>A</w:t>
      </w:r>
      <w:r w:rsidRPr="003C2B84">
        <w:rPr>
          <w:rFonts w:eastAsia="Calibri" w:cs="Arial"/>
          <w:lang w:eastAsia="en-US"/>
        </w:rPr>
        <w:t xml:space="preserve">rtículo 211, Literal F) de la Constitución de la </w:t>
      </w:r>
      <w:r w:rsidR="00F1516B">
        <w:rPr>
          <w:rFonts w:eastAsia="Calibri" w:cs="Arial"/>
          <w:lang w:eastAsia="en-US"/>
        </w:rPr>
        <w:t>República, dictó la Ordenanza Nº</w:t>
      </w:r>
      <w:r w:rsidRPr="003C2B84">
        <w:rPr>
          <w:rFonts w:eastAsia="Calibri" w:cs="Arial"/>
          <w:lang w:eastAsia="en-US"/>
        </w:rPr>
        <w:t>. 90 de fecha 2/5/2018, en</w:t>
      </w:r>
      <w:r w:rsidR="00FF4466">
        <w:rPr>
          <w:rFonts w:eastAsia="Calibri" w:cs="Arial"/>
          <w:lang w:eastAsia="en-US"/>
        </w:rPr>
        <w:t xml:space="preserve"> la que fijó criterios</w:t>
      </w:r>
      <w:r w:rsidRPr="003C2B84">
        <w:rPr>
          <w:rFonts w:eastAsia="Calibri" w:cs="Arial"/>
          <w:lang w:eastAsia="en-US"/>
        </w:rPr>
        <w:t xml:space="preserve"> y procedimientos para </w:t>
      </w:r>
      <w:r>
        <w:rPr>
          <w:rFonts w:eastAsia="Calibri" w:cs="Arial"/>
          <w:lang w:eastAsia="en-US"/>
        </w:rPr>
        <w:t>la</w:t>
      </w:r>
      <w:r w:rsidRPr="003C2B84">
        <w:rPr>
          <w:rFonts w:eastAsia="Calibri" w:cs="Arial"/>
          <w:lang w:eastAsia="en-US"/>
        </w:rPr>
        <w:t xml:space="preserve"> utilización</w:t>
      </w:r>
      <w:r w:rsidRPr="00FA3EAB">
        <w:t xml:space="preserve"> </w:t>
      </w:r>
      <w:r w:rsidRPr="00FA3EAB">
        <w:rPr>
          <w:rFonts w:eastAsia="Calibri" w:cs="Arial"/>
          <w:lang w:eastAsia="en-US"/>
        </w:rPr>
        <w:t>de las tarjetas corporativas</w:t>
      </w:r>
      <w:r>
        <w:rPr>
          <w:rFonts w:eastAsia="Calibri" w:cs="Arial"/>
          <w:lang w:eastAsia="en-US"/>
        </w:rPr>
        <w:t>, a los</w:t>
      </w:r>
      <w:r w:rsidRPr="003C2B84">
        <w:rPr>
          <w:rFonts w:eastAsia="Calibri" w:cs="Arial"/>
          <w:lang w:eastAsia="en-US"/>
        </w:rPr>
        <w:t xml:space="preserve"> que deben ajustarse las reglamentaciones que se dicten</w:t>
      </w:r>
      <w:r w:rsidR="00FF4466">
        <w:rPr>
          <w:rFonts w:eastAsia="Calibri" w:cs="Arial"/>
          <w:lang w:eastAsia="en-US"/>
        </w:rPr>
        <w:t xml:space="preserve"> al</w:t>
      </w:r>
      <w:r>
        <w:rPr>
          <w:rFonts w:eastAsia="Calibri" w:cs="Arial"/>
          <w:lang w:eastAsia="en-US"/>
        </w:rPr>
        <w:t xml:space="preserve"> respecto</w:t>
      </w:r>
      <w:r w:rsidR="00540224">
        <w:rPr>
          <w:rFonts w:eastAsia="Calibri" w:cs="Arial"/>
          <w:lang w:eastAsia="en-US"/>
        </w:rPr>
        <w:t>;</w:t>
      </w:r>
    </w:p>
    <w:p w:rsidR="001B6F7E" w:rsidRDefault="00540224" w:rsidP="00540224">
      <w:pPr>
        <w:ind w:firstLine="2977"/>
        <w:jc w:val="both"/>
        <w:rPr>
          <w:rFonts w:eastAsia="Calibri" w:cs="Arial"/>
          <w:lang w:eastAsia="en-US"/>
        </w:rPr>
      </w:pPr>
      <w:r>
        <w:rPr>
          <w:rFonts w:eastAsia="Calibri" w:cs="Arial"/>
          <w:b/>
          <w:lang w:eastAsia="en-US"/>
        </w:rPr>
        <w:t xml:space="preserve"> </w:t>
      </w:r>
      <w:r w:rsidR="00FE15D5" w:rsidRPr="00FE15D5">
        <w:rPr>
          <w:rFonts w:eastAsia="Calibri" w:cs="Arial"/>
          <w:b/>
          <w:lang w:eastAsia="en-US"/>
        </w:rPr>
        <w:t>2</w:t>
      </w:r>
      <w:r w:rsidR="0097719A" w:rsidRPr="00FE15D5">
        <w:rPr>
          <w:rFonts w:eastAsia="Calibri" w:cs="Arial"/>
          <w:b/>
          <w:lang w:eastAsia="en-US"/>
        </w:rPr>
        <w:t>)</w:t>
      </w:r>
      <w:r w:rsidR="0097719A">
        <w:rPr>
          <w:rFonts w:eastAsia="Calibri" w:cs="Arial"/>
          <w:b/>
          <w:lang w:eastAsia="en-US"/>
        </w:rPr>
        <w:t xml:space="preserve"> </w:t>
      </w:r>
      <w:r w:rsidR="0097719A">
        <w:rPr>
          <w:rFonts w:eastAsia="Calibri" w:cs="Arial"/>
          <w:lang w:eastAsia="en-US"/>
        </w:rPr>
        <w:t>que</w:t>
      </w:r>
      <w:r w:rsidR="00F1516B">
        <w:rPr>
          <w:rFonts w:eastAsia="Calibri" w:cs="Arial"/>
          <w:lang w:eastAsia="en-US"/>
        </w:rPr>
        <w:t xml:space="preserve">, </w:t>
      </w:r>
      <w:r w:rsidR="001B6F7E">
        <w:rPr>
          <w:rFonts w:eastAsia="Calibri" w:cs="Arial"/>
          <w:lang w:eastAsia="en-US"/>
        </w:rPr>
        <w:t>si bien en términos generales</w:t>
      </w:r>
      <w:r w:rsidR="00FF4466">
        <w:rPr>
          <w:rFonts w:eastAsia="Calibri" w:cs="Arial"/>
          <w:lang w:eastAsia="en-US"/>
        </w:rPr>
        <w:t>,</w:t>
      </w:r>
      <w:r w:rsidR="001B6F7E">
        <w:rPr>
          <w:rFonts w:eastAsia="Calibri" w:cs="Arial"/>
          <w:lang w:eastAsia="en-US"/>
        </w:rPr>
        <w:t xml:space="preserve"> la reglamentación remitida se ajusta a los requerimientos de la referida Ordenanza, hay algunos puntos que deben ajustarse;</w:t>
      </w:r>
    </w:p>
    <w:p w:rsidR="001B6F7E" w:rsidRDefault="00540224" w:rsidP="00540224">
      <w:pPr>
        <w:ind w:firstLine="2977"/>
        <w:jc w:val="both"/>
        <w:rPr>
          <w:rFonts w:eastAsia="Calibri" w:cs="Arial"/>
          <w:lang w:eastAsia="en-US"/>
        </w:rPr>
      </w:pPr>
      <w:r>
        <w:rPr>
          <w:rFonts w:eastAsia="Calibri" w:cs="Arial"/>
          <w:b/>
          <w:lang w:eastAsia="en-US"/>
        </w:rPr>
        <w:t xml:space="preserve"> </w:t>
      </w:r>
      <w:r w:rsidR="001B6F7E" w:rsidRPr="00C326A0">
        <w:rPr>
          <w:rFonts w:eastAsia="Calibri" w:cs="Arial"/>
          <w:b/>
          <w:lang w:eastAsia="en-US"/>
        </w:rPr>
        <w:t>3)</w:t>
      </w:r>
      <w:r w:rsidR="001B6F7E">
        <w:rPr>
          <w:rFonts w:eastAsia="Calibri" w:cs="Arial"/>
          <w:lang w:eastAsia="en-US"/>
        </w:rPr>
        <w:t xml:space="preserve"> que el numeral 1.3</w:t>
      </w:r>
      <w:r w:rsidR="00F1516B">
        <w:rPr>
          <w:rFonts w:eastAsia="Calibri" w:cs="Arial"/>
          <w:lang w:eastAsia="en-US"/>
        </w:rPr>
        <w:t xml:space="preserve"> del Acuerda </w:t>
      </w:r>
      <w:r w:rsidR="001B6F7E">
        <w:rPr>
          <w:rFonts w:eastAsia="Calibri" w:cs="Arial"/>
          <w:lang w:eastAsia="en-US"/>
        </w:rPr>
        <w:t xml:space="preserve">de la Ordenanza </w:t>
      </w:r>
      <w:r w:rsidR="00F1516B">
        <w:rPr>
          <w:rFonts w:eastAsia="Calibri" w:cs="Arial"/>
          <w:lang w:eastAsia="en-US"/>
        </w:rPr>
        <w:t>establece “Los funcionarios titulares d</w:t>
      </w:r>
      <w:r w:rsidR="001B6F7E">
        <w:rPr>
          <w:rFonts w:eastAsia="Calibri" w:cs="Arial"/>
          <w:lang w:eastAsia="en-US"/>
        </w:rPr>
        <w:t>e las tarjetas solamente podrán</w:t>
      </w:r>
      <w:r w:rsidR="00F1516B">
        <w:rPr>
          <w:rFonts w:eastAsia="Calibri" w:cs="Arial"/>
          <w:lang w:eastAsia="en-US"/>
        </w:rPr>
        <w:t xml:space="preserve"> abonar con las mismas gastos imprevistos en misiones de trabajo declaradas tales por la autoridad competente del organismo”, o sea que en todos los casos, para que proceda la utilización de la </w:t>
      </w:r>
      <w:r w:rsidR="001B6F7E">
        <w:rPr>
          <w:rFonts w:eastAsia="Calibri" w:cs="Arial"/>
          <w:lang w:eastAsia="en-US"/>
        </w:rPr>
        <w:t>tarjeta, tiene que existir una resolución</w:t>
      </w:r>
      <w:r w:rsidR="00F1516B">
        <w:rPr>
          <w:rFonts w:eastAsia="Calibri" w:cs="Arial"/>
          <w:lang w:eastAsia="en-US"/>
        </w:rPr>
        <w:t xml:space="preserve"> previa de la autoridad competente (el Directorio en este caso) estableciendo que el funcionario se encuentra en cumplimiento de una misión oficial, ya sea e</w:t>
      </w:r>
      <w:r w:rsidR="001B6F7E">
        <w:rPr>
          <w:rFonts w:eastAsia="Calibri" w:cs="Arial"/>
          <w:lang w:eastAsia="en-US"/>
        </w:rPr>
        <w:t>sta en el país o en el exterior. Esta exigencia no se encuentra recogida en el inciso tercero del artículo 2 del proyecto de reglamentación remitido;</w:t>
      </w:r>
    </w:p>
    <w:p w:rsidR="001B6F7E" w:rsidRDefault="00540224" w:rsidP="00540224">
      <w:pPr>
        <w:ind w:firstLine="2977"/>
        <w:jc w:val="both"/>
        <w:rPr>
          <w:rFonts w:eastAsia="Calibri" w:cs="Arial"/>
          <w:lang w:eastAsia="en-US"/>
        </w:rPr>
      </w:pPr>
      <w:r>
        <w:rPr>
          <w:rFonts w:eastAsia="Calibri" w:cs="Arial"/>
          <w:b/>
          <w:lang w:eastAsia="en-US"/>
        </w:rPr>
        <w:t xml:space="preserve"> 4</w:t>
      </w:r>
      <w:r w:rsidR="001B6F7E" w:rsidRPr="00C326A0">
        <w:rPr>
          <w:rFonts w:eastAsia="Calibri" w:cs="Arial"/>
          <w:b/>
          <w:lang w:eastAsia="en-US"/>
        </w:rPr>
        <w:t>)</w:t>
      </w:r>
      <w:r w:rsidR="001B6F7E">
        <w:rPr>
          <w:rFonts w:eastAsia="Calibri" w:cs="Arial"/>
          <w:lang w:eastAsia="en-US"/>
        </w:rPr>
        <w:t xml:space="preserve"> que el numeral 1.4 del Acuerda de la Ordenanza dispone que los viáticos se podrán abonar con la tarjeta, “cuando así lo prevea la reglamentación </w:t>
      </w:r>
      <w:r w:rsidR="00A83CEE">
        <w:rPr>
          <w:rFonts w:eastAsia="Calibri" w:cs="Arial"/>
          <w:lang w:eastAsia="en-US"/>
        </w:rPr>
        <w:t>y así lo establezca la resolución previa del Jerarca que dispone la misión oficial, que deberá precisar, además, la duración de la misma, así como el monto y el concepto de los referidos viáticos”.  En el inciso cuarto del artículo 2 que refiere a las Resoluciones del Directorio que los disponen, omite que debe incluirse el monto de los mismos;</w:t>
      </w:r>
    </w:p>
    <w:p w:rsidR="00A83CEE" w:rsidRDefault="00540224" w:rsidP="00540224">
      <w:pPr>
        <w:ind w:firstLine="2977"/>
        <w:jc w:val="both"/>
        <w:rPr>
          <w:rFonts w:eastAsia="Calibri" w:cs="Arial"/>
          <w:lang w:eastAsia="en-US"/>
        </w:rPr>
      </w:pPr>
      <w:r>
        <w:rPr>
          <w:rFonts w:eastAsia="Calibri" w:cs="Arial"/>
          <w:b/>
          <w:lang w:eastAsia="en-US"/>
        </w:rPr>
        <w:t xml:space="preserve"> </w:t>
      </w:r>
      <w:r w:rsidR="00A83CEE" w:rsidRPr="00C326A0">
        <w:rPr>
          <w:rFonts w:eastAsia="Calibri" w:cs="Arial"/>
          <w:b/>
          <w:lang w:eastAsia="en-US"/>
        </w:rPr>
        <w:t xml:space="preserve">5) </w:t>
      </w:r>
      <w:r w:rsidR="00A83CEE">
        <w:rPr>
          <w:rFonts w:eastAsia="Calibri" w:cs="Arial"/>
          <w:lang w:eastAsia="en-US"/>
        </w:rPr>
        <w:t xml:space="preserve">que el numeral 1.9 del Acuerda de la Ordenanza dispone que el fondo “podrá reponerse únicamente hasta el monto correspondiente a las rendiciones aprobadas”, lo que deberá consignarse en el </w:t>
      </w:r>
      <w:r w:rsidR="00491BEF">
        <w:rPr>
          <w:rFonts w:eastAsia="Calibri" w:cs="Arial"/>
          <w:lang w:eastAsia="en-US"/>
        </w:rPr>
        <w:t>I</w:t>
      </w:r>
      <w:r w:rsidR="00A83CEE">
        <w:rPr>
          <w:rFonts w:eastAsia="Calibri" w:cs="Arial"/>
          <w:lang w:eastAsia="en-US"/>
        </w:rPr>
        <w:t>nciso 2</w:t>
      </w:r>
      <w:r w:rsidR="00491BEF">
        <w:rPr>
          <w:rFonts w:eastAsia="Calibri" w:cs="Arial"/>
          <w:lang w:eastAsia="en-US"/>
        </w:rPr>
        <w:t>)</w:t>
      </w:r>
      <w:r w:rsidR="00A83CEE">
        <w:rPr>
          <w:rFonts w:eastAsia="Calibri" w:cs="Arial"/>
          <w:lang w:eastAsia="en-US"/>
        </w:rPr>
        <w:t xml:space="preserve"> del artículo 4 del Proyecto de Reglamentación remitida;</w:t>
      </w:r>
    </w:p>
    <w:p w:rsidR="00A83CEE" w:rsidRDefault="00540224" w:rsidP="00540224">
      <w:pPr>
        <w:ind w:firstLine="2977"/>
        <w:jc w:val="both"/>
        <w:rPr>
          <w:rFonts w:eastAsia="Calibri" w:cs="Arial"/>
          <w:lang w:eastAsia="en-US"/>
        </w:rPr>
      </w:pPr>
      <w:r>
        <w:rPr>
          <w:rFonts w:eastAsia="Calibri" w:cs="Arial"/>
          <w:b/>
          <w:lang w:eastAsia="en-US"/>
        </w:rPr>
        <w:t xml:space="preserve"> </w:t>
      </w:r>
      <w:r w:rsidR="00A83CEE" w:rsidRPr="00C326A0">
        <w:rPr>
          <w:rFonts w:eastAsia="Calibri" w:cs="Arial"/>
          <w:b/>
          <w:lang w:eastAsia="en-US"/>
        </w:rPr>
        <w:t>6)</w:t>
      </w:r>
      <w:r w:rsidR="00A83CEE">
        <w:rPr>
          <w:rFonts w:eastAsia="Calibri" w:cs="Arial"/>
          <w:lang w:eastAsia="en-US"/>
        </w:rPr>
        <w:t xml:space="preserve"> que asimismo, el referido artículo 4 del Proyecto de Reglamentación, en su inciso 1 refiere a un procedimiento que</w:t>
      </w:r>
      <w:r>
        <w:rPr>
          <w:rFonts w:eastAsia="Calibri" w:cs="Arial"/>
          <w:lang w:eastAsia="en-US"/>
        </w:rPr>
        <w:t xml:space="preserve"> no se explicita ni se remite;</w:t>
      </w:r>
    </w:p>
    <w:p w:rsidR="0097719A" w:rsidRDefault="0097719A" w:rsidP="00540224">
      <w:pPr>
        <w:ind w:firstLine="851"/>
        <w:jc w:val="both"/>
      </w:pPr>
      <w:r>
        <w:rPr>
          <w:b/>
          <w:bCs/>
        </w:rPr>
        <w:t>ATENTO</w:t>
      </w:r>
      <w:r w:rsidR="00540224">
        <w:rPr>
          <w:b/>
          <w:bCs/>
        </w:rPr>
        <w:t>:</w:t>
      </w:r>
      <w:r>
        <w:rPr>
          <w:b/>
          <w:bCs/>
        </w:rPr>
        <w:t xml:space="preserve"> </w:t>
      </w:r>
      <w:r>
        <w:t>a lo precedentemente expuesto</w:t>
      </w:r>
      <w:r w:rsidR="00E9457D">
        <w:t xml:space="preserve"> y a lo establecido</w:t>
      </w:r>
      <w:r w:rsidR="004061C8">
        <w:t xml:space="preserve"> en el </w:t>
      </w:r>
      <w:r w:rsidR="00491BEF">
        <w:t>A</w:t>
      </w:r>
      <w:r w:rsidR="004061C8">
        <w:t xml:space="preserve">rtículo 228 y </w:t>
      </w:r>
      <w:r w:rsidR="00FE5DBF">
        <w:t xml:space="preserve">el </w:t>
      </w:r>
      <w:r w:rsidR="00491BEF">
        <w:t>L</w:t>
      </w:r>
      <w:r w:rsidR="00FE5DBF">
        <w:t>iteral E</w:t>
      </w:r>
      <w:r w:rsidR="004061C8">
        <w:t xml:space="preserve">) del </w:t>
      </w:r>
      <w:r w:rsidR="00491BEF">
        <w:t>A</w:t>
      </w:r>
      <w:r w:rsidR="004061C8">
        <w:t xml:space="preserve">rtículo 211 de la Constitución de la República y </w:t>
      </w:r>
      <w:r w:rsidR="00E9457D">
        <w:t xml:space="preserve"> en la Ordenanza Nº 90 de este Tribunal de fecha 2 de mayo de 2018</w:t>
      </w:r>
      <w:r>
        <w:t>;</w:t>
      </w:r>
    </w:p>
    <w:p w:rsidR="0097719A" w:rsidRDefault="0097719A" w:rsidP="0097719A">
      <w:pPr>
        <w:pStyle w:val="Ttulo1"/>
      </w:pPr>
      <w:r>
        <w:t>EL TRIBUNAL ACUERDA</w:t>
      </w:r>
    </w:p>
    <w:p w:rsidR="00E9457D" w:rsidRDefault="00491BEF" w:rsidP="00491BEF">
      <w:pPr>
        <w:ind w:left="284" w:hanging="284"/>
        <w:jc w:val="both"/>
      </w:pPr>
      <w:r w:rsidRPr="00491BEF">
        <w:rPr>
          <w:b/>
        </w:rPr>
        <w:t>1)</w:t>
      </w:r>
      <w:r>
        <w:t xml:space="preserve"> </w:t>
      </w:r>
      <w:r w:rsidR="00E9457D">
        <w:t>Expedirse en los términos de los Considerandos</w:t>
      </w:r>
      <w:r w:rsidR="00C326A0">
        <w:t xml:space="preserve"> 2 a 6</w:t>
      </w:r>
      <w:r w:rsidR="00E9457D">
        <w:t xml:space="preserve"> de la presente </w:t>
      </w:r>
      <w:r>
        <w:t xml:space="preserve"> </w:t>
      </w:r>
      <w:r w:rsidR="00E9457D">
        <w:t>Resolución;</w:t>
      </w:r>
    </w:p>
    <w:p w:rsidR="00491BEF" w:rsidRDefault="00491BEF" w:rsidP="00491BEF">
      <w:pPr>
        <w:ind w:left="284" w:hanging="284"/>
        <w:jc w:val="both"/>
      </w:pPr>
      <w:r w:rsidRPr="00491BEF">
        <w:rPr>
          <w:b/>
        </w:rPr>
        <w:t>2)</w:t>
      </w:r>
      <w:r>
        <w:t xml:space="preserve"> </w:t>
      </w:r>
      <w:r w:rsidR="00E9457D">
        <w:t>Señalar que ajustado el texto de la reglamentación de acuerdo con lo expresado en los Considerandos referidos, deberá remitirse nuevamente a este Tribunal a sus efectos;</w:t>
      </w:r>
      <w:r>
        <w:t xml:space="preserve"> y</w:t>
      </w:r>
    </w:p>
    <w:p w:rsidR="0097719A" w:rsidRDefault="00491BEF" w:rsidP="00491BEF">
      <w:pPr>
        <w:ind w:left="284" w:hanging="284"/>
        <w:jc w:val="both"/>
      </w:pPr>
      <w:r>
        <w:rPr>
          <w:b/>
        </w:rPr>
        <w:t xml:space="preserve">3) </w:t>
      </w:r>
      <w:r w:rsidR="0097719A">
        <w:t>Comunicar al Organismo actuante y al Contador Delegado</w:t>
      </w:r>
      <w:r>
        <w:t>.</w:t>
      </w:r>
    </w:p>
    <w:p w:rsidR="00491BEF" w:rsidRDefault="00491BEF" w:rsidP="00491BEF">
      <w:pPr>
        <w:ind w:left="284" w:hanging="284"/>
        <w:jc w:val="both"/>
      </w:pPr>
    </w:p>
    <w:p w:rsidR="00491BEF" w:rsidRDefault="00491BEF" w:rsidP="00491BEF">
      <w:pPr>
        <w:ind w:left="284" w:hanging="284"/>
        <w:jc w:val="both"/>
      </w:pPr>
    </w:p>
    <w:p w:rsidR="00491BEF" w:rsidRDefault="00491BEF" w:rsidP="00491BEF">
      <w:pPr>
        <w:ind w:left="284" w:hanging="284"/>
        <w:jc w:val="both"/>
      </w:pPr>
    </w:p>
    <w:p w:rsidR="00491BEF" w:rsidRDefault="00491BEF" w:rsidP="00491BEF">
      <w:pPr>
        <w:ind w:left="284" w:hanging="284"/>
        <w:jc w:val="both"/>
      </w:pPr>
    </w:p>
    <w:p w:rsidR="00491BEF" w:rsidRDefault="00491BEF" w:rsidP="00491BEF">
      <w:pPr>
        <w:ind w:left="284" w:hanging="284"/>
        <w:jc w:val="both"/>
      </w:pPr>
      <w:proofErr w:type="spellStart"/>
      <w:proofErr w:type="gramStart"/>
      <w:r>
        <w:t>cr</w:t>
      </w:r>
      <w:proofErr w:type="spellEnd"/>
      <w:proofErr w:type="gramEnd"/>
    </w:p>
    <w:sectPr w:rsidR="00491BEF" w:rsidSect="009D322A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83156"/>
    <w:multiLevelType w:val="hybridMultilevel"/>
    <w:tmpl w:val="7CD44B56"/>
    <w:lvl w:ilvl="0" w:tplc="8F8EC3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9A"/>
    <w:rsid w:val="00017F9F"/>
    <w:rsid w:val="0004703F"/>
    <w:rsid w:val="000C6022"/>
    <w:rsid w:val="00107431"/>
    <w:rsid w:val="001822BD"/>
    <w:rsid w:val="001B6F7E"/>
    <w:rsid w:val="00204F0C"/>
    <w:rsid w:val="002B0C50"/>
    <w:rsid w:val="004061C8"/>
    <w:rsid w:val="00491BEF"/>
    <w:rsid w:val="004D41DF"/>
    <w:rsid w:val="00540224"/>
    <w:rsid w:val="005421E3"/>
    <w:rsid w:val="007167C3"/>
    <w:rsid w:val="00773617"/>
    <w:rsid w:val="008F52BE"/>
    <w:rsid w:val="00951F64"/>
    <w:rsid w:val="0097719A"/>
    <w:rsid w:val="00982962"/>
    <w:rsid w:val="009D322A"/>
    <w:rsid w:val="009D4407"/>
    <w:rsid w:val="009D4CA3"/>
    <w:rsid w:val="00A808DC"/>
    <w:rsid w:val="00A83CEE"/>
    <w:rsid w:val="00AE2808"/>
    <w:rsid w:val="00B04741"/>
    <w:rsid w:val="00B14E19"/>
    <w:rsid w:val="00C326A0"/>
    <w:rsid w:val="00C52154"/>
    <w:rsid w:val="00CA46BF"/>
    <w:rsid w:val="00D11E0E"/>
    <w:rsid w:val="00D56FDB"/>
    <w:rsid w:val="00E9457D"/>
    <w:rsid w:val="00F0617C"/>
    <w:rsid w:val="00F1516B"/>
    <w:rsid w:val="00FC77F7"/>
    <w:rsid w:val="00FE15D5"/>
    <w:rsid w:val="00FE5DBF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19A"/>
    <w:pPr>
      <w:spacing w:after="0" w:line="36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7719A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7719A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97719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91B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32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22A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19A"/>
    <w:pPr>
      <w:spacing w:after="0" w:line="36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7719A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7719A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97719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91B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32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22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918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5</cp:revision>
  <cp:lastPrinted>2018-10-11T17:51:00Z</cp:lastPrinted>
  <dcterms:created xsi:type="dcterms:W3CDTF">2018-10-11T17:51:00Z</dcterms:created>
  <dcterms:modified xsi:type="dcterms:W3CDTF">2018-11-29T17:08:00Z</dcterms:modified>
</cp:coreProperties>
</file>