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0C" w:rsidRPr="00786EEB" w:rsidRDefault="00465E0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3301/18</w:t>
      </w:r>
    </w:p>
    <w:p w:rsidR="00465E0C" w:rsidRPr="00465E0C" w:rsidRDefault="00465E0C" w:rsidP="00465E0C">
      <w:pPr>
        <w:tabs>
          <w:tab w:val="center" w:pos="4253"/>
        </w:tabs>
        <w:suppressAutoHyphens/>
        <w:spacing w:after="0" w:line="240" w:lineRule="auto"/>
        <w:jc w:val="center"/>
        <w:rPr>
          <w:rFonts w:ascii="Arial" w:hAnsi="Arial" w:cs="Arial"/>
          <w:b/>
          <w:sz w:val="24"/>
          <w:szCs w:val="24"/>
          <w:lang w:val="es-ES_tradnl"/>
        </w:rPr>
      </w:pPr>
      <w:r w:rsidRPr="00465E0C">
        <w:rPr>
          <w:rFonts w:ascii="Arial" w:hAnsi="Arial" w:cs="Arial"/>
          <w:b/>
          <w:sz w:val="24"/>
          <w:szCs w:val="24"/>
          <w:lang w:val="es-ES_tradnl"/>
        </w:rPr>
        <w:t>RESOLUCION ADOPTADA POR EL</w:t>
      </w:r>
    </w:p>
    <w:p w:rsidR="00465E0C" w:rsidRPr="00465E0C" w:rsidRDefault="00465E0C" w:rsidP="00465E0C">
      <w:pPr>
        <w:tabs>
          <w:tab w:val="left" w:pos="-720"/>
        </w:tabs>
        <w:suppressAutoHyphens/>
        <w:spacing w:after="0" w:line="240" w:lineRule="auto"/>
        <w:jc w:val="center"/>
        <w:rPr>
          <w:rFonts w:ascii="Arial" w:hAnsi="Arial" w:cs="Arial"/>
          <w:b/>
          <w:sz w:val="24"/>
          <w:szCs w:val="24"/>
          <w:lang w:val="es-ES_tradnl"/>
        </w:rPr>
      </w:pPr>
    </w:p>
    <w:p w:rsidR="00465E0C" w:rsidRPr="00465E0C" w:rsidRDefault="00465E0C" w:rsidP="00465E0C">
      <w:pPr>
        <w:tabs>
          <w:tab w:val="center" w:pos="4253"/>
        </w:tabs>
        <w:suppressAutoHyphens/>
        <w:spacing w:after="0" w:line="240" w:lineRule="auto"/>
        <w:jc w:val="center"/>
        <w:rPr>
          <w:rFonts w:ascii="Arial" w:hAnsi="Arial" w:cs="Arial"/>
          <w:b/>
          <w:sz w:val="24"/>
          <w:szCs w:val="24"/>
          <w:lang w:val="es-ES_tradnl"/>
        </w:rPr>
      </w:pPr>
      <w:r w:rsidRPr="00465E0C">
        <w:rPr>
          <w:rFonts w:ascii="Arial" w:hAnsi="Arial" w:cs="Arial"/>
          <w:b/>
          <w:sz w:val="24"/>
          <w:szCs w:val="24"/>
          <w:lang w:val="es-ES_tradnl"/>
        </w:rPr>
        <w:t>TRIBUNAL DE CUENTAS</w:t>
      </w:r>
    </w:p>
    <w:p w:rsidR="00465E0C" w:rsidRPr="00465E0C" w:rsidRDefault="00465E0C" w:rsidP="00465E0C">
      <w:pPr>
        <w:tabs>
          <w:tab w:val="left" w:pos="-720"/>
        </w:tabs>
        <w:suppressAutoHyphens/>
        <w:spacing w:after="0" w:line="240" w:lineRule="auto"/>
        <w:jc w:val="center"/>
        <w:rPr>
          <w:rFonts w:ascii="Arial" w:hAnsi="Arial" w:cs="Arial"/>
          <w:b/>
          <w:sz w:val="24"/>
          <w:szCs w:val="24"/>
          <w:lang w:val="es-ES_tradnl"/>
        </w:rPr>
      </w:pPr>
    </w:p>
    <w:p w:rsidR="00465E0C" w:rsidRPr="00465E0C" w:rsidRDefault="00465E0C" w:rsidP="00465E0C">
      <w:pPr>
        <w:tabs>
          <w:tab w:val="center" w:pos="4253"/>
        </w:tabs>
        <w:suppressAutoHyphens/>
        <w:spacing w:after="0" w:line="240" w:lineRule="auto"/>
        <w:jc w:val="center"/>
        <w:rPr>
          <w:rFonts w:ascii="Arial" w:hAnsi="Arial" w:cs="Arial"/>
          <w:b/>
          <w:sz w:val="24"/>
          <w:szCs w:val="24"/>
          <w:lang w:val="es-ES_tradnl"/>
        </w:rPr>
      </w:pPr>
      <w:r w:rsidRPr="00465E0C">
        <w:rPr>
          <w:rFonts w:ascii="Arial" w:hAnsi="Arial" w:cs="Arial"/>
          <w:b/>
          <w:sz w:val="24"/>
          <w:szCs w:val="24"/>
          <w:lang w:val="es-ES_tradnl"/>
        </w:rPr>
        <w:t xml:space="preserve">EN SESION DE FECHA 24 DE OCTUBRE </w:t>
      </w:r>
      <w:r w:rsidRPr="00465E0C">
        <w:rPr>
          <w:rFonts w:ascii="Helvetica" w:hAnsi="Helvetica"/>
          <w:b/>
          <w:sz w:val="24"/>
          <w:szCs w:val="24"/>
          <w:lang w:val="es-ES_tradnl"/>
        </w:rPr>
        <w:t>DE 2018</w:t>
      </w:r>
    </w:p>
    <w:p w:rsidR="00465E0C" w:rsidRPr="00465E0C" w:rsidRDefault="00465E0C" w:rsidP="00465E0C">
      <w:pPr>
        <w:tabs>
          <w:tab w:val="center" w:pos="4253"/>
        </w:tabs>
        <w:suppressAutoHyphens/>
        <w:spacing w:after="0" w:line="240" w:lineRule="auto"/>
        <w:jc w:val="center"/>
        <w:rPr>
          <w:rFonts w:ascii="Arial" w:hAnsi="Arial" w:cs="Arial"/>
          <w:b/>
          <w:sz w:val="24"/>
          <w:szCs w:val="24"/>
          <w:lang w:val="es-ES_tradnl"/>
        </w:rPr>
      </w:pPr>
    </w:p>
    <w:p w:rsidR="00465E0C" w:rsidRPr="00465E0C" w:rsidRDefault="00465E0C" w:rsidP="00465E0C">
      <w:pPr>
        <w:tabs>
          <w:tab w:val="center" w:pos="4253"/>
        </w:tabs>
        <w:suppressAutoHyphens/>
        <w:spacing w:after="0" w:line="240" w:lineRule="auto"/>
        <w:jc w:val="center"/>
        <w:rPr>
          <w:rFonts w:ascii="Arial" w:hAnsi="Arial" w:cs="Arial"/>
          <w:b/>
          <w:sz w:val="24"/>
          <w:szCs w:val="24"/>
          <w:lang w:val="en-US"/>
        </w:rPr>
      </w:pPr>
      <w:r w:rsidRPr="00465E0C">
        <w:rPr>
          <w:rFonts w:ascii="Arial" w:hAnsi="Arial" w:cs="Arial"/>
          <w:b/>
          <w:sz w:val="24"/>
          <w:szCs w:val="24"/>
          <w:lang w:val="en-US"/>
        </w:rPr>
        <w:t xml:space="preserve">(E. E. Nº </w:t>
      </w:r>
      <w:r>
        <w:rPr>
          <w:rFonts w:ascii="Arial" w:hAnsi="Arial" w:cs="Arial"/>
          <w:b/>
          <w:sz w:val="24"/>
          <w:szCs w:val="24"/>
          <w:lang w:val="en-US"/>
        </w:rPr>
        <w:t>2018-17-1-0005768</w:t>
      </w:r>
      <w:r w:rsidRPr="00465E0C">
        <w:rPr>
          <w:rFonts w:ascii="Arial" w:hAnsi="Arial" w:cs="Arial"/>
          <w:b/>
          <w:sz w:val="24"/>
          <w:szCs w:val="24"/>
          <w:lang w:val="en-US"/>
        </w:rPr>
        <w:t xml:space="preserve">, Ent. N° </w:t>
      </w:r>
      <w:r>
        <w:rPr>
          <w:rFonts w:ascii="Arial" w:hAnsi="Arial" w:cs="Arial"/>
          <w:b/>
          <w:sz w:val="24"/>
          <w:szCs w:val="24"/>
          <w:lang w:val="en-US"/>
        </w:rPr>
        <w:t>4454/18</w:t>
      </w:r>
      <w:r w:rsidRPr="00465E0C">
        <w:rPr>
          <w:rFonts w:ascii="Arial" w:hAnsi="Arial" w:cs="Arial"/>
          <w:b/>
          <w:sz w:val="24"/>
          <w:szCs w:val="24"/>
          <w:lang w:val="en-US"/>
        </w:rPr>
        <w:t>)</w:t>
      </w:r>
    </w:p>
    <w:p w:rsidR="00465E0C" w:rsidRDefault="00465E0C" w:rsidP="00F11E1A">
      <w:pPr>
        <w:spacing w:line="360" w:lineRule="auto"/>
        <w:jc w:val="both"/>
        <w:rPr>
          <w:rFonts w:ascii="Arial" w:hAnsi="Arial" w:cs="Arial"/>
          <w:b/>
          <w:sz w:val="24"/>
          <w:szCs w:val="24"/>
        </w:rPr>
      </w:pPr>
    </w:p>
    <w:p w:rsidR="00465E0C" w:rsidRDefault="00F11E1A" w:rsidP="00465E0C">
      <w:pPr>
        <w:spacing w:after="0" w:line="360" w:lineRule="auto"/>
        <w:ind w:firstLine="851"/>
        <w:jc w:val="both"/>
        <w:rPr>
          <w:rFonts w:ascii="Arial" w:hAnsi="Arial" w:cs="Arial"/>
          <w:sz w:val="24"/>
          <w:szCs w:val="24"/>
        </w:rPr>
      </w:pPr>
      <w:r w:rsidRPr="00F11E1A">
        <w:rPr>
          <w:rFonts w:ascii="Arial" w:hAnsi="Arial" w:cs="Arial"/>
          <w:b/>
          <w:sz w:val="24"/>
          <w:szCs w:val="24"/>
        </w:rPr>
        <w:t>VISTO</w:t>
      </w:r>
      <w:r w:rsidR="00D3495A">
        <w:rPr>
          <w:rFonts w:ascii="Arial" w:hAnsi="Arial" w:cs="Arial"/>
          <w:b/>
          <w:sz w:val="24"/>
          <w:szCs w:val="24"/>
        </w:rPr>
        <w:t>:</w:t>
      </w:r>
      <w:r w:rsidR="00465E0C">
        <w:rPr>
          <w:rFonts w:ascii="Arial" w:hAnsi="Arial" w:cs="Arial"/>
          <w:sz w:val="24"/>
          <w:szCs w:val="24"/>
        </w:rPr>
        <w:t xml:space="preserve"> el Oficio N°</w:t>
      </w:r>
      <w:r>
        <w:rPr>
          <w:rFonts w:ascii="Arial" w:hAnsi="Arial" w:cs="Arial"/>
          <w:sz w:val="24"/>
          <w:szCs w:val="24"/>
        </w:rPr>
        <w:t xml:space="preserve"> 135/2018 de fecha 10/9/18, remitido por la Direc</w:t>
      </w:r>
      <w:r w:rsidR="00465E0C">
        <w:rPr>
          <w:rFonts w:ascii="Arial" w:hAnsi="Arial" w:cs="Arial"/>
          <w:sz w:val="24"/>
          <w:szCs w:val="24"/>
        </w:rPr>
        <w:softHyphen/>
      </w:r>
      <w:r>
        <w:rPr>
          <w:rFonts w:ascii="Arial" w:hAnsi="Arial" w:cs="Arial"/>
          <w:sz w:val="24"/>
          <w:szCs w:val="24"/>
        </w:rPr>
        <w:t xml:space="preserve">ción General de Casinos (D.G.C.), </w:t>
      </w:r>
      <w:r w:rsidR="00D3495A">
        <w:rPr>
          <w:rFonts w:ascii="Arial" w:hAnsi="Arial" w:cs="Arial"/>
          <w:sz w:val="24"/>
          <w:szCs w:val="24"/>
        </w:rPr>
        <w:t>relacionado con</w:t>
      </w:r>
      <w:r>
        <w:rPr>
          <w:rFonts w:ascii="Arial" w:hAnsi="Arial" w:cs="Arial"/>
          <w:sz w:val="24"/>
          <w:szCs w:val="24"/>
        </w:rPr>
        <w:t xml:space="preserve"> las observaciones efectuadas por </w:t>
      </w:r>
      <w:r w:rsidR="00D3495A">
        <w:rPr>
          <w:rFonts w:ascii="Arial" w:hAnsi="Arial" w:cs="Arial"/>
          <w:sz w:val="24"/>
          <w:szCs w:val="24"/>
        </w:rPr>
        <w:t>el</w:t>
      </w:r>
      <w:r>
        <w:rPr>
          <w:rFonts w:ascii="Arial" w:hAnsi="Arial" w:cs="Arial"/>
          <w:sz w:val="24"/>
          <w:szCs w:val="24"/>
        </w:rPr>
        <w:t xml:space="preserve"> Tribunal </w:t>
      </w:r>
      <w:r w:rsidR="00D3495A">
        <w:rPr>
          <w:rFonts w:ascii="Arial" w:hAnsi="Arial" w:cs="Arial"/>
          <w:sz w:val="24"/>
          <w:szCs w:val="24"/>
        </w:rPr>
        <w:t xml:space="preserve">de Cuentas </w:t>
      </w:r>
      <w:r w:rsidR="00465E0C">
        <w:rPr>
          <w:rFonts w:ascii="Arial" w:hAnsi="Arial" w:cs="Arial"/>
          <w:sz w:val="24"/>
          <w:szCs w:val="24"/>
        </w:rPr>
        <w:t>al p</w:t>
      </w:r>
      <w:r>
        <w:rPr>
          <w:rFonts w:ascii="Arial" w:hAnsi="Arial" w:cs="Arial"/>
          <w:sz w:val="24"/>
          <w:szCs w:val="24"/>
        </w:rPr>
        <w:t>royecto de Presupuesto de dicho órgano, cor</w:t>
      </w:r>
      <w:r w:rsidR="00465E0C">
        <w:rPr>
          <w:rFonts w:ascii="Arial" w:hAnsi="Arial" w:cs="Arial"/>
          <w:sz w:val="24"/>
          <w:szCs w:val="24"/>
        </w:rPr>
        <w:t>respondiente al Ejercicio 2019;</w:t>
      </w:r>
    </w:p>
    <w:p w:rsidR="00D3495A" w:rsidRDefault="00F11E1A" w:rsidP="00465E0C">
      <w:pPr>
        <w:spacing w:after="0" w:line="360" w:lineRule="auto"/>
        <w:ind w:firstLine="851"/>
        <w:jc w:val="both"/>
        <w:rPr>
          <w:rFonts w:ascii="Arial" w:hAnsi="Arial" w:cs="Arial"/>
          <w:sz w:val="24"/>
          <w:szCs w:val="24"/>
        </w:rPr>
      </w:pPr>
      <w:r w:rsidRPr="00F11E1A">
        <w:rPr>
          <w:rFonts w:ascii="Arial" w:hAnsi="Arial" w:cs="Arial"/>
          <w:b/>
          <w:sz w:val="24"/>
          <w:szCs w:val="24"/>
        </w:rPr>
        <w:t xml:space="preserve">RESULTANDO: 1) </w:t>
      </w:r>
      <w:r w:rsidRPr="00F11E1A">
        <w:rPr>
          <w:rFonts w:ascii="Arial" w:hAnsi="Arial" w:cs="Arial"/>
          <w:sz w:val="24"/>
          <w:szCs w:val="24"/>
        </w:rPr>
        <w:t>que</w:t>
      </w:r>
      <w:r w:rsidRPr="00F11E1A">
        <w:rPr>
          <w:rFonts w:ascii="Arial" w:hAnsi="Arial" w:cs="Arial"/>
          <w:b/>
          <w:sz w:val="24"/>
          <w:szCs w:val="24"/>
        </w:rPr>
        <w:t xml:space="preserve"> </w:t>
      </w:r>
      <w:r w:rsidRPr="00F11E1A">
        <w:rPr>
          <w:rFonts w:ascii="Arial" w:hAnsi="Arial" w:cs="Arial"/>
          <w:sz w:val="24"/>
          <w:szCs w:val="24"/>
        </w:rPr>
        <w:t>es</w:t>
      </w:r>
      <w:r w:rsidR="00465E0C">
        <w:rPr>
          <w:rFonts w:ascii="Arial" w:hAnsi="Arial" w:cs="Arial"/>
          <w:sz w:val="24"/>
          <w:szCs w:val="24"/>
        </w:rPr>
        <w:t>te Tribunal en S</w:t>
      </w:r>
      <w:r>
        <w:rPr>
          <w:rFonts w:ascii="Arial" w:hAnsi="Arial" w:cs="Arial"/>
          <w:sz w:val="24"/>
          <w:szCs w:val="24"/>
        </w:rPr>
        <w:t>esión de fecha 2</w:t>
      </w:r>
      <w:r w:rsidR="00465E0C">
        <w:rPr>
          <w:rFonts w:ascii="Arial" w:hAnsi="Arial" w:cs="Arial"/>
          <w:sz w:val="24"/>
          <w:szCs w:val="24"/>
        </w:rPr>
        <w:t>9/8/18, observó el proyecto de P</w:t>
      </w:r>
      <w:r>
        <w:rPr>
          <w:rFonts w:ascii="Arial" w:hAnsi="Arial" w:cs="Arial"/>
          <w:sz w:val="24"/>
          <w:szCs w:val="24"/>
        </w:rPr>
        <w:t>resupuesto</w:t>
      </w:r>
      <w:r w:rsidR="00D3495A">
        <w:rPr>
          <w:rFonts w:ascii="Arial" w:hAnsi="Arial" w:cs="Arial"/>
          <w:sz w:val="24"/>
          <w:szCs w:val="24"/>
        </w:rPr>
        <w:t xml:space="preserve"> de la Administración actuante</w:t>
      </w:r>
      <w:r>
        <w:rPr>
          <w:rFonts w:ascii="Arial" w:hAnsi="Arial" w:cs="Arial"/>
          <w:sz w:val="24"/>
          <w:szCs w:val="24"/>
        </w:rPr>
        <w:t>, en</w:t>
      </w:r>
      <w:r w:rsidR="00465E0C">
        <w:rPr>
          <w:rFonts w:ascii="Arial" w:hAnsi="Arial" w:cs="Arial"/>
          <w:sz w:val="24"/>
          <w:szCs w:val="24"/>
        </w:rPr>
        <w:t xml:space="preserve"> virtud de lo expresado en los N</w:t>
      </w:r>
      <w:r>
        <w:rPr>
          <w:rFonts w:ascii="Arial" w:hAnsi="Arial" w:cs="Arial"/>
          <w:sz w:val="24"/>
          <w:szCs w:val="24"/>
        </w:rPr>
        <w:t>umerales 3.8) y 3.9) del</w:t>
      </w:r>
      <w:r w:rsidR="00D3495A">
        <w:rPr>
          <w:rFonts w:ascii="Arial" w:hAnsi="Arial" w:cs="Arial"/>
          <w:sz w:val="24"/>
          <w:szCs w:val="24"/>
        </w:rPr>
        <w:t xml:space="preserve"> respectivo </w:t>
      </w:r>
      <w:r>
        <w:rPr>
          <w:rFonts w:ascii="Arial" w:hAnsi="Arial" w:cs="Arial"/>
          <w:sz w:val="24"/>
          <w:szCs w:val="24"/>
        </w:rPr>
        <w:t>Dictamen</w:t>
      </w:r>
      <w:r w:rsidR="00D3495A">
        <w:rPr>
          <w:rFonts w:ascii="Arial" w:hAnsi="Arial" w:cs="Arial"/>
          <w:sz w:val="24"/>
          <w:szCs w:val="24"/>
        </w:rPr>
        <w:t>, a saber:</w:t>
      </w:r>
    </w:p>
    <w:p w:rsidR="00F11E1A" w:rsidRPr="00D3495A" w:rsidRDefault="00D3495A" w:rsidP="00465E0C">
      <w:pPr>
        <w:spacing w:after="0" w:line="360" w:lineRule="auto"/>
        <w:jc w:val="both"/>
        <w:rPr>
          <w:rFonts w:ascii="Arial" w:hAnsi="Arial" w:cs="Arial"/>
          <w:i/>
          <w:sz w:val="24"/>
          <w:szCs w:val="24"/>
        </w:rPr>
      </w:pPr>
      <w:r w:rsidRPr="00D3495A">
        <w:rPr>
          <w:rFonts w:ascii="Arial" w:hAnsi="Arial" w:cs="Arial"/>
          <w:i/>
          <w:sz w:val="24"/>
          <w:szCs w:val="24"/>
        </w:rPr>
        <w:t>“</w:t>
      </w:r>
      <w:r w:rsidR="00F11E1A" w:rsidRPr="00D3495A">
        <w:rPr>
          <w:rFonts w:ascii="Arial" w:hAnsi="Arial" w:cs="Arial"/>
          <w:i/>
          <w:sz w:val="24"/>
          <w:szCs w:val="24"/>
        </w:rPr>
        <w:t xml:space="preserve">3.8) Respecto al cumplimiento a lo previsto en la Ordenanza No. 88 de este Tribunal, relativa a la conformidad técnica de los proyectos en la etapa de pre inversión, se verificó que dos proyectos en curso de la Dirección General de Casinos no cuentan con informe de Conformidad Técnica CT. </w:t>
      </w:r>
    </w:p>
    <w:p w:rsidR="00465E0C" w:rsidRDefault="009968B2" w:rsidP="00465E0C">
      <w:pPr>
        <w:spacing w:after="0" w:line="360" w:lineRule="auto"/>
        <w:jc w:val="both"/>
        <w:rPr>
          <w:rFonts w:ascii="Arial" w:hAnsi="Arial" w:cs="Arial"/>
          <w:i/>
          <w:sz w:val="24"/>
          <w:szCs w:val="24"/>
        </w:rPr>
      </w:pPr>
      <w:r>
        <w:rPr>
          <w:rFonts w:ascii="Arial" w:hAnsi="Arial" w:cs="Arial"/>
          <w:i/>
          <w:sz w:val="24"/>
          <w:szCs w:val="24"/>
        </w:rPr>
        <w:t>3.9) El A</w:t>
      </w:r>
      <w:bookmarkStart w:id="0" w:name="_GoBack"/>
      <w:bookmarkEnd w:id="0"/>
      <w:r w:rsidR="00F11E1A" w:rsidRPr="00D3495A">
        <w:rPr>
          <w:rFonts w:ascii="Arial" w:hAnsi="Arial" w:cs="Arial"/>
          <w:i/>
          <w:sz w:val="24"/>
          <w:szCs w:val="24"/>
        </w:rPr>
        <w:t>rtículo 37 del proyecto de  presupuesto, no reglamenta la partida allí indicada para garantizar y otorgar premios. Cabe señalar que la percepción de las partidas previstas por las normas presupuestales remitidas, su monto o los beneficiarios, no pueden supeditarse a reglamentaciones posteriores del Directorio, debiendo estar precisadas en la norma presupuestal</w:t>
      </w:r>
      <w:r w:rsidR="00D3495A">
        <w:rPr>
          <w:rFonts w:ascii="Arial" w:hAnsi="Arial" w:cs="Arial"/>
          <w:i/>
          <w:sz w:val="24"/>
          <w:szCs w:val="24"/>
        </w:rPr>
        <w:t>”</w:t>
      </w:r>
      <w:r w:rsidR="00F11E1A" w:rsidRPr="00D3495A">
        <w:rPr>
          <w:rFonts w:ascii="Arial" w:hAnsi="Arial" w:cs="Arial"/>
          <w:i/>
          <w:sz w:val="24"/>
          <w:szCs w:val="24"/>
        </w:rPr>
        <w:t>;</w:t>
      </w:r>
    </w:p>
    <w:p w:rsidR="00465E0C" w:rsidRDefault="00D3495A" w:rsidP="00465E0C">
      <w:pPr>
        <w:spacing w:after="0" w:line="360" w:lineRule="auto"/>
        <w:ind w:firstLine="2835"/>
        <w:jc w:val="both"/>
        <w:rPr>
          <w:rFonts w:ascii="Arial" w:hAnsi="Arial" w:cs="Arial"/>
          <w:sz w:val="24"/>
          <w:szCs w:val="24"/>
        </w:rPr>
      </w:pPr>
      <w:r>
        <w:rPr>
          <w:rFonts w:ascii="Arial" w:hAnsi="Arial" w:cs="Arial"/>
          <w:b/>
          <w:sz w:val="24"/>
          <w:szCs w:val="24"/>
        </w:rPr>
        <w:t>2</w:t>
      </w:r>
      <w:r w:rsidR="00F11E1A" w:rsidRPr="00F11E1A">
        <w:rPr>
          <w:rFonts w:ascii="Arial" w:hAnsi="Arial" w:cs="Arial"/>
          <w:b/>
          <w:sz w:val="24"/>
          <w:szCs w:val="24"/>
        </w:rPr>
        <w:t xml:space="preserve">) </w:t>
      </w:r>
      <w:r w:rsidR="00F11E1A" w:rsidRPr="00F11E1A">
        <w:rPr>
          <w:rFonts w:ascii="Arial" w:hAnsi="Arial" w:cs="Arial"/>
          <w:sz w:val="24"/>
          <w:szCs w:val="24"/>
        </w:rPr>
        <w:t>que</w:t>
      </w:r>
      <w:r>
        <w:rPr>
          <w:rFonts w:ascii="Arial" w:hAnsi="Arial" w:cs="Arial"/>
          <w:sz w:val="24"/>
          <w:szCs w:val="24"/>
        </w:rPr>
        <w:t xml:space="preserve"> mediante el Oficio remitido</w:t>
      </w:r>
      <w:r w:rsidR="00F11E1A" w:rsidRPr="00F11E1A">
        <w:rPr>
          <w:rFonts w:ascii="Arial" w:hAnsi="Arial" w:cs="Arial"/>
          <w:sz w:val="24"/>
          <w:szCs w:val="24"/>
        </w:rPr>
        <w:t xml:space="preserve"> l</w:t>
      </w:r>
      <w:r w:rsidR="00F11E1A">
        <w:rPr>
          <w:rFonts w:ascii="Arial" w:hAnsi="Arial" w:cs="Arial"/>
          <w:sz w:val="24"/>
          <w:szCs w:val="24"/>
        </w:rPr>
        <w:t xml:space="preserve">a D.G.C. solicita el levantamiento de las observaciones, </w:t>
      </w:r>
      <w:r>
        <w:rPr>
          <w:rFonts w:ascii="Arial" w:hAnsi="Arial" w:cs="Arial"/>
          <w:sz w:val="24"/>
          <w:szCs w:val="24"/>
        </w:rPr>
        <w:t>argumentando que</w:t>
      </w:r>
      <w:r w:rsidR="00F11E1A">
        <w:rPr>
          <w:rFonts w:ascii="Arial" w:hAnsi="Arial" w:cs="Arial"/>
          <w:sz w:val="24"/>
          <w:szCs w:val="24"/>
        </w:rPr>
        <w:t>:</w:t>
      </w:r>
    </w:p>
    <w:p w:rsidR="00582E1C" w:rsidRDefault="00465E0C" w:rsidP="00582E1C">
      <w:pPr>
        <w:spacing w:after="0" w:line="360" w:lineRule="auto"/>
        <w:ind w:firstLine="2835"/>
        <w:jc w:val="both"/>
        <w:rPr>
          <w:rFonts w:ascii="Arial" w:hAnsi="Arial" w:cs="Arial"/>
          <w:sz w:val="24"/>
          <w:szCs w:val="24"/>
        </w:rPr>
      </w:pPr>
      <w:r w:rsidRPr="00465E0C">
        <w:rPr>
          <w:rFonts w:ascii="Arial" w:hAnsi="Arial" w:cs="Arial"/>
          <w:b/>
          <w:sz w:val="24"/>
          <w:szCs w:val="24"/>
        </w:rPr>
        <w:t>2.1)</w:t>
      </w:r>
      <w:r w:rsidR="00D3495A">
        <w:rPr>
          <w:rFonts w:ascii="Arial" w:hAnsi="Arial" w:cs="Arial"/>
          <w:sz w:val="24"/>
          <w:szCs w:val="24"/>
        </w:rPr>
        <w:t xml:space="preserve"> e</w:t>
      </w:r>
      <w:r>
        <w:rPr>
          <w:rFonts w:ascii="Arial" w:hAnsi="Arial" w:cs="Arial"/>
          <w:sz w:val="24"/>
          <w:szCs w:val="24"/>
        </w:rPr>
        <w:t>n lo que refiere al N</w:t>
      </w:r>
      <w:r w:rsidR="00F11E1A">
        <w:rPr>
          <w:rFonts w:ascii="Arial" w:hAnsi="Arial" w:cs="Arial"/>
          <w:sz w:val="24"/>
          <w:szCs w:val="24"/>
        </w:rPr>
        <w:t xml:space="preserve">umeral 3.8), señala que es correcto. Uno de los proyectos ya se ha presentado para su análisis, y el otro ya está preparado para su presentación. Se espera contar con su conformidad </w:t>
      </w:r>
      <w:r w:rsidR="00582E1C">
        <w:rPr>
          <w:rFonts w:ascii="Arial" w:hAnsi="Arial" w:cs="Arial"/>
          <w:sz w:val="24"/>
          <w:szCs w:val="24"/>
        </w:rPr>
        <w:lastRenderedPageBreak/>
        <w:t>en el presente E</w:t>
      </w:r>
      <w:r w:rsidR="00F11E1A">
        <w:rPr>
          <w:rFonts w:ascii="Arial" w:hAnsi="Arial" w:cs="Arial"/>
          <w:sz w:val="24"/>
          <w:szCs w:val="24"/>
        </w:rPr>
        <w:t>jercicio, en forma previa a la entrada en vigencia del proyecto elevado</w:t>
      </w:r>
      <w:r w:rsidR="00D3495A">
        <w:rPr>
          <w:rFonts w:ascii="Arial" w:hAnsi="Arial" w:cs="Arial"/>
          <w:sz w:val="24"/>
          <w:szCs w:val="24"/>
        </w:rPr>
        <w:t>;</w:t>
      </w:r>
    </w:p>
    <w:p w:rsidR="00952C8F" w:rsidRDefault="00582E1C" w:rsidP="00952C8F">
      <w:pPr>
        <w:spacing w:after="0" w:line="360" w:lineRule="auto"/>
        <w:ind w:firstLine="2835"/>
        <w:jc w:val="both"/>
        <w:rPr>
          <w:rFonts w:ascii="Arial" w:hAnsi="Arial" w:cs="Arial"/>
          <w:sz w:val="24"/>
          <w:szCs w:val="24"/>
        </w:rPr>
      </w:pPr>
      <w:r w:rsidRPr="00582E1C">
        <w:rPr>
          <w:rFonts w:ascii="Arial" w:hAnsi="Arial" w:cs="Arial"/>
          <w:b/>
          <w:sz w:val="24"/>
          <w:szCs w:val="24"/>
        </w:rPr>
        <w:t>2.2)</w:t>
      </w:r>
      <w:r w:rsidR="00F11E1A">
        <w:rPr>
          <w:rFonts w:ascii="Arial" w:hAnsi="Arial" w:cs="Arial"/>
          <w:sz w:val="24"/>
          <w:szCs w:val="24"/>
        </w:rPr>
        <w:t xml:space="preserve"> </w:t>
      </w:r>
      <w:r w:rsidR="00D3495A">
        <w:rPr>
          <w:rFonts w:ascii="Arial" w:hAnsi="Arial" w:cs="Arial"/>
          <w:sz w:val="24"/>
          <w:szCs w:val="24"/>
        </w:rPr>
        <w:t>e</w:t>
      </w:r>
      <w:r>
        <w:rPr>
          <w:rFonts w:ascii="Arial" w:hAnsi="Arial" w:cs="Arial"/>
          <w:sz w:val="24"/>
          <w:szCs w:val="24"/>
        </w:rPr>
        <w:t>n lo que atañe al N</w:t>
      </w:r>
      <w:r w:rsidR="00F11E1A">
        <w:rPr>
          <w:rFonts w:ascii="Arial" w:hAnsi="Arial" w:cs="Arial"/>
          <w:sz w:val="24"/>
          <w:szCs w:val="24"/>
        </w:rPr>
        <w:t>umeral 3.9)</w:t>
      </w:r>
      <w:r w:rsidR="00D3495A">
        <w:rPr>
          <w:rFonts w:ascii="Arial" w:hAnsi="Arial" w:cs="Arial"/>
          <w:sz w:val="24"/>
          <w:szCs w:val="24"/>
        </w:rPr>
        <w:t>,</w:t>
      </w:r>
      <w:r w:rsidR="00F11E1A">
        <w:rPr>
          <w:rFonts w:ascii="Arial" w:hAnsi="Arial" w:cs="Arial"/>
          <w:sz w:val="24"/>
          <w:szCs w:val="24"/>
        </w:rPr>
        <w:t xml:space="preserve"> se adjunta informe del </w:t>
      </w:r>
      <w:r w:rsidR="00D3495A">
        <w:rPr>
          <w:rFonts w:ascii="Arial" w:hAnsi="Arial" w:cs="Arial"/>
          <w:sz w:val="24"/>
          <w:szCs w:val="24"/>
        </w:rPr>
        <w:t>Á</w:t>
      </w:r>
      <w:r w:rsidR="00952C8F">
        <w:rPr>
          <w:rFonts w:ascii="Arial" w:hAnsi="Arial" w:cs="Arial"/>
          <w:sz w:val="24"/>
          <w:szCs w:val="24"/>
        </w:rPr>
        <w:t>rea Comercial del O</w:t>
      </w:r>
      <w:r w:rsidR="00F11E1A">
        <w:rPr>
          <w:rFonts w:ascii="Arial" w:hAnsi="Arial" w:cs="Arial"/>
          <w:sz w:val="24"/>
          <w:szCs w:val="24"/>
        </w:rPr>
        <w:t>rganismo. En el mismo se hace mención a que el anuncio de u</w:t>
      </w:r>
      <w:r w:rsidR="00612E7B">
        <w:rPr>
          <w:rFonts w:ascii="Arial" w:hAnsi="Arial" w:cs="Arial"/>
          <w:sz w:val="24"/>
          <w:szCs w:val="24"/>
        </w:rPr>
        <w:t>na partida máxima a distribuir a efectos de</w:t>
      </w:r>
      <w:r w:rsidR="00F11E1A">
        <w:rPr>
          <w:rFonts w:ascii="Arial" w:hAnsi="Arial" w:cs="Arial"/>
          <w:sz w:val="24"/>
          <w:szCs w:val="24"/>
        </w:rPr>
        <w:t xml:space="preserve"> asignar premios en torneos, en los distintos juegos que explota la D.G.C., </w:t>
      </w:r>
      <w:r w:rsidR="00D3495A">
        <w:rPr>
          <w:rFonts w:ascii="Arial" w:hAnsi="Arial" w:cs="Arial"/>
          <w:sz w:val="24"/>
          <w:szCs w:val="24"/>
        </w:rPr>
        <w:t>tiene como fin</w:t>
      </w:r>
      <w:r w:rsidR="00612E7B">
        <w:rPr>
          <w:rFonts w:ascii="Arial" w:hAnsi="Arial" w:cs="Arial"/>
          <w:sz w:val="24"/>
          <w:szCs w:val="24"/>
        </w:rPr>
        <w:t>alidad</w:t>
      </w:r>
      <w:r w:rsidR="00F11E1A">
        <w:rPr>
          <w:rFonts w:ascii="Arial" w:hAnsi="Arial" w:cs="Arial"/>
          <w:sz w:val="24"/>
          <w:szCs w:val="24"/>
        </w:rPr>
        <w:t xml:space="preserve"> garantizar el atractivo para incentivar a los clientes. Si no se llega a recaudar dicha suma a través de las inscripciones individuales</w:t>
      </w:r>
      <w:r w:rsidR="00D3495A">
        <w:rPr>
          <w:rFonts w:ascii="Arial" w:hAnsi="Arial" w:cs="Arial"/>
          <w:sz w:val="24"/>
          <w:szCs w:val="24"/>
        </w:rPr>
        <w:t>,</w:t>
      </w:r>
      <w:r w:rsidR="00F11E1A">
        <w:rPr>
          <w:rFonts w:ascii="Arial" w:hAnsi="Arial" w:cs="Arial"/>
          <w:sz w:val="24"/>
          <w:szCs w:val="24"/>
        </w:rPr>
        <w:t xml:space="preserve"> la diferencia se cubre a costo</w:t>
      </w:r>
      <w:r w:rsidR="00952C8F">
        <w:rPr>
          <w:rFonts w:ascii="Arial" w:hAnsi="Arial" w:cs="Arial"/>
          <w:sz w:val="24"/>
          <w:szCs w:val="24"/>
        </w:rPr>
        <w:t xml:space="preserve"> de la partida dispuesta en el A</w:t>
      </w:r>
      <w:r w:rsidR="00F11E1A">
        <w:rPr>
          <w:rFonts w:ascii="Arial" w:hAnsi="Arial" w:cs="Arial"/>
          <w:sz w:val="24"/>
          <w:szCs w:val="24"/>
        </w:rPr>
        <w:t>r</w:t>
      </w:r>
      <w:r w:rsidR="00952C8F">
        <w:rPr>
          <w:rFonts w:ascii="Arial" w:hAnsi="Arial" w:cs="Arial"/>
          <w:sz w:val="24"/>
          <w:szCs w:val="24"/>
        </w:rPr>
        <w:t>tículo 37 del proyecto de P</w:t>
      </w:r>
      <w:r w:rsidR="00F11E1A">
        <w:rPr>
          <w:rFonts w:ascii="Arial" w:hAnsi="Arial" w:cs="Arial"/>
          <w:sz w:val="24"/>
          <w:szCs w:val="24"/>
        </w:rPr>
        <w:t>resupuesto, mediante una transferencia (Grupo 5). A ello se suma la realidad</w:t>
      </w:r>
      <w:r w:rsidR="00D3495A">
        <w:rPr>
          <w:rFonts w:ascii="Arial" w:hAnsi="Arial" w:cs="Arial"/>
          <w:sz w:val="24"/>
          <w:szCs w:val="24"/>
        </w:rPr>
        <w:t xml:space="preserve"> de</w:t>
      </w:r>
      <w:r w:rsidR="00F11E1A">
        <w:rPr>
          <w:rFonts w:ascii="Arial" w:hAnsi="Arial" w:cs="Arial"/>
          <w:sz w:val="24"/>
          <w:szCs w:val="24"/>
        </w:rPr>
        <w:t xml:space="preserve"> alta y baja temporada de los establecimientos. Los montos a utilizar pueden variar desde el equival</w:t>
      </w:r>
      <w:r w:rsidR="00952C8F">
        <w:rPr>
          <w:rFonts w:ascii="Arial" w:hAnsi="Arial" w:cs="Arial"/>
          <w:sz w:val="24"/>
          <w:szCs w:val="24"/>
        </w:rPr>
        <w:t>ente a U$S 1.000, múltiplos de é</w:t>
      </w:r>
      <w:r w:rsidR="00F11E1A">
        <w:rPr>
          <w:rFonts w:ascii="Arial" w:hAnsi="Arial" w:cs="Arial"/>
          <w:sz w:val="24"/>
          <w:szCs w:val="24"/>
        </w:rPr>
        <w:t xml:space="preserve">ste, hasta un máximo de la partida </w:t>
      </w:r>
      <w:r w:rsidR="00952C8F">
        <w:rPr>
          <w:rFonts w:ascii="Arial" w:hAnsi="Arial" w:cs="Arial"/>
          <w:sz w:val="24"/>
          <w:szCs w:val="24"/>
        </w:rPr>
        <w:t>presupuestal establecida en el Artículo;</w:t>
      </w:r>
    </w:p>
    <w:p w:rsidR="00F11E1A" w:rsidRDefault="00D3495A" w:rsidP="00952C8F">
      <w:pPr>
        <w:spacing w:after="0" w:line="360" w:lineRule="auto"/>
        <w:ind w:firstLine="2835"/>
        <w:jc w:val="both"/>
        <w:rPr>
          <w:rFonts w:ascii="Arial" w:hAnsi="Arial" w:cs="Arial"/>
          <w:sz w:val="24"/>
          <w:szCs w:val="24"/>
        </w:rPr>
      </w:pPr>
      <w:r>
        <w:rPr>
          <w:rFonts w:ascii="Arial" w:hAnsi="Arial" w:cs="Arial"/>
          <w:b/>
          <w:sz w:val="24"/>
          <w:szCs w:val="24"/>
        </w:rPr>
        <w:t>3</w:t>
      </w:r>
      <w:r w:rsidR="001272B2" w:rsidRPr="001272B2">
        <w:rPr>
          <w:rFonts w:ascii="Arial" w:hAnsi="Arial" w:cs="Arial"/>
          <w:b/>
          <w:sz w:val="24"/>
          <w:szCs w:val="24"/>
        </w:rPr>
        <w:t xml:space="preserve">) </w:t>
      </w:r>
      <w:r w:rsidR="001272B2">
        <w:rPr>
          <w:rFonts w:ascii="Arial" w:hAnsi="Arial" w:cs="Arial"/>
          <w:sz w:val="24"/>
          <w:szCs w:val="24"/>
        </w:rPr>
        <w:t>que e</w:t>
      </w:r>
      <w:r w:rsidR="00F11E1A">
        <w:rPr>
          <w:rFonts w:ascii="Arial" w:hAnsi="Arial" w:cs="Arial"/>
          <w:sz w:val="24"/>
          <w:szCs w:val="24"/>
        </w:rPr>
        <w:t>n definitiva, la D.G.C. e</w:t>
      </w:r>
      <w:r w:rsidR="001272B2">
        <w:rPr>
          <w:rFonts w:ascii="Arial" w:hAnsi="Arial" w:cs="Arial"/>
          <w:sz w:val="24"/>
          <w:szCs w:val="24"/>
        </w:rPr>
        <w:t xml:space="preserve">xpresa </w:t>
      </w:r>
      <w:r w:rsidR="00F11E1A">
        <w:rPr>
          <w:rFonts w:ascii="Arial" w:hAnsi="Arial" w:cs="Arial"/>
          <w:sz w:val="24"/>
          <w:szCs w:val="24"/>
        </w:rPr>
        <w:t>que existe imposibilidad de contar con los reglamentos específicos en ca</w:t>
      </w:r>
      <w:r w:rsidR="001272B2">
        <w:rPr>
          <w:rFonts w:ascii="Arial" w:hAnsi="Arial" w:cs="Arial"/>
          <w:sz w:val="24"/>
          <w:szCs w:val="24"/>
        </w:rPr>
        <w:t xml:space="preserve">da caso concreto, pero además entiende no </w:t>
      </w:r>
      <w:r w:rsidR="00F11E1A">
        <w:rPr>
          <w:rFonts w:ascii="Arial" w:hAnsi="Arial" w:cs="Arial"/>
          <w:sz w:val="24"/>
          <w:szCs w:val="24"/>
        </w:rPr>
        <w:t>adecuado</w:t>
      </w:r>
      <w:r>
        <w:rPr>
          <w:rFonts w:ascii="Arial" w:hAnsi="Arial" w:cs="Arial"/>
          <w:sz w:val="24"/>
          <w:szCs w:val="24"/>
        </w:rPr>
        <w:t xml:space="preserve"> </w:t>
      </w:r>
      <w:r w:rsidR="00F11E1A">
        <w:rPr>
          <w:rFonts w:ascii="Arial" w:hAnsi="Arial" w:cs="Arial"/>
          <w:sz w:val="24"/>
          <w:szCs w:val="24"/>
        </w:rPr>
        <w:t>que</w:t>
      </w:r>
      <w:r>
        <w:rPr>
          <w:rFonts w:ascii="Arial" w:hAnsi="Arial" w:cs="Arial"/>
          <w:sz w:val="24"/>
          <w:szCs w:val="24"/>
        </w:rPr>
        <w:t xml:space="preserve"> los mismos</w:t>
      </w:r>
      <w:r w:rsidR="00F11E1A">
        <w:rPr>
          <w:rFonts w:ascii="Arial" w:hAnsi="Arial" w:cs="Arial"/>
          <w:sz w:val="24"/>
          <w:szCs w:val="24"/>
        </w:rPr>
        <w:t xml:space="preserve"> formen parte de una norma presupuestal</w:t>
      </w:r>
      <w:r w:rsidR="001272B2">
        <w:rPr>
          <w:rFonts w:ascii="Arial" w:hAnsi="Arial" w:cs="Arial"/>
          <w:sz w:val="24"/>
          <w:szCs w:val="24"/>
        </w:rPr>
        <w:t xml:space="preserve">; </w:t>
      </w:r>
    </w:p>
    <w:p w:rsidR="00952C8F" w:rsidRDefault="001272B2" w:rsidP="00952C8F">
      <w:pPr>
        <w:spacing w:after="0" w:line="360" w:lineRule="auto"/>
        <w:ind w:firstLine="851"/>
        <w:jc w:val="both"/>
        <w:rPr>
          <w:rFonts w:ascii="Arial" w:hAnsi="Arial" w:cs="Arial"/>
          <w:sz w:val="24"/>
          <w:szCs w:val="24"/>
        </w:rPr>
      </w:pPr>
      <w:r w:rsidRPr="001272B2">
        <w:rPr>
          <w:rFonts w:ascii="Arial" w:hAnsi="Arial" w:cs="Arial"/>
          <w:b/>
          <w:sz w:val="24"/>
          <w:szCs w:val="24"/>
        </w:rPr>
        <w:t>CONSIDERANDO: 1)</w:t>
      </w:r>
      <w:r w:rsidRPr="001272B2">
        <w:rPr>
          <w:rFonts w:ascii="Arial" w:hAnsi="Arial" w:cs="Arial"/>
          <w:sz w:val="24"/>
          <w:szCs w:val="24"/>
        </w:rPr>
        <w:t xml:space="preserve"> que </w:t>
      </w:r>
      <w:r>
        <w:rPr>
          <w:rFonts w:ascii="Arial" w:hAnsi="Arial" w:cs="Arial"/>
          <w:sz w:val="24"/>
          <w:szCs w:val="24"/>
        </w:rPr>
        <w:t>e</w:t>
      </w:r>
      <w:r w:rsidR="00F11E1A">
        <w:rPr>
          <w:rFonts w:ascii="Arial" w:hAnsi="Arial" w:cs="Arial"/>
          <w:sz w:val="24"/>
          <w:szCs w:val="24"/>
        </w:rPr>
        <w:t>n cuanto a la observación relacionada con l</w:t>
      </w:r>
      <w:r w:rsidR="00952C8F">
        <w:rPr>
          <w:rFonts w:ascii="Arial" w:hAnsi="Arial" w:cs="Arial"/>
          <w:sz w:val="24"/>
          <w:szCs w:val="24"/>
        </w:rPr>
        <w:t>o dispuesto por la Ordenanza N°</w:t>
      </w:r>
      <w:r w:rsidR="00F11E1A">
        <w:rPr>
          <w:rFonts w:ascii="Arial" w:hAnsi="Arial" w:cs="Arial"/>
          <w:sz w:val="24"/>
          <w:szCs w:val="24"/>
        </w:rPr>
        <w:t xml:space="preserve"> 88, la existencia del informe de conformidad técnica CT del SNIP, es controlada por este Tribunal</w:t>
      </w:r>
      <w:r w:rsidR="00D3495A">
        <w:rPr>
          <w:rFonts w:ascii="Arial" w:hAnsi="Arial" w:cs="Arial"/>
          <w:sz w:val="24"/>
          <w:szCs w:val="24"/>
        </w:rPr>
        <w:t xml:space="preserve"> -</w:t>
      </w:r>
      <w:r w:rsidR="00F11E1A">
        <w:rPr>
          <w:rFonts w:ascii="Arial" w:hAnsi="Arial" w:cs="Arial"/>
          <w:sz w:val="24"/>
          <w:szCs w:val="24"/>
        </w:rPr>
        <w:t>tal como lo dice expresamente el acápite del artículo 2</w:t>
      </w:r>
      <w:r w:rsidR="00612E7B">
        <w:rPr>
          <w:rFonts w:ascii="Arial" w:hAnsi="Arial" w:cs="Arial"/>
          <w:sz w:val="24"/>
          <w:szCs w:val="24"/>
        </w:rPr>
        <w:t>º</w:t>
      </w:r>
      <w:r w:rsidR="00952C8F">
        <w:rPr>
          <w:rFonts w:ascii="Arial" w:hAnsi="Arial" w:cs="Arial"/>
          <w:sz w:val="24"/>
          <w:szCs w:val="24"/>
        </w:rPr>
        <w:t>-</w:t>
      </w:r>
      <w:r w:rsidR="00612E7B">
        <w:rPr>
          <w:rFonts w:ascii="Arial" w:hAnsi="Arial" w:cs="Arial"/>
          <w:sz w:val="24"/>
          <w:szCs w:val="24"/>
        </w:rPr>
        <w:t xml:space="preserve">, </w:t>
      </w:r>
      <w:r w:rsidR="00F11E1A">
        <w:rPr>
          <w:rFonts w:ascii="Arial" w:hAnsi="Arial" w:cs="Arial"/>
          <w:sz w:val="24"/>
          <w:szCs w:val="24"/>
        </w:rPr>
        <w:t xml:space="preserve"> </w:t>
      </w:r>
      <w:r w:rsidR="00D3495A">
        <w:rPr>
          <w:rFonts w:ascii="Arial" w:hAnsi="Arial" w:cs="Arial"/>
          <w:sz w:val="24"/>
          <w:szCs w:val="24"/>
        </w:rPr>
        <w:t>al momento de dictaminar</w:t>
      </w:r>
      <w:r w:rsidR="00ED72D8">
        <w:rPr>
          <w:rFonts w:ascii="Arial" w:hAnsi="Arial" w:cs="Arial"/>
          <w:sz w:val="24"/>
          <w:szCs w:val="24"/>
        </w:rPr>
        <w:t xml:space="preserve"> sobre el proyecto remitido</w:t>
      </w:r>
      <w:r w:rsidR="00F11E1A">
        <w:rPr>
          <w:rFonts w:ascii="Arial" w:hAnsi="Arial" w:cs="Arial"/>
          <w:sz w:val="24"/>
          <w:szCs w:val="24"/>
        </w:rPr>
        <w:t>. La propia nota del Organismo, deja en evidencia que aún hoy, dos de los proyectos de inversión no cuentan con dicho informe técnico</w:t>
      </w:r>
      <w:r w:rsidR="00ED72D8">
        <w:rPr>
          <w:rFonts w:ascii="Arial" w:hAnsi="Arial" w:cs="Arial"/>
          <w:sz w:val="24"/>
          <w:szCs w:val="24"/>
        </w:rPr>
        <w:t>, por lo que la objeción se mantiene en todos sus términos</w:t>
      </w:r>
      <w:r w:rsidR="00952C8F">
        <w:rPr>
          <w:rFonts w:ascii="Arial" w:hAnsi="Arial" w:cs="Arial"/>
          <w:sz w:val="24"/>
          <w:szCs w:val="24"/>
        </w:rPr>
        <w:t>;</w:t>
      </w:r>
    </w:p>
    <w:p w:rsidR="009968B2" w:rsidRDefault="001272B2" w:rsidP="009968B2">
      <w:pPr>
        <w:spacing w:after="0" w:line="360" w:lineRule="auto"/>
        <w:ind w:firstLine="3119"/>
        <w:jc w:val="both"/>
        <w:rPr>
          <w:rFonts w:ascii="Arial" w:hAnsi="Arial" w:cs="Arial"/>
          <w:sz w:val="24"/>
          <w:szCs w:val="24"/>
        </w:rPr>
      </w:pPr>
      <w:r w:rsidRPr="001272B2">
        <w:rPr>
          <w:rFonts w:ascii="Arial" w:hAnsi="Arial" w:cs="Arial"/>
          <w:b/>
          <w:sz w:val="24"/>
          <w:szCs w:val="24"/>
        </w:rPr>
        <w:t xml:space="preserve">2) </w:t>
      </w:r>
      <w:r w:rsidRPr="001272B2">
        <w:rPr>
          <w:rFonts w:ascii="Arial" w:hAnsi="Arial" w:cs="Arial"/>
          <w:sz w:val="24"/>
          <w:szCs w:val="24"/>
        </w:rPr>
        <w:t xml:space="preserve">que </w:t>
      </w:r>
      <w:r>
        <w:rPr>
          <w:rFonts w:ascii="Arial" w:hAnsi="Arial" w:cs="Arial"/>
          <w:sz w:val="24"/>
          <w:szCs w:val="24"/>
        </w:rPr>
        <w:t>e</w:t>
      </w:r>
      <w:r w:rsidR="00F11E1A" w:rsidRPr="00F92A66">
        <w:rPr>
          <w:rFonts w:ascii="Arial" w:hAnsi="Arial" w:cs="Arial"/>
          <w:sz w:val="24"/>
          <w:szCs w:val="24"/>
        </w:rPr>
        <w:t xml:space="preserve">n lo que refiere a la observación </w:t>
      </w:r>
      <w:r w:rsidR="00ED72D8">
        <w:rPr>
          <w:rFonts w:ascii="Arial" w:hAnsi="Arial" w:cs="Arial"/>
          <w:sz w:val="24"/>
          <w:szCs w:val="24"/>
        </w:rPr>
        <w:t>motivada en</w:t>
      </w:r>
      <w:r w:rsidR="00952C8F">
        <w:rPr>
          <w:rFonts w:ascii="Arial" w:hAnsi="Arial" w:cs="Arial"/>
          <w:sz w:val="24"/>
          <w:szCs w:val="24"/>
        </w:rPr>
        <w:t xml:space="preserve"> lo dispuesto por el Artículo 37 del p</w:t>
      </w:r>
      <w:r w:rsidR="00F11E1A" w:rsidRPr="00F92A66">
        <w:rPr>
          <w:rFonts w:ascii="Arial" w:hAnsi="Arial" w:cs="Arial"/>
          <w:sz w:val="24"/>
          <w:szCs w:val="24"/>
        </w:rPr>
        <w:t xml:space="preserve">royecto de Presupuesto </w:t>
      </w:r>
      <w:r w:rsidR="00ED72D8">
        <w:rPr>
          <w:rFonts w:ascii="Arial" w:hAnsi="Arial" w:cs="Arial"/>
          <w:sz w:val="24"/>
          <w:szCs w:val="24"/>
        </w:rPr>
        <w:t>remitido</w:t>
      </w:r>
      <w:r w:rsidR="00F11E1A" w:rsidRPr="00F92A66">
        <w:rPr>
          <w:rFonts w:ascii="Arial" w:hAnsi="Arial" w:cs="Arial"/>
          <w:sz w:val="24"/>
          <w:szCs w:val="24"/>
        </w:rPr>
        <w:t xml:space="preserve">, tal y como allí se expresa, la partida indicada para garantizar y otorgar premios, no puede supeditarse a reglamentaciones posteriores del Directorio, debiendo estar </w:t>
      </w:r>
      <w:r w:rsidR="00ED72D8">
        <w:rPr>
          <w:rFonts w:ascii="Arial" w:hAnsi="Arial" w:cs="Arial"/>
          <w:sz w:val="24"/>
          <w:szCs w:val="24"/>
        </w:rPr>
        <w:t xml:space="preserve">prevista y </w:t>
      </w:r>
      <w:r w:rsidR="00F11E1A" w:rsidRPr="00F92A66">
        <w:rPr>
          <w:rFonts w:ascii="Arial" w:hAnsi="Arial" w:cs="Arial"/>
          <w:sz w:val="24"/>
          <w:szCs w:val="24"/>
        </w:rPr>
        <w:t>reglamenta en la norma presupuestal</w:t>
      </w:r>
      <w:r w:rsidR="00ED72D8">
        <w:rPr>
          <w:rFonts w:ascii="Arial" w:hAnsi="Arial" w:cs="Arial"/>
          <w:sz w:val="24"/>
          <w:szCs w:val="24"/>
        </w:rPr>
        <w:t>.</w:t>
      </w:r>
      <w:r w:rsidR="00F11E1A" w:rsidRPr="00F92A66">
        <w:rPr>
          <w:rFonts w:ascii="Arial" w:hAnsi="Arial" w:cs="Arial"/>
          <w:sz w:val="24"/>
          <w:szCs w:val="24"/>
        </w:rPr>
        <w:t xml:space="preserve"> La circunstancia de que </w:t>
      </w:r>
      <w:r w:rsidR="00F11E1A" w:rsidRPr="00F92A66">
        <w:rPr>
          <w:rFonts w:ascii="Arial" w:hAnsi="Arial" w:cs="Arial"/>
          <w:sz w:val="24"/>
          <w:szCs w:val="24"/>
        </w:rPr>
        <w:lastRenderedPageBreak/>
        <w:t xml:space="preserve">no se encuentra reglamentada es reconocida por la </w:t>
      </w:r>
      <w:r>
        <w:rPr>
          <w:rFonts w:ascii="Arial" w:hAnsi="Arial" w:cs="Arial"/>
          <w:sz w:val="24"/>
          <w:szCs w:val="24"/>
        </w:rPr>
        <w:t xml:space="preserve">propia </w:t>
      </w:r>
      <w:r w:rsidR="00F11E1A" w:rsidRPr="00F92A66">
        <w:rPr>
          <w:rFonts w:ascii="Arial" w:hAnsi="Arial" w:cs="Arial"/>
          <w:sz w:val="24"/>
          <w:szCs w:val="24"/>
        </w:rPr>
        <w:t xml:space="preserve">D.G.C., </w:t>
      </w:r>
      <w:r w:rsidR="00ED72D8">
        <w:rPr>
          <w:rFonts w:ascii="Arial" w:hAnsi="Arial" w:cs="Arial"/>
          <w:sz w:val="24"/>
          <w:szCs w:val="24"/>
        </w:rPr>
        <w:t>recurriendo a</w:t>
      </w:r>
      <w:r w:rsidR="00F11E1A" w:rsidRPr="00F92A66">
        <w:rPr>
          <w:rFonts w:ascii="Arial" w:hAnsi="Arial" w:cs="Arial"/>
          <w:sz w:val="24"/>
          <w:szCs w:val="24"/>
        </w:rPr>
        <w:t xml:space="preserve"> argumentos</w:t>
      </w:r>
      <w:r w:rsidR="00ED72D8">
        <w:rPr>
          <w:rFonts w:ascii="Arial" w:hAnsi="Arial" w:cs="Arial"/>
          <w:sz w:val="24"/>
          <w:szCs w:val="24"/>
        </w:rPr>
        <w:t xml:space="preserve"> de oportunidad y</w:t>
      </w:r>
      <w:r w:rsidR="00F11E1A" w:rsidRPr="00F92A66">
        <w:rPr>
          <w:rFonts w:ascii="Arial" w:hAnsi="Arial" w:cs="Arial"/>
          <w:sz w:val="24"/>
          <w:szCs w:val="24"/>
        </w:rPr>
        <w:t xml:space="preserve"> conveniencia </w:t>
      </w:r>
      <w:r w:rsidR="00ED72D8">
        <w:rPr>
          <w:rFonts w:ascii="Arial" w:hAnsi="Arial" w:cs="Arial"/>
          <w:sz w:val="24"/>
          <w:szCs w:val="24"/>
        </w:rPr>
        <w:t>que no permiten superar la observación formulada</w:t>
      </w:r>
      <w:r>
        <w:rPr>
          <w:rFonts w:ascii="Arial" w:hAnsi="Arial" w:cs="Arial"/>
          <w:sz w:val="24"/>
          <w:szCs w:val="24"/>
        </w:rPr>
        <w:t>;</w:t>
      </w:r>
    </w:p>
    <w:p w:rsidR="001272B2" w:rsidRDefault="009C75E1" w:rsidP="009968B2">
      <w:pPr>
        <w:spacing w:after="0" w:line="360" w:lineRule="auto"/>
        <w:ind w:firstLine="3119"/>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w:t>
      </w:r>
      <w:r w:rsidR="002B27E0">
        <w:rPr>
          <w:rFonts w:ascii="Arial" w:hAnsi="Arial" w:cs="Arial"/>
          <w:sz w:val="24"/>
          <w:szCs w:val="24"/>
        </w:rPr>
        <w:t>, efectivamente</w:t>
      </w:r>
      <w:r w:rsidR="00E004D5">
        <w:rPr>
          <w:rFonts w:ascii="Arial" w:hAnsi="Arial" w:cs="Arial"/>
          <w:sz w:val="24"/>
          <w:szCs w:val="24"/>
        </w:rPr>
        <w:t>,</w:t>
      </w:r>
      <w:r>
        <w:rPr>
          <w:rFonts w:ascii="Arial" w:hAnsi="Arial" w:cs="Arial"/>
          <w:sz w:val="24"/>
          <w:szCs w:val="24"/>
        </w:rPr>
        <w:t xml:space="preserve"> en las actuaciones remiti</w:t>
      </w:r>
      <w:r w:rsidR="009968B2">
        <w:rPr>
          <w:rFonts w:ascii="Arial" w:hAnsi="Arial" w:cs="Arial"/>
          <w:sz w:val="24"/>
          <w:szCs w:val="24"/>
        </w:rPr>
        <w:softHyphen/>
      </w:r>
      <w:r>
        <w:rPr>
          <w:rFonts w:ascii="Arial" w:hAnsi="Arial" w:cs="Arial"/>
          <w:sz w:val="24"/>
          <w:szCs w:val="24"/>
        </w:rPr>
        <w:t xml:space="preserve">das en la oportunidad, </w:t>
      </w:r>
      <w:r w:rsidR="00E004D5">
        <w:rPr>
          <w:rFonts w:ascii="Arial" w:hAnsi="Arial" w:cs="Arial"/>
          <w:sz w:val="24"/>
          <w:szCs w:val="24"/>
        </w:rPr>
        <w:t>la Administración</w:t>
      </w:r>
      <w:r>
        <w:rPr>
          <w:rFonts w:ascii="Arial" w:hAnsi="Arial" w:cs="Arial"/>
          <w:sz w:val="24"/>
          <w:szCs w:val="24"/>
        </w:rPr>
        <w:t xml:space="preserve"> confirma los presupuestos de hecho que fundamentaron las objeciones legales f</w:t>
      </w:r>
      <w:r w:rsidR="009968B2">
        <w:rPr>
          <w:rFonts w:ascii="Arial" w:hAnsi="Arial" w:cs="Arial"/>
          <w:sz w:val="24"/>
          <w:szCs w:val="24"/>
        </w:rPr>
        <w:t>ormuladas por este Tribunal al p</w:t>
      </w:r>
      <w:r>
        <w:rPr>
          <w:rFonts w:ascii="Arial" w:hAnsi="Arial" w:cs="Arial"/>
          <w:sz w:val="24"/>
          <w:szCs w:val="24"/>
        </w:rPr>
        <w:t>royecto de Presupuesto;</w:t>
      </w:r>
      <w:r w:rsidR="001272B2">
        <w:rPr>
          <w:rFonts w:ascii="Arial" w:hAnsi="Arial" w:cs="Arial"/>
          <w:sz w:val="24"/>
          <w:szCs w:val="24"/>
        </w:rPr>
        <w:t xml:space="preserve"> </w:t>
      </w:r>
    </w:p>
    <w:p w:rsidR="001272B2" w:rsidRDefault="001272B2" w:rsidP="009968B2">
      <w:pPr>
        <w:spacing w:after="0" w:line="360" w:lineRule="auto"/>
        <w:ind w:firstLine="851"/>
        <w:jc w:val="both"/>
        <w:rPr>
          <w:rFonts w:ascii="Arial" w:hAnsi="Arial" w:cs="Arial"/>
          <w:sz w:val="24"/>
          <w:szCs w:val="24"/>
        </w:rPr>
      </w:pPr>
      <w:r w:rsidRPr="001272B2">
        <w:rPr>
          <w:rFonts w:ascii="Arial" w:hAnsi="Arial" w:cs="Arial"/>
          <w:b/>
          <w:sz w:val="24"/>
          <w:szCs w:val="24"/>
        </w:rPr>
        <w:t>ATENTO:</w:t>
      </w:r>
      <w:r>
        <w:rPr>
          <w:rFonts w:ascii="Arial" w:hAnsi="Arial" w:cs="Arial"/>
          <w:sz w:val="24"/>
          <w:szCs w:val="24"/>
        </w:rPr>
        <w:t xml:space="preserve"> a lo precedentemente expuesto;  </w:t>
      </w:r>
    </w:p>
    <w:p w:rsidR="00F11E1A" w:rsidRDefault="001272B2" w:rsidP="009968B2">
      <w:pPr>
        <w:spacing w:after="0" w:line="360" w:lineRule="auto"/>
        <w:jc w:val="center"/>
        <w:rPr>
          <w:rFonts w:ascii="Arial" w:hAnsi="Arial" w:cs="Arial"/>
          <w:b/>
          <w:sz w:val="24"/>
          <w:szCs w:val="24"/>
        </w:rPr>
      </w:pPr>
      <w:r w:rsidRPr="001272B2">
        <w:rPr>
          <w:rFonts w:ascii="Arial" w:hAnsi="Arial" w:cs="Arial"/>
          <w:b/>
          <w:sz w:val="24"/>
          <w:szCs w:val="24"/>
        </w:rPr>
        <w:t>EL TRIBUNAL ACUERDA:</w:t>
      </w:r>
    </w:p>
    <w:p w:rsidR="00F11E1A" w:rsidRDefault="00A27940" w:rsidP="009968B2">
      <w:pPr>
        <w:pStyle w:val="Prrafodelista"/>
        <w:numPr>
          <w:ilvl w:val="0"/>
          <w:numId w:val="4"/>
        </w:numPr>
        <w:tabs>
          <w:tab w:val="left" w:pos="284"/>
        </w:tabs>
        <w:spacing w:after="0" w:line="360" w:lineRule="auto"/>
        <w:ind w:left="284" w:hanging="284"/>
        <w:jc w:val="both"/>
        <w:rPr>
          <w:rFonts w:ascii="Arial" w:hAnsi="Arial" w:cs="Arial"/>
          <w:sz w:val="24"/>
          <w:szCs w:val="24"/>
        </w:rPr>
      </w:pPr>
      <w:r w:rsidRPr="00A27940">
        <w:rPr>
          <w:rFonts w:ascii="Arial" w:hAnsi="Arial" w:cs="Arial"/>
          <w:sz w:val="24"/>
          <w:szCs w:val="24"/>
        </w:rPr>
        <w:t xml:space="preserve">Mantener las observaciones formuladas por este Tribunal </w:t>
      </w:r>
      <w:r>
        <w:rPr>
          <w:rFonts w:ascii="Arial" w:hAnsi="Arial" w:cs="Arial"/>
          <w:sz w:val="24"/>
          <w:szCs w:val="24"/>
        </w:rPr>
        <w:t xml:space="preserve">con fecha 29/8/18, </w:t>
      </w:r>
      <w:r w:rsidR="009968B2">
        <w:rPr>
          <w:rFonts w:ascii="Arial" w:hAnsi="Arial" w:cs="Arial"/>
          <w:sz w:val="24"/>
          <w:szCs w:val="24"/>
        </w:rPr>
        <w:t>al p</w:t>
      </w:r>
      <w:r w:rsidR="00F11E1A" w:rsidRPr="00A27940">
        <w:rPr>
          <w:rFonts w:ascii="Arial" w:hAnsi="Arial" w:cs="Arial"/>
          <w:sz w:val="24"/>
          <w:szCs w:val="24"/>
        </w:rPr>
        <w:t>royecto de Presupuesto Operativo y de Inversiones de la Dirección General de Casinos</w:t>
      </w:r>
      <w:r w:rsidR="00ED72D8">
        <w:rPr>
          <w:rFonts w:ascii="Arial" w:hAnsi="Arial" w:cs="Arial"/>
          <w:sz w:val="24"/>
          <w:szCs w:val="24"/>
        </w:rPr>
        <w:t xml:space="preserve"> correspondiente al Ejercicio</w:t>
      </w:r>
      <w:r w:rsidR="00F11E1A" w:rsidRPr="00A27940">
        <w:rPr>
          <w:rFonts w:ascii="Arial" w:hAnsi="Arial" w:cs="Arial"/>
          <w:sz w:val="24"/>
          <w:szCs w:val="24"/>
        </w:rPr>
        <w:t xml:space="preserve"> 2019</w:t>
      </w:r>
      <w:r>
        <w:rPr>
          <w:rFonts w:ascii="Arial" w:hAnsi="Arial" w:cs="Arial"/>
          <w:sz w:val="24"/>
          <w:szCs w:val="24"/>
        </w:rPr>
        <w:t xml:space="preserve">, en razón de lo expresado en los Considerandos de la presente resolución; y </w:t>
      </w:r>
    </w:p>
    <w:p w:rsidR="00F11E1A" w:rsidRDefault="009968B2" w:rsidP="009968B2">
      <w:pPr>
        <w:pStyle w:val="Prrafodelista"/>
        <w:numPr>
          <w:ilvl w:val="0"/>
          <w:numId w:val="4"/>
        </w:numPr>
        <w:spacing w:line="360" w:lineRule="auto"/>
        <w:ind w:left="284" w:hanging="284"/>
        <w:jc w:val="both"/>
        <w:rPr>
          <w:rFonts w:ascii="Arial" w:hAnsi="Arial" w:cs="Arial"/>
          <w:sz w:val="24"/>
          <w:szCs w:val="24"/>
        </w:rPr>
      </w:pPr>
      <w:r>
        <w:rPr>
          <w:rFonts w:ascii="Arial" w:hAnsi="Arial" w:cs="Arial"/>
          <w:sz w:val="24"/>
          <w:szCs w:val="24"/>
        </w:rPr>
        <w:t>Devolver los antecedentes a la Dirección General de Casinos.</w:t>
      </w:r>
      <w:r w:rsidR="00F11E1A">
        <w:rPr>
          <w:rFonts w:ascii="Arial" w:hAnsi="Arial" w:cs="Arial"/>
          <w:sz w:val="24"/>
          <w:szCs w:val="24"/>
        </w:rPr>
        <w:t xml:space="preserve"> </w:t>
      </w:r>
    </w:p>
    <w:p w:rsidR="009968B2" w:rsidRDefault="009968B2" w:rsidP="009968B2">
      <w:pPr>
        <w:spacing w:line="360" w:lineRule="auto"/>
        <w:jc w:val="both"/>
        <w:rPr>
          <w:rFonts w:ascii="Arial" w:hAnsi="Arial" w:cs="Arial"/>
          <w:sz w:val="24"/>
          <w:szCs w:val="24"/>
        </w:rPr>
      </w:pPr>
    </w:p>
    <w:p w:rsidR="009968B2" w:rsidRDefault="009968B2" w:rsidP="009968B2">
      <w:pPr>
        <w:spacing w:line="360" w:lineRule="auto"/>
        <w:jc w:val="both"/>
        <w:rPr>
          <w:rFonts w:ascii="Arial" w:hAnsi="Arial" w:cs="Arial"/>
          <w:sz w:val="24"/>
          <w:szCs w:val="24"/>
        </w:rPr>
      </w:pPr>
    </w:p>
    <w:p w:rsidR="009968B2" w:rsidRDefault="009968B2" w:rsidP="009968B2">
      <w:pPr>
        <w:spacing w:line="360" w:lineRule="auto"/>
        <w:jc w:val="both"/>
        <w:rPr>
          <w:rFonts w:ascii="Arial" w:hAnsi="Arial" w:cs="Arial"/>
          <w:sz w:val="24"/>
          <w:szCs w:val="24"/>
        </w:rPr>
      </w:pPr>
    </w:p>
    <w:p w:rsidR="009968B2" w:rsidRDefault="009968B2" w:rsidP="009968B2">
      <w:pPr>
        <w:spacing w:line="360" w:lineRule="auto"/>
        <w:jc w:val="both"/>
        <w:rPr>
          <w:rFonts w:ascii="Arial" w:hAnsi="Arial" w:cs="Arial"/>
          <w:sz w:val="24"/>
          <w:szCs w:val="24"/>
        </w:rPr>
      </w:pPr>
    </w:p>
    <w:p w:rsidR="009968B2" w:rsidRPr="009968B2" w:rsidRDefault="009968B2" w:rsidP="009968B2">
      <w:pPr>
        <w:spacing w:line="360" w:lineRule="auto"/>
        <w:ind w:hanging="426"/>
        <w:jc w:val="both"/>
        <w:rPr>
          <w:rFonts w:ascii="Arial" w:hAnsi="Arial" w:cs="Arial"/>
          <w:sz w:val="24"/>
          <w:szCs w:val="24"/>
        </w:rPr>
      </w:pPr>
      <w:r>
        <w:rPr>
          <w:rFonts w:ascii="Arial" w:hAnsi="Arial" w:cs="Arial"/>
          <w:sz w:val="24"/>
          <w:szCs w:val="24"/>
        </w:rPr>
        <w:t>dc</w:t>
      </w:r>
    </w:p>
    <w:sectPr w:rsidR="009968B2" w:rsidRPr="009968B2" w:rsidSect="00465E0C">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3C" w:rsidRDefault="003E1B3C" w:rsidP="00D6024A">
      <w:pPr>
        <w:spacing w:after="0" w:line="240" w:lineRule="auto"/>
      </w:pPr>
      <w:r>
        <w:separator/>
      </w:r>
    </w:p>
  </w:endnote>
  <w:endnote w:type="continuationSeparator" w:id="0">
    <w:p w:rsidR="003E1B3C" w:rsidRDefault="003E1B3C"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9359"/>
      <w:docPartObj>
        <w:docPartGallery w:val="Page Numbers (Bottom of Page)"/>
        <w:docPartUnique/>
      </w:docPartObj>
    </w:sdtPr>
    <w:sdtContent>
      <w:p w:rsidR="00582E1C" w:rsidRDefault="00582E1C">
        <w:pPr>
          <w:pStyle w:val="Piedepgina"/>
          <w:jc w:val="center"/>
        </w:pPr>
        <w:r>
          <w:fldChar w:fldCharType="begin"/>
        </w:r>
        <w:r>
          <w:instrText>PAGE   \* MERGEFORMAT</w:instrText>
        </w:r>
        <w:r>
          <w:fldChar w:fldCharType="separate"/>
        </w:r>
        <w:r w:rsidR="009968B2">
          <w:rPr>
            <w:noProof/>
          </w:rPr>
          <w:t>2</w:t>
        </w:r>
        <w:r>
          <w:fldChar w:fldCharType="end"/>
        </w:r>
      </w:p>
    </w:sdtContent>
  </w:sdt>
  <w:p w:rsidR="00582E1C" w:rsidRDefault="00582E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3C" w:rsidRDefault="003E1B3C" w:rsidP="00D6024A">
      <w:pPr>
        <w:spacing w:after="0" w:line="240" w:lineRule="auto"/>
      </w:pPr>
      <w:r>
        <w:separator/>
      </w:r>
    </w:p>
  </w:footnote>
  <w:footnote w:type="continuationSeparator" w:id="0">
    <w:p w:rsidR="003E1B3C" w:rsidRDefault="003E1B3C"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FB6"/>
    <w:multiLevelType w:val="hybridMultilevel"/>
    <w:tmpl w:val="B016E00E"/>
    <w:lvl w:ilvl="0" w:tplc="CAB86B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0A276A"/>
    <w:multiLevelType w:val="hybridMultilevel"/>
    <w:tmpl w:val="B016E00E"/>
    <w:lvl w:ilvl="0" w:tplc="CAB86B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81A7AE8"/>
    <w:multiLevelType w:val="hybridMultilevel"/>
    <w:tmpl w:val="B016E00E"/>
    <w:lvl w:ilvl="0" w:tplc="CAB86B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D6D3A6A"/>
    <w:multiLevelType w:val="hybridMultilevel"/>
    <w:tmpl w:val="F1AAA928"/>
    <w:lvl w:ilvl="0" w:tplc="CF22C7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1272B2"/>
    <w:rsid w:val="00210A40"/>
    <w:rsid w:val="002A6C2D"/>
    <w:rsid w:val="002B27E0"/>
    <w:rsid w:val="00381FEE"/>
    <w:rsid w:val="003E1B3C"/>
    <w:rsid w:val="00465E0C"/>
    <w:rsid w:val="004D36E4"/>
    <w:rsid w:val="005445CE"/>
    <w:rsid w:val="00581BC9"/>
    <w:rsid w:val="00582E1C"/>
    <w:rsid w:val="00597CF1"/>
    <w:rsid w:val="005D388B"/>
    <w:rsid w:val="00612E7B"/>
    <w:rsid w:val="00626CBA"/>
    <w:rsid w:val="00655D0E"/>
    <w:rsid w:val="007511F4"/>
    <w:rsid w:val="007E5330"/>
    <w:rsid w:val="007F1198"/>
    <w:rsid w:val="00943F6C"/>
    <w:rsid w:val="00952C8F"/>
    <w:rsid w:val="009968B2"/>
    <w:rsid w:val="009C75E1"/>
    <w:rsid w:val="009E0F75"/>
    <w:rsid w:val="00A274A7"/>
    <w:rsid w:val="00A27940"/>
    <w:rsid w:val="00B05AE6"/>
    <w:rsid w:val="00B76F00"/>
    <w:rsid w:val="00B82885"/>
    <w:rsid w:val="00C03C76"/>
    <w:rsid w:val="00C72DA5"/>
    <w:rsid w:val="00C80B83"/>
    <w:rsid w:val="00D3495A"/>
    <w:rsid w:val="00D6024A"/>
    <w:rsid w:val="00D639EE"/>
    <w:rsid w:val="00E004D5"/>
    <w:rsid w:val="00E9702C"/>
    <w:rsid w:val="00ED72D8"/>
    <w:rsid w:val="00EF4092"/>
    <w:rsid w:val="00F11E1A"/>
    <w:rsid w:val="00F16A64"/>
    <w:rsid w:val="00F92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A274A7"/>
    <w:pPr>
      <w:ind w:left="720"/>
      <w:contextualSpacing/>
    </w:pPr>
  </w:style>
  <w:style w:type="paragraph" w:styleId="Textodeglobo">
    <w:name w:val="Balloon Text"/>
    <w:basedOn w:val="Normal"/>
    <w:link w:val="TextodegloboCar"/>
    <w:uiPriority w:val="99"/>
    <w:semiHidden/>
    <w:unhideWhenUsed/>
    <w:rsid w:val="00EF4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A274A7"/>
    <w:pPr>
      <w:ind w:left="720"/>
      <w:contextualSpacing/>
    </w:pPr>
  </w:style>
  <w:style w:type="paragraph" w:styleId="Textodeglobo">
    <w:name w:val="Balloon Text"/>
    <w:basedOn w:val="Normal"/>
    <w:link w:val="TextodegloboCar"/>
    <w:uiPriority w:val="99"/>
    <w:semiHidden/>
    <w:unhideWhenUsed/>
    <w:rsid w:val="00EF4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EDAF-77B9-4050-9CBB-936A8A28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2018-10-25T15:07:00Z</cp:lastPrinted>
  <dcterms:created xsi:type="dcterms:W3CDTF">2018-10-25T15:08:00Z</dcterms:created>
  <dcterms:modified xsi:type="dcterms:W3CDTF">2018-10-25T15:08:00Z</dcterms:modified>
</cp:coreProperties>
</file>