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0D" w:rsidRPr="00786EEB" w:rsidRDefault="00424D0D"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3338/18</w:t>
      </w:r>
    </w:p>
    <w:p w:rsidR="00424D0D" w:rsidRPr="00762B34" w:rsidRDefault="00424D0D">
      <w:pPr>
        <w:tabs>
          <w:tab w:val="center" w:pos="4253"/>
        </w:tabs>
        <w:suppressAutoHyphens/>
        <w:jc w:val="center"/>
        <w:rPr>
          <w:rFonts w:cs="Arial"/>
          <w:b/>
          <w:lang w:val="es-ES_tradnl"/>
        </w:rPr>
      </w:pPr>
      <w:r w:rsidRPr="00762B34">
        <w:rPr>
          <w:rFonts w:cs="Arial"/>
          <w:b/>
          <w:lang w:val="es-ES_tradnl"/>
        </w:rPr>
        <w:t>RESOLUCION ADOPTADA POR EL</w:t>
      </w:r>
    </w:p>
    <w:p w:rsidR="00424D0D" w:rsidRPr="00762B34" w:rsidRDefault="00424D0D">
      <w:pPr>
        <w:tabs>
          <w:tab w:val="center" w:pos="4253"/>
        </w:tabs>
        <w:suppressAutoHyphens/>
        <w:jc w:val="center"/>
        <w:rPr>
          <w:rFonts w:cs="Arial"/>
          <w:b/>
          <w:lang w:val="es-ES_tradnl"/>
        </w:rPr>
      </w:pPr>
      <w:r w:rsidRPr="00762B34">
        <w:rPr>
          <w:rFonts w:cs="Arial"/>
          <w:b/>
          <w:lang w:val="es-ES_tradnl"/>
        </w:rPr>
        <w:t>TRIBUNAL DE CUENTAS</w:t>
      </w:r>
    </w:p>
    <w:p w:rsidR="00424D0D" w:rsidRPr="00762B34" w:rsidRDefault="00424D0D">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24 DE OCTUBRE </w:t>
      </w:r>
      <w:r>
        <w:rPr>
          <w:rFonts w:ascii="Helvetica" w:hAnsi="Helvetica"/>
          <w:b/>
          <w:lang w:val="es-ES_tradnl"/>
        </w:rPr>
        <w:t>DE 2018</w:t>
      </w:r>
    </w:p>
    <w:p w:rsidR="00424D0D" w:rsidRPr="00762B34" w:rsidRDefault="00424D0D">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2018-17-1-0006105</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4701/18</w:t>
      </w:r>
      <w:r w:rsidRPr="00762B34">
        <w:rPr>
          <w:rFonts w:cs="Arial"/>
          <w:b/>
          <w:lang w:val="en-US"/>
        </w:rPr>
        <w:t>)</w:t>
      </w:r>
    </w:p>
    <w:p w:rsidR="00424D0D" w:rsidRDefault="00424D0D" w:rsidP="00BA435F">
      <w:pPr>
        <w:spacing w:after="0" w:line="360" w:lineRule="auto"/>
        <w:ind w:firstLine="708"/>
        <w:jc w:val="both"/>
        <w:rPr>
          <w:b/>
          <w:lang w:val="es-ES"/>
        </w:rPr>
      </w:pPr>
    </w:p>
    <w:p w:rsidR="001A4F95" w:rsidRPr="001A4F95" w:rsidRDefault="001A4F95" w:rsidP="00BA435F">
      <w:pPr>
        <w:spacing w:after="0" w:line="360" w:lineRule="auto"/>
        <w:ind w:firstLine="708"/>
        <w:jc w:val="both"/>
        <w:rPr>
          <w:b/>
          <w:bCs/>
          <w:lang w:val="es-MX"/>
        </w:rPr>
      </w:pPr>
      <w:r w:rsidRPr="001A4F95">
        <w:rPr>
          <w:b/>
          <w:lang w:val="es-ES"/>
        </w:rPr>
        <w:t>VISTO:</w:t>
      </w:r>
      <w:r w:rsidRPr="001A4F95">
        <w:rPr>
          <w:lang w:val="es-ES"/>
        </w:rPr>
        <w:t xml:space="preserve"> las actuaciones remitidas por la </w:t>
      </w:r>
      <w:r w:rsidRPr="001A4F95">
        <w:rPr>
          <w:bCs/>
          <w:lang w:val="es-MX"/>
        </w:rPr>
        <w:t xml:space="preserve">Administración Nacional de Educación Pública relacionadas con la </w:t>
      </w:r>
      <w:r w:rsidRPr="001A4F95">
        <w:rPr>
          <w:lang w:val="es-MX"/>
        </w:rPr>
        <w:t xml:space="preserve">Licitación Pública </w:t>
      </w:r>
      <w:r w:rsidRPr="001A4F95">
        <w:rPr>
          <w:bCs/>
          <w:lang w:val="es-MX"/>
        </w:rPr>
        <w:t>Nº</w:t>
      </w:r>
      <w:r w:rsidRPr="001A4F95">
        <w:rPr>
          <w:b/>
          <w:bCs/>
          <w:lang w:val="es-MX"/>
        </w:rPr>
        <w:t xml:space="preserve"> </w:t>
      </w:r>
      <w:r w:rsidRPr="001A4F95">
        <w:rPr>
          <w:bCs/>
          <w:lang w:val="es-MX"/>
        </w:rPr>
        <w:t>6/18</w:t>
      </w:r>
      <w:r w:rsidRPr="001A4F95">
        <w:rPr>
          <w:lang w:val="es-MX"/>
        </w:rPr>
        <w:t xml:space="preserve"> para la construcción del local del jardín de infantes de Toledo, Departamento de Canelones;</w:t>
      </w:r>
    </w:p>
    <w:p w:rsidR="001A4F95" w:rsidRPr="001A4F95" w:rsidRDefault="001A4F95" w:rsidP="00BA435F">
      <w:pPr>
        <w:spacing w:after="0" w:line="360" w:lineRule="auto"/>
        <w:ind w:firstLine="708"/>
        <w:jc w:val="both"/>
        <w:rPr>
          <w:bCs/>
          <w:lang w:val="es-MX"/>
        </w:rPr>
      </w:pPr>
      <w:r w:rsidRPr="001A4F95">
        <w:rPr>
          <w:b/>
          <w:lang w:val="es-MX"/>
        </w:rPr>
        <w:t xml:space="preserve">RESULTANDO: 1) </w:t>
      </w:r>
      <w:r w:rsidRPr="001A4F95">
        <w:rPr>
          <w:bCs/>
          <w:lang w:val="es-MX"/>
        </w:rPr>
        <w:t xml:space="preserve">que </w:t>
      </w:r>
      <w:r>
        <w:rPr>
          <w:lang w:val="es-ES"/>
        </w:rPr>
        <w:t>publicitado el llamado conforme a derecho</w:t>
      </w:r>
      <w:r w:rsidRPr="001A4F95">
        <w:rPr>
          <w:lang w:val="es-ES"/>
        </w:rPr>
        <w:t xml:space="preserve">, con fecha 15/5/18, se procedió a la </w:t>
      </w:r>
      <w:r>
        <w:rPr>
          <w:lang w:val="es-ES"/>
        </w:rPr>
        <w:t>apertura electrónica de las ocho ofertas presentadas</w:t>
      </w:r>
      <w:proofErr w:type="gramStart"/>
      <w:r w:rsidRPr="001A4F95">
        <w:rPr>
          <w:lang w:val="es-ES"/>
        </w:rPr>
        <w:t xml:space="preserve">:  </w:t>
      </w:r>
      <w:r w:rsidRPr="001A4F95">
        <w:rPr>
          <w:bCs/>
          <w:lang w:val="es-MX"/>
        </w:rPr>
        <w:t>Basirey</w:t>
      </w:r>
      <w:proofErr w:type="gramEnd"/>
      <w:r w:rsidRPr="001A4F95">
        <w:rPr>
          <w:bCs/>
          <w:lang w:val="es-MX"/>
        </w:rPr>
        <w:t xml:space="preserve"> SA, Fabra SA, Fedal SA, Franco Mezzetta SA, Kidil SA,  Pelmon SA, Unión Eléctrica SA y Vivamat SA;</w:t>
      </w:r>
    </w:p>
    <w:p w:rsidR="001A4F95" w:rsidRPr="001A4F95" w:rsidRDefault="00BA435F" w:rsidP="00BA435F">
      <w:pPr>
        <w:spacing w:after="0" w:line="360" w:lineRule="auto"/>
        <w:ind w:firstLine="2552"/>
        <w:jc w:val="both"/>
        <w:rPr>
          <w:bCs/>
          <w:lang w:val="es-MX"/>
        </w:rPr>
      </w:pPr>
      <w:r>
        <w:rPr>
          <w:b/>
          <w:bCs/>
          <w:lang w:val="es-MX"/>
        </w:rPr>
        <w:t xml:space="preserve"> </w:t>
      </w:r>
      <w:r w:rsidR="001A4F95" w:rsidRPr="001A4F95">
        <w:rPr>
          <w:b/>
          <w:bCs/>
          <w:lang w:val="es-MX"/>
        </w:rPr>
        <w:t xml:space="preserve">2) </w:t>
      </w:r>
      <w:r w:rsidR="001A4F95" w:rsidRPr="001A4F95">
        <w:rPr>
          <w:bCs/>
          <w:lang w:val="es-MX"/>
        </w:rPr>
        <w:t>que con fecha 24/5/18, el Área de Gestión y Contralor de Obras realiza e</w:t>
      </w:r>
      <w:r w:rsidR="001A4F95">
        <w:rPr>
          <w:bCs/>
          <w:lang w:val="es-MX"/>
        </w:rPr>
        <w:t>l estudio técnico de las mismas,</w:t>
      </w:r>
      <w:r w:rsidR="001A4F95" w:rsidRPr="001A4F95">
        <w:rPr>
          <w:bCs/>
          <w:lang w:val="es-MX"/>
        </w:rPr>
        <w:t xml:space="preserve"> informando que:</w:t>
      </w:r>
    </w:p>
    <w:p w:rsidR="001A4F95" w:rsidRPr="001A4F95" w:rsidRDefault="001A4F95" w:rsidP="00BA435F">
      <w:pPr>
        <w:spacing w:after="0" w:line="360" w:lineRule="auto"/>
        <w:jc w:val="both"/>
        <w:rPr>
          <w:bCs/>
          <w:lang w:val="es-MX"/>
        </w:rPr>
      </w:pPr>
      <w:r w:rsidRPr="001A4F95">
        <w:rPr>
          <w:b/>
          <w:bCs/>
          <w:lang w:val="es-MX"/>
        </w:rPr>
        <w:t>2.1)</w:t>
      </w:r>
      <w:r w:rsidRPr="001A4F95">
        <w:rPr>
          <w:bCs/>
          <w:lang w:val="es-MX"/>
        </w:rPr>
        <w:t xml:space="preserve"> el llamado se realizó sin precio oficial a la vista. El precio oficial estimado asciende a $ 37:008.769 con 10 % de imprevistos, IVA y leyes sociales incluidas. Del estudio de las ofertas surge que las mismas se sitúan en un rango que va desde un – 4,13 % hasta un +22,38 % en relación al precio oficial, y</w:t>
      </w:r>
    </w:p>
    <w:p w:rsidR="001A4F95" w:rsidRPr="001A4F95" w:rsidRDefault="001A4F95" w:rsidP="00BA435F">
      <w:pPr>
        <w:spacing w:after="0" w:line="360" w:lineRule="auto"/>
        <w:jc w:val="both"/>
        <w:rPr>
          <w:bCs/>
          <w:lang w:val="es-MX"/>
        </w:rPr>
      </w:pPr>
      <w:r w:rsidRPr="001A4F95">
        <w:rPr>
          <w:b/>
          <w:bCs/>
          <w:lang w:val="es-MX"/>
        </w:rPr>
        <w:t>2.2)</w:t>
      </w:r>
      <w:r w:rsidRPr="001A4F95">
        <w:rPr>
          <w:bCs/>
          <w:lang w:val="es-MX"/>
        </w:rPr>
        <w:t xml:space="preserve"> las ofertas de Basirey SA y Vivamat SA no resultan admisibles en razón de que adjuntan rubrado como documento adicional, con porcentajes de incidencia que difieren a los establecidos en el rubrado oficial, y no cumplen con el artículo 3.2 del Pliego de Condiciones Particulares,</w:t>
      </w:r>
    </w:p>
    <w:p w:rsidR="001A4F95" w:rsidRPr="001A4F95" w:rsidRDefault="001A4F95" w:rsidP="00BA435F">
      <w:pPr>
        <w:spacing w:after="0" w:line="360" w:lineRule="auto"/>
        <w:jc w:val="both"/>
        <w:rPr>
          <w:bCs/>
          <w:lang w:val="es-MX"/>
        </w:rPr>
      </w:pPr>
      <w:r w:rsidRPr="001A4F95">
        <w:rPr>
          <w:b/>
          <w:bCs/>
          <w:lang w:val="es-MX"/>
        </w:rPr>
        <w:t>2.3)</w:t>
      </w:r>
      <w:r w:rsidRPr="001A4F95">
        <w:rPr>
          <w:bCs/>
          <w:lang w:val="es-MX"/>
        </w:rPr>
        <w:t xml:space="preserve"> las restantes ofertas son técnicamente correctas por lo que resultan admisibles;</w:t>
      </w:r>
    </w:p>
    <w:p w:rsidR="00BA435F" w:rsidRDefault="00BA435F" w:rsidP="00BA435F">
      <w:pPr>
        <w:spacing w:after="0" w:line="360" w:lineRule="auto"/>
        <w:ind w:firstLine="2552"/>
        <w:jc w:val="both"/>
        <w:rPr>
          <w:bCs/>
          <w:lang w:val="es-MX"/>
        </w:rPr>
      </w:pPr>
      <w:r>
        <w:rPr>
          <w:b/>
          <w:bCs/>
          <w:lang w:val="es-MX"/>
        </w:rPr>
        <w:lastRenderedPageBreak/>
        <w:t xml:space="preserve"> </w:t>
      </w:r>
      <w:r w:rsidR="001A4F95" w:rsidRPr="001A4F95">
        <w:rPr>
          <w:b/>
          <w:bCs/>
          <w:lang w:val="es-MX"/>
        </w:rPr>
        <w:t xml:space="preserve">3) </w:t>
      </w:r>
      <w:r w:rsidR="001A4F95" w:rsidRPr="001A4F95">
        <w:rPr>
          <w:bCs/>
          <w:lang w:val="es-MX"/>
        </w:rPr>
        <w:t>que con fecha 7/6/18, la Comisión Asesora de Adjudica</w:t>
      </w:r>
      <w:r w:rsidR="001A4F95">
        <w:rPr>
          <w:bCs/>
          <w:lang w:val="es-MX"/>
        </w:rPr>
        <w:t>ciones consultó</w:t>
      </w:r>
      <w:r w:rsidR="001A4F95" w:rsidRPr="001A4F95">
        <w:rPr>
          <w:bCs/>
          <w:lang w:val="es-MX"/>
        </w:rPr>
        <w:t xml:space="preserve"> a la Dirección de la Unidad de Contencioso</w:t>
      </w:r>
      <w:r w:rsidR="001A4F95">
        <w:rPr>
          <w:bCs/>
          <w:lang w:val="es-MX"/>
        </w:rPr>
        <w:t>,</w:t>
      </w:r>
      <w:r w:rsidR="001A4F95" w:rsidRPr="001A4F95">
        <w:rPr>
          <w:bCs/>
          <w:lang w:val="es-MX"/>
        </w:rPr>
        <w:t xml:space="preserve"> r</w:t>
      </w:r>
      <w:r w:rsidR="001A4F95">
        <w:rPr>
          <w:bCs/>
          <w:lang w:val="es-MX"/>
        </w:rPr>
        <w:t xml:space="preserve">especto de la aplicación del </w:t>
      </w:r>
      <w:r>
        <w:rPr>
          <w:bCs/>
          <w:lang w:val="es-MX"/>
        </w:rPr>
        <w:t>A</w:t>
      </w:r>
      <w:r w:rsidR="001A4F95">
        <w:rPr>
          <w:bCs/>
          <w:lang w:val="es-MX"/>
        </w:rPr>
        <w:t xml:space="preserve">rtículo 3.2 </w:t>
      </w:r>
      <w:r w:rsidR="000D7AA2">
        <w:rPr>
          <w:bCs/>
          <w:lang w:val="es-MX"/>
        </w:rPr>
        <w:t>del Pliego,</w:t>
      </w:r>
      <w:r w:rsidR="001A4F95" w:rsidRPr="001A4F95">
        <w:rPr>
          <w:bCs/>
          <w:lang w:val="es-MX"/>
        </w:rPr>
        <w:t xml:space="preserve"> que</w:t>
      </w:r>
      <w:r w:rsidR="001A4F95">
        <w:rPr>
          <w:bCs/>
          <w:lang w:val="es-MX"/>
        </w:rPr>
        <w:t xml:space="preserve"> establece que </w:t>
      </w:r>
      <w:r w:rsidR="001A4F95" w:rsidRPr="001A4F95">
        <w:rPr>
          <w:bCs/>
          <w:lang w:val="es-MX"/>
        </w:rPr>
        <w:t xml:space="preserve"> la oferta debe cotizar el precio global de la obra a ejecutarse, entendiendo por tal que es el monto cotizado para la ejecución de la totalidad de las obras, sin perjuicio del detalle de rubros, su designación, unidad de </w:t>
      </w:r>
      <w:r w:rsidR="001A4F95">
        <w:rPr>
          <w:bCs/>
          <w:lang w:val="es-MX"/>
        </w:rPr>
        <w:t xml:space="preserve">medida y metraje, y en particular sobre </w:t>
      </w:r>
      <w:r w:rsidR="000D7AA2">
        <w:rPr>
          <w:bCs/>
          <w:lang w:val="es-MX"/>
        </w:rPr>
        <w:t>la admisibilidad de las ofertas q</w:t>
      </w:r>
      <w:r w:rsidR="001A4F95" w:rsidRPr="001A4F95">
        <w:rPr>
          <w:bCs/>
          <w:lang w:val="es-MX"/>
        </w:rPr>
        <w:t>ue además de cotizar precio global, conforme lo e</w:t>
      </w:r>
      <w:r w:rsidR="000D7AA2">
        <w:rPr>
          <w:bCs/>
          <w:lang w:val="es-MX"/>
        </w:rPr>
        <w:t>xige dicho artículo</w:t>
      </w:r>
      <w:r w:rsidR="001A4F95" w:rsidRPr="001A4F95">
        <w:rPr>
          <w:bCs/>
          <w:lang w:val="es-MX"/>
        </w:rPr>
        <w:t xml:space="preserve"> (presupues</w:t>
      </w:r>
      <w:r w:rsidR="000D7AA2">
        <w:rPr>
          <w:bCs/>
          <w:lang w:val="es-MX"/>
        </w:rPr>
        <w:t>to de admisibilidad), adjunten</w:t>
      </w:r>
      <w:r w:rsidR="001A4F95" w:rsidRPr="001A4F95">
        <w:rPr>
          <w:bCs/>
          <w:lang w:val="es-MX"/>
        </w:rPr>
        <w:t xml:space="preserve"> en forma complementaria un rubrado adicional a la oferta, declarando precios unitarios, totales y porcentajes por rubro, pero que no responden a los porcentajes de incidencia del rubrado oficial.</w:t>
      </w:r>
      <w:r w:rsidR="000D7AA2">
        <w:rPr>
          <w:bCs/>
          <w:lang w:val="es-MX"/>
        </w:rPr>
        <w:t xml:space="preserve"> En la consulta, que si bien fue  efectuada</w:t>
      </w:r>
      <w:r w:rsidR="001A4F95" w:rsidRPr="001A4F95">
        <w:rPr>
          <w:bCs/>
          <w:lang w:val="es-MX"/>
        </w:rPr>
        <w:t xml:space="preserve"> respecto de la licitación pública N° 4/2018 para la ampliación del local de la Escuela 7 de</w:t>
      </w:r>
      <w:r w:rsidR="000D7AA2">
        <w:rPr>
          <w:bCs/>
          <w:lang w:val="es-MX"/>
        </w:rPr>
        <w:t xml:space="preserve"> la ciudad de Melo, se dejó constancia que lo informado</w:t>
      </w:r>
      <w:r w:rsidR="001A4F95" w:rsidRPr="001A4F95">
        <w:rPr>
          <w:bCs/>
          <w:lang w:val="es-MX"/>
        </w:rPr>
        <w:t xml:space="preserve"> servirá de criterio para el estudio de otros procedimientos licitatorios que presenten s</w:t>
      </w:r>
      <w:r w:rsidR="000D7AA2">
        <w:rPr>
          <w:bCs/>
          <w:lang w:val="es-MX"/>
        </w:rPr>
        <w:t>ituaciones similares (como es el</w:t>
      </w:r>
      <w:r w:rsidR="001A4F95" w:rsidRPr="001A4F95">
        <w:rPr>
          <w:bCs/>
          <w:lang w:val="es-MX"/>
        </w:rPr>
        <w:t xml:space="preserve"> caso</w:t>
      </w:r>
      <w:r w:rsidR="000D7AA2">
        <w:rPr>
          <w:bCs/>
          <w:lang w:val="es-MX"/>
        </w:rPr>
        <w:t xml:space="preserve"> que estamos considerando</w:t>
      </w:r>
      <w:r w:rsidR="001A4F95" w:rsidRPr="001A4F95">
        <w:rPr>
          <w:bCs/>
          <w:lang w:val="es-MX"/>
        </w:rPr>
        <w:t>);</w:t>
      </w:r>
    </w:p>
    <w:p w:rsidR="00BA435F" w:rsidRDefault="00BA435F" w:rsidP="00BA435F">
      <w:pPr>
        <w:spacing w:after="0" w:line="360" w:lineRule="auto"/>
        <w:ind w:firstLine="2552"/>
        <w:jc w:val="both"/>
        <w:rPr>
          <w:bCs/>
          <w:lang w:val="es-MX"/>
        </w:rPr>
      </w:pPr>
      <w:r>
        <w:rPr>
          <w:b/>
          <w:bCs/>
          <w:lang w:val="es-MX"/>
        </w:rPr>
        <w:t xml:space="preserve"> </w:t>
      </w:r>
      <w:r w:rsidR="001A4F95" w:rsidRPr="001A4F95">
        <w:rPr>
          <w:b/>
          <w:bCs/>
          <w:lang w:val="es-MX"/>
        </w:rPr>
        <w:t xml:space="preserve">4) </w:t>
      </w:r>
      <w:r w:rsidR="000D7AA2">
        <w:rPr>
          <w:bCs/>
          <w:lang w:val="es-MX"/>
        </w:rPr>
        <w:t>que dicha Dirección se expidió</w:t>
      </w:r>
      <w:r w:rsidR="001A4F95" w:rsidRPr="001A4F95">
        <w:rPr>
          <w:bCs/>
          <w:lang w:val="es-MX"/>
        </w:rPr>
        <w:t xml:space="preserve"> </w:t>
      </w:r>
      <w:r w:rsidR="000D7AA2">
        <w:rPr>
          <w:bCs/>
          <w:lang w:val="es-MX"/>
        </w:rPr>
        <w:t xml:space="preserve">en igual fecha y sostuvo </w:t>
      </w:r>
      <w:r w:rsidR="001A4F95" w:rsidRPr="001A4F95">
        <w:rPr>
          <w:bCs/>
          <w:lang w:val="es-MX"/>
        </w:rPr>
        <w:t xml:space="preserve">que al cotizar las empresas el precio global conforme lo dispuesto por el </w:t>
      </w:r>
      <w:r>
        <w:rPr>
          <w:bCs/>
          <w:lang w:val="es-MX"/>
        </w:rPr>
        <w:t>A</w:t>
      </w:r>
      <w:r w:rsidR="001A4F95" w:rsidRPr="001A4F95">
        <w:rPr>
          <w:bCs/>
          <w:lang w:val="es-MX"/>
        </w:rPr>
        <w:t xml:space="preserve">rtículo </w:t>
      </w:r>
      <w:r w:rsidR="00D02131">
        <w:rPr>
          <w:bCs/>
          <w:lang w:val="es-MX"/>
        </w:rPr>
        <w:t>3.2 del Pliego, no era necesaria</w:t>
      </w:r>
      <w:r w:rsidR="001A4F95" w:rsidRPr="001A4F95">
        <w:rPr>
          <w:bCs/>
          <w:lang w:val="es-MX"/>
        </w:rPr>
        <w:t xml:space="preserve"> la presenta</w:t>
      </w:r>
      <w:r w:rsidR="00D02131">
        <w:rPr>
          <w:bCs/>
          <w:lang w:val="es-MX"/>
        </w:rPr>
        <w:t>ción del rubrado detallado en la</w:t>
      </w:r>
      <w:r w:rsidR="001A4F95" w:rsidRPr="001A4F95">
        <w:rPr>
          <w:bCs/>
          <w:lang w:val="es-MX"/>
        </w:rPr>
        <w:t xml:space="preserve"> oferta. Por tanto, las empresas que cotizaron en forma global, pero además adjuntaron en forma complementaria un rubrado adicional a la oferta, que no responde a los porcentajes de incidencias del rubrado oficial, corresponde </w:t>
      </w:r>
      <w:r w:rsidR="00D02131">
        <w:rPr>
          <w:bCs/>
          <w:lang w:val="es-MX"/>
        </w:rPr>
        <w:t xml:space="preserve">que </w:t>
      </w:r>
      <w:r w:rsidR="001A4F95" w:rsidRPr="001A4F95">
        <w:rPr>
          <w:bCs/>
          <w:lang w:val="es-MX"/>
        </w:rPr>
        <w:t>sean admitidas, no integrando la cotizaci</w:t>
      </w:r>
      <w:r w:rsidR="00D02131">
        <w:rPr>
          <w:bCs/>
          <w:lang w:val="es-MX"/>
        </w:rPr>
        <w:t xml:space="preserve">ón del rubrado la oferta, </w:t>
      </w:r>
      <w:r w:rsidR="001A4F95" w:rsidRPr="001A4F95">
        <w:rPr>
          <w:bCs/>
          <w:lang w:val="es-MX"/>
        </w:rPr>
        <w:t xml:space="preserve"> ya que como establece el </w:t>
      </w:r>
      <w:r>
        <w:rPr>
          <w:bCs/>
          <w:lang w:val="es-MX"/>
        </w:rPr>
        <w:t>A</w:t>
      </w:r>
      <w:r w:rsidR="001A4F95" w:rsidRPr="001A4F95">
        <w:rPr>
          <w:bCs/>
          <w:lang w:val="es-MX"/>
        </w:rPr>
        <w:t>rtículo 3 de las base</w:t>
      </w:r>
      <w:r w:rsidR="00D02131">
        <w:rPr>
          <w:bCs/>
          <w:lang w:val="es-MX"/>
        </w:rPr>
        <w:t>s del llamado “</w:t>
      </w:r>
      <w:r w:rsidR="001A4F95" w:rsidRPr="001A4F95">
        <w:rPr>
          <w:bCs/>
          <w:lang w:val="es-MX"/>
        </w:rPr>
        <w:t>el solo hecho de presentarse al llamado implica plena aceptación, sin reservas por parte de los oferentes, de todas las cláusulas establecidas en el Pliego Particular, en todos sus artículos y anexos</w:t>
      </w:r>
      <w:r w:rsidR="00D02131">
        <w:rPr>
          <w:bCs/>
          <w:lang w:val="es-MX"/>
        </w:rPr>
        <w:t>”</w:t>
      </w:r>
      <w:r w:rsidR="001A4F95" w:rsidRPr="001A4F95">
        <w:rPr>
          <w:bCs/>
          <w:lang w:val="es-MX"/>
        </w:rPr>
        <w:t>;</w:t>
      </w:r>
    </w:p>
    <w:p w:rsidR="001A4F95" w:rsidRPr="00BA435F" w:rsidRDefault="00BA435F" w:rsidP="00BA435F">
      <w:pPr>
        <w:spacing w:after="0" w:line="360" w:lineRule="auto"/>
        <w:ind w:firstLine="2552"/>
        <w:jc w:val="both"/>
        <w:rPr>
          <w:bCs/>
          <w:lang w:val="es-MX"/>
        </w:rPr>
      </w:pPr>
      <w:r>
        <w:rPr>
          <w:bCs/>
          <w:lang w:val="es-MX"/>
        </w:rPr>
        <w:t xml:space="preserve"> </w:t>
      </w:r>
      <w:r w:rsidR="001A4F95" w:rsidRPr="001A4F95">
        <w:rPr>
          <w:b/>
          <w:bCs/>
          <w:lang w:val="es-MX"/>
        </w:rPr>
        <w:t xml:space="preserve">5) </w:t>
      </w:r>
      <w:r w:rsidR="001A4F95" w:rsidRPr="001A4F95">
        <w:rPr>
          <w:bCs/>
          <w:lang w:val="es-MX"/>
        </w:rPr>
        <w:t>que c</w:t>
      </w:r>
      <w:r w:rsidR="001A4F95" w:rsidRPr="001A4F95">
        <w:rPr>
          <w:lang w:val="es-MX"/>
        </w:rPr>
        <w:t>on fecha 11/7/18, el Área de Gestión y Contralor de Obras informa que:</w:t>
      </w:r>
    </w:p>
    <w:p w:rsidR="001A4F95" w:rsidRPr="001A4F95" w:rsidRDefault="001A4F95" w:rsidP="00BA435F">
      <w:pPr>
        <w:spacing w:after="0" w:line="360" w:lineRule="auto"/>
        <w:jc w:val="both"/>
        <w:rPr>
          <w:lang w:val="es-MX"/>
        </w:rPr>
      </w:pPr>
      <w:r w:rsidRPr="001A4F95">
        <w:rPr>
          <w:b/>
          <w:lang w:val="es-MX"/>
        </w:rPr>
        <w:lastRenderedPageBreak/>
        <w:t>5.1)</w:t>
      </w:r>
      <w:r w:rsidR="00D02131">
        <w:rPr>
          <w:lang w:val="es-MX"/>
        </w:rPr>
        <w:t xml:space="preserve"> realizadas</w:t>
      </w:r>
      <w:r w:rsidRPr="001A4F95">
        <w:rPr>
          <w:lang w:val="es-MX"/>
        </w:rPr>
        <w:t xml:space="preserve"> las verificaciones</w:t>
      </w:r>
      <w:r w:rsidR="00D02131">
        <w:rPr>
          <w:lang w:val="es-MX"/>
        </w:rPr>
        <w:t xml:space="preserve"> en RUPE de todos los oferentes (</w:t>
      </w:r>
      <w:r w:rsidR="00BA435F">
        <w:rPr>
          <w:lang w:val="es-MX"/>
        </w:rPr>
        <w:t>A</w:t>
      </w:r>
      <w:r w:rsidR="00D02131">
        <w:rPr>
          <w:lang w:val="es-MX"/>
        </w:rPr>
        <w:t>rtículo 76 del TOCAF) y  de acuerdo con</w:t>
      </w:r>
      <w:r w:rsidRPr="001A4F95">
        <w:rPr>
          <w:lang w:val="es-MX"/>
        </w:rPr>
        <w:t xml:space="preserve"> los informes técnico y jurídico, todas </w:t>
      </w:r>
      <w:r w:rsidR="00D02131">
        <w:rPr>
          <w:lang w:val="es-MX"/>
        </w:rPr>
        <w:t>las ofertas resultan admisibles;</w:t>
      </w:r>
    </w:p>
    <w:p w:rsidR="001A4F95" w:rsidRPr="001A4F95" w:rsidRDefault="005A0B7C" w:rsidP="00BA435F">
      <w:pPr>
        <w:spacing w:after="0" w:line="360" w:lineRule="auto"/>
        <w:jc w:val="both"/>
        <w:rPr>
          <w:lang w:val="es-MX"/>
        </w:rPr>
      </w:pPr>
      <w:r>
        <w:rPr>
          <w:b/>
          <w:lang w:val="es-MX"/>
        </w:rPr>
        <w:t>5.2</w:t>
      </w:r>
      <w:r w:rsidR="001A4F95" w:rsidRPr="001A4F95">
        <w:rPr>
          <w:b/>
          <w:lang w:val="es-MX"/>
        </w:rPr>
        <w:t>)</w:t>
      </w:r>
      <w:r w:rsidR="001A4F95" w:rsidRPr="001A4F95">
        <w:rPr>
          <w:lang w:val="es-MX"/>
        </w:rPr>
        <w:t xml:space="preserve"> de acuerdo con el </w:t>
      </w:r>
      <w:r w:rsidR="00BA435F">
        <w:rPr>
          <w:lang w:val="es-MX"/>
        </w:rPr>
        <w:t>A</w:t>
      </w:r>
      <w:r w:rsidR="001A4F95" w:rsidRPr="001A4F95">
        <w:rPr>
          <w:lang w:val="es-MX"/>
        </w:rPr>
        <w:t>rtículo 14.1 del Pliego de Condiciones Particulares, habiendo cumplido las propuestas los requisitos previstos en las bases del llamado y siendo técnicamente ajustadas al objeto licitado, el único factor de evaluación es el precio de la oferta,</w:t>
      </w:r>
    </w:p>
    <w:p w:rsidR="00BA435F" w:rsidRDefault="005A0B7C" w:rsidP="00BA435F">
      <w:pPr>
        <w:spacing w:after="0" w:line="360" w:lineRule="auto"/>
        <w:jc w:val="both"/>
        <w:rPr>
          <w:lang w:val="es-MX"/>
        </w:rPr>
      </w:pPr>
      <w:r>
        <w:rPr>
          <w:b/>
          <w:lang w:val="es-MX"/>
        </w:rPr>
        <w:t>5.3</w:t>
      </w:r>
      <w:r w:rsidR="001A4F95" w:rsidRPr="001A4F95">
        <w:rPr>
          <w:b/>
          <w:lang w:val="es-MX"/>
        </w:rPr>
        <w:t>)</w:t>
      </w:r>
      <w:r w:rsidR="001A4F95" w:rsidRPr="001A4F95">
        <w:rPr>
          <w:lang w:val="es-MX"/>
        </w:rPr>
        <w:t xml:space="preserve"> conforme lo dispuesto por el </w:t>
      </w:r>
      <w:r w:rsidR="00BA435F">
        <w:rPr>
          <w:lang w:val="es-MX"/>
        </w:rPr>
        <w:t>A</w:t>
      </w:r>
      <w:r w:rsidR="001A4F95" w:rsidRPr="001A4F95">
        <w:rPr>
          <w:lang w:val="es-MX"/>
        </w:rPr>
        <w:t>rtículo 14.2 del Pliego se procedió a comparar a los precios de las ofertas admisibles determinando el “precio teórico de comparación”. Efectuado el cuadro comparativo de precios con aplicación de beneficio MIPYME, surge que las ofertas de Kidil SA y Fabra SA resultan las más económicas y son similares en precio</w:t>
      </w:r>
      <w:r>
        <w:rPr>
          <w:lang w:val="es-MX"/>
        </w:rPr>
        <w:t>, por lo que</w:t>
      </w:r>
      <w:r w:rsidR="001A4F95" w:rsidRPr="001A4F95">
        <w:rPr>
          <w:lang w:val="es-MX"/>
        </w:rPr>
        <w:t xml:space="preserve"> con</w:t>
      </w:r>
      <w:r>
        <w:rPr>
          <w:lang w:val="es-MX"/>
        </w:rPr>
        <w:t xml:space="preserve">forme con lo </w:t>
      </w:r>
      <w:r w:rsidR="001A4F95" w:rsidRPr="001A4F95">
        <w:rPr>
          <w:lang w:val="es-MX"/>
        </w:rPr>
        <w:t xml:space="preserve">dispuesto por el </w:t>
      </w:r>
      <w:r>
        <w:rPr>
          <w:lang w:val="es-MX"/>
        </w:rPr>
        <w:t xml:space="preserve">artículo 66 del TOCAF, </w:t>
      </w:r>
      <w:r w:rsidR="001A4F95" w:rsidRPr="001A4F95">
        <w:rPr>
          <w:lang w:val="es-MX"/>
        </w:rPr>
        <w:t>la Adminis</w:t>
      </w:r>
      <w:r>
        <w:rPr>
          <w:lang w:val="es-MX"/>
        </w:rPr>
        <w:t>tración tiene la facultad de invitarla</w:t>
      </w:r>
      <w:r w:rsidR="001A4F95" w:rsidRPr="001A4F95">
        <w:rPr>
          <w:lang w:val="es-MX"/>
        </w:rPr>
        <w:t>s a mejorar sus precios;</w:t>
      </w:r>
    </w:p>
    <w:p w:rsidR="00BA435F" w:rsidRDefault="00BA435F" w:rsidP="00BA435F">
      <w:pPr>
        <w:spacing w:after="0" w:line="360" w:lineRule="auto"/>
        <w:ind w:firstLine="2552"/>
        <w:jc w:val="both"/>
        <w:rPr>
          <w:lang w:val="es-MX"/>
        </w:rPr>
      </w:pPr>
      <w:r>
        <w:rPr>
          <w:lang w:val="es-MX"/>
        </w:rPr>
        <w:t xml:space="preserve"> </w:t>
      </w:r>
      <w:r w:rsidR="001A4F95" w:rsidRPr="001A4F95">
        <w:rPr>
          <w:b/>
          <w:lang w:val="es-MX"/>
        </w:rPr>
        <w:t>6)</w:t>
      </w:r>
      <w:r w:rsidR="001A4F95" w:rsidRPr="001A4F95">
        <w:rPr>
          <w:lang w:val="es-MX"/>
        </w:rPr>
        <w:t xml:space="preserve"> que con fecha 8/8/18, la Comisión Asesora de Adjudicaciones informa que estudiadas las ofertas y de acuerdo con el informe del Área de Gestión y Contralor de Obras, todas las ofertas son admisibles, resultando similares en precio Kidil SA y Fabra SA, por lo que se las invita a mejorar sus ofertas. Con fecha 13/8/18, se procedió </w:t>
      </w:r>
      <w:r w:rsidR="005A0B7C">
        <w:rPr>
          <w:lang w:val="es-MX"/>
        </w:rPr>
        <w:t>a la apertura electrónica de la mejora</w:t>
      </w:r>
      <w:r w:rsidR="001A4F95" w:rsidRPr="001A4F95">
        <w:rPr>
          <w:lang w:val="es-MX"/>
        </w:rPr>
        <w:t xml:space="preserve"> de ofertas;</w:t>
      </w:r>
    </w:p>
    <w:p w:rsidR="001A4F95" w:rsidRPr="001A4F95" w:rsidRDefault="00BA435F" w:rsidP="00BA435F">
      <w:pPr>
        <w:spacing w:after="0" w:line="360" w:lineRule="auto"/>
        <w:ind w:firstLine="2552"/>
        <w:jc w:val="both"/>
        <w:rPr>
          <w:lang w:val="es-MX"/>
        </w:rPr>
      </w:pPr>
      <w:r>
        <w:rPr>
          <w:lang w:val="es-MX"/>
        </w:rPr>
        <w:t xml:space="preserve"> </w:t>
      </w:r>
      <w:r w:rsidR="001A4F95" w:rsidRPr="001A4F95">
        <w:rPr>
          <w:b/>
          <w:lang w:val="es-MX"/>
        </w:rPr>
        <w:t>7)</w:t>
      </w:r>
      <w:r w:rsidR="001A4F95" w:rsidRPr="001A4F95">
        <w:rPr>
          <w:lang w:val="es-MX"/>
        </w:rPr>
        <w:t xml:space="preserve"> que con fecha 17/8/18, el Área de Gestión y Contralor de Obras informa que:</w:t>
      </w:r>
    </w:p>
    <w:p w:rsidR="001A4F95" w:rsidRPr="001A4F95" w:rsidRDefault="001A4F95" w:rsidP="00BA435F">
      <w:pPr>
        <w:spacing w:after="0" w:line="360" w:lineRule="auto"/>
        <w:jc w:val="both"/>
        <w:rPr>
          <w:lang w:val="es-MX"/>
        </w:rPr>
      </w:pPr>
      <w:r w:rsidRPr="001A4F95">
        <w:rPr>
          <w:b/>
          <w:lang w:val="es-MX"/>
        </w:rPr>
        <w:t>7.1)</w:t>
      </w:r>
      <w:r w:rsidRPr="001A4F95">
        <w:rPr>
          <w:lang w:val="es-MX"/>
        </w:rPr>
        <w:t xml:space="preserve"> la mejora de oferta de Fabra SA es técnicamente correcta, por lo que resulta admisible. El precio global ofertado asciende a $ 32:114.330,60,</w:t>
      </w:r>
    </w:p>
    <w:p w:rsidR="001A4F95" w:rsidRPr="001A4F95" w:rsidRDefault="001A4F95" w:rsidP="00BA435F">
      <w:pPr>
        <w:spacing w:after="0" w:line="360" w:lineRule="auto"/>
        <w:jc w:val="both"/>
        <w:rPr>
          <w:lang w:val="es-MX"/>
        </w:rPr>
      </w:pPr>
      <w:r w:rsidRPr="001A4F95">
        <w:rPr>
          <w:b/>
          <w:lang w:val="es-MX"/>
        </w:rPr>
        <w:t>7.2)</w:t>
      </w:r>
      <w:r w:rsidR="005A0B7C">
        <w:rPr>
          <w:lang w:val="es-MX"/>
        </w:rPr>
        <w:t xml:space="preserve"> respecto de</w:t>
      </w:r>
      <w:r w:rsidRPr="001A4F95">
        <w:rPr>
          <w:lang w:val="es-MX"/>
        </w:rPr>
        <w:t xml:space="preserve"> la mejora de oferta de Kidil SA se verifica que: </w:t>
      </w:r>
      <w:r w:rsidRPr="00BA435F">
        <w:rPr>
          <w:b/>
          <w:lang w:val="es-MX"/>
        </w:rPr>
        <w:t>a)</w:t>
      </w:r>
      <w:r w:rsidRPr="001A4F95">
        <w:rPr>
          <w:lang w:val="es-MX"/>
        </w:rPr>
        <w:t xml:space="preserve"> es erróneo el monto imponible declarado por obra prevista ya que no responde al 50 % del monto de obra imprevista como establece el Pliego que rigió el llamado. Ese error se traslada al monto de Leyes Sociales y el precio global declarados, como se visualiza en la matriz de oferta que surge de los valores aritméticamente correctos. Subsanar los errores implicaría modificar la oferta </w:t>
      </w:r>
      <w:r w:rsidRPr="001A4F95">
        <w:rPr>
          <w:lang w:val="es-MX"/>
        </w:rPr>
        <w:lastRenderedPageBreak/>
        <w:t xml:space="preserve">contraviniendo lo dispuesto por el </w:t>
      </w:r>
      <w:r w:rsidR="00BA435F">
        <w:rPr>
          <w:lang w:val="es-MX"/>
        </w:rPr>
        <w:t>A</w:t>
      </w:r>
      <w:r w:rsidRPr="001A4F95">
        <w:rPr>
          <w:lang w:val="es-MX"/>
        </w:rPr>
        <w:t xml:space="preserve">rtículo 65 del TOCAF. Y </w:t>
      </w:r>
      <w:r w:rsidRPr="00BA435F">
        <w:rPr>
          <w:b/>
          <w:lang w:val="es-MX"/>
        </w:rPr>
        <w:t>b)</w:t>
      </w:r>
      <w:r w:rsidRPr="001A4F95">
        <w:rPr>
          <w:lang w:val="es-MX"/>
        </w:rPr>
        <w:t xml:space="preserve"> la empresa no adjuntó timbre profesional y se le otorgó </w:t>
      </w:r>
      <w:r w:rsidR="005A0B7C">
        <w:rPr>
          <w:lang w:val="es-MX"/>
        </w:rPr>
        <w:t xml:space="preserve">plazo para hacerlo al amparo delo dispuesto por el </w:t>
      </w:r>
      <w:r w:rsidR="00BA435F">
        <w:rPr>
          <w:lang w:val="es-MX"/>
        </w:rPr>
        <w:t>A</w:t>
      </w:r>
      <w:r w:rsidR="005A0B7C">
        <w:rPr>
          <w:lang w:val="es-MX"/>
        </w:rPr>
        <w:t xml:space="preserve">rtículo 65 del TOCAF. La empresa dio </w:t>
      </w:r>
      <w:r w:rsidRPr="001A4F95">
        <w:rPr>
          <w:lang w:val="es-MX"/>
        </w:rPr>
        <w:t xml:space="preserve">cumplimiento </w:t>
      </w:r>
      <w:r w:rsidR="005A0B7C">
        <w:rPr>
          <w:lang w:val="es-MX"/>
        </w:rPr>
        <w:t xml:space="preserve">al requerimiento </w:t>
      </w:r>
      <w:r w:rsidRPr="001A4F95">
        <w:rPr>
          <w:lang w:val="es-MX"/>
        </w:rPr>
        <w:t>en tiempo pero no en forma</w:t>
      </w:r>
      <w:r w:rsidR="005A0B7C">
        <w:rPr>
          <w:lang w:val="es-MX"/>
        </w:rPr>
        <w:t>,</w:t>
      </w:r>
      <w:r w:rsidRPr="001A4F95">
        <w:rPr>
          <w:lang w:val="es-MX"/>
        </w:rPr>
        <w:t xml:space="preserve"> ya que adosó el timbre a la Carta de Pre</w:t>
      </w:r>
      <w:r w:rsidR="005A0B7C">
        <w:rPr>
          <w:lang w:val="es-MX"/>
        </w:rPr>
        <w:t xml:space="preserve">sentación de la primera oferta </w:t>
      </w:r>
      <w:r w:rsidRPr="001A4F95">
        <w:rPr>
          <w:lang w:val="es-MX"/>
        </w:rPr>
        <w:t>presentada el 15/5/18 y no a la mejora de ofer</w:t>
      </w:r>
      <w:r w:rsidR="005A0B7C">
        <w:rPr>
          <w:lang w:val="es-MX"/>
        </w:rPr>
        <w:t>ta. En consecuencia,</w:t>
      </w:r>
      <w:r w:rsidRPr="001A4F95">
        <w:rPr>
          <w:lang w:val="es-MX"/>
        </w:rPr>
        <w:t xml:space="preserve"> su mejora de oferta no es admisible,</w:t>
      </w:r>
    </w:p>
    <w:p w:rsidR="001A4F95" w:rsidRPr="001A4F95" w:rsidRDefault="001A4F95" w:rsidP="00BA435F">
      <w:pPr>
        <w:spacing w:after="0" w:line="360" w:lineRule="auto"/>
        <w:jc w:val="both"/>
        <w:rPr>
          <w:lang w:val="es-MX"/>
        </w:rPr>
      </w:pPr>
      <w:r w:rsidRPr="001A4F95">
        <w:rPr>
          <w:b/>
          <w:lang w:val="es-MX"/>
        </w:rPr>
        <w:t>7.3)</w:t>
      </w:r>
      <w:r w:rsidRPr="001A4F95">
        <w:rPr>
          <w:lang w:val="es-MX"/>
        </w:rPr>
        <w:t xml:space="preserve"> por lo expuesto, se sugiere adjudicar el llamado a Fabra SA - en razón de haber cumplido con todos los requisitos de admisibilidad establecidos en las bases del llamado y ser la de menor precio – por un precio global de $32.114.330,60 (incluidos 10 % de imprevistos, IVA y leyes sociales);</w:t>
      </w:r>
    </w:p>
    <w:p w:rsidR="00BA435F" w:rsidRDefault="00BA435F" w:rsidP="00BA435F">
      <w:pPr>
        <w:spacing w:after="0" w:line="360" w:lineRule="auto"/>
        <w:ind w:firstLine="2552"/>
        <w:jc w:val="both"/>
        <w:rPr>
          <w:lang w:val="es-MX"/>
        </w:rPr>
      </w:pPr>
      <w:r>
        <w:rPr>
          <w:b/>
          <w:lang w:val="es-MX"/>
        </w:rPr>
        <w:t xml:space="preserve"> </w:t>
      </w:r>
      <w:r w:rsidR="001A4F95" w:rsidRPr="001A4F95">
        <w:rPr>
          <w:b/>
          <w:lang w:val="es-MX"/>
        </w:rPr>
        <w:t>8)</w:t>
      </w:r>
      <w:r w:rsidR="001A4F95" w:rsidRPr="001A4F95">
        <w:rPr>
          <w:lang w:val="es-MX"/>
        </w:rPr>
        <w:t xml:space="preserve"> que con fecha 31/8/18, la Comisión Asesora de Adjudicaciones hace suyo el informe técnico y expresa que en relación a Kidil SA, al no resultar admisible su mejora de oferta, se mantiene válida la oferta original presentada. La mejora de oferta de Fabra SA es correcta, por lo que se propone la adjudicación a Fabra SA, por menor precio, por un monto de $32.114.330,60 (incluidos 10 % de imprevistos, IVA y leyes sociales), con un plazo de ejecución de 180 días calendario laborables para la construcción;</w:t>
      </w:r>
    </w:p>
    <w:p w:rsidR="00BA435F" w:rsidRDefault="00BA435F" w:rsidP="00BA435F">
      <w:pPr>
        <w:spacing w:after="0" w:line="360" w:lineRule="auto"/>
        <w:ind w:firstLine="2552"/>
        <w:jc w:val="both"/>
        <w:rPr>
          <w:lang w:val="es-MX"/>
        </w:rPr>
      </w:pPr>
      <w:r>
        <w:rPr>
          <w:lang w:val="es-MX"/>
        </w:rPr>
        <w:t xml:space="preserve"> </w:t>
      </w:r>
      <w:r w:rsidR="001A4F95" w:rsidRPr="001A4F95">
        <w:rPr>
          <w:b/>
          <w:lang w:val="es-MX"/>
        </w:rPr>
        <w:t xml:space="preserve">9) </w:t>
      </w:r>
      <w:r w:rsidR="001A4F95" w:rsidRPr="001A4F95">
        <w:rPr>
          <w:lang w:val="es-MX"/>
        </w:rPr>
        <w:t xml:space="preserve">que con </w:t>
      </w:r>
      <w:r w:rsidR="001A4F95" w:rsidRPr="001A4F95">
        <w:rPr>
          <w:bCs/>
          <w:lang w:val="es-MX"/>
        </w:rPr>
        <w:t>fecha 19/7/18, la Dirección Sectorial de</w:t>
      </w:r>
      <w:r w:rsidR="005A0B7C">
        <w:rPr>
          <w:bCs/>
          <w:lang w:val="es-MX"/>
        </w:rPr>
        <w:t xml:space="preserve"> Infraestructura informa que </w:t>
      </w:r>
      <w:r w:rsidR="001A4F95" w:rsidRPr="001A4F95">
        <w:rPr>
          <w:bCs/>
          <w:lang w:val="es-MX"/>
        </w:rPr>
        <w:t xml:space="preserve">autoriza al Área de Contabilidad Financiera a realizar la imputación de los montos de $ 6:000.000 por avance de obra y $100.000 por concepto de ajuste, con cargo al Proyecto 802, Financiación 1.1 del Plan de Inversiones Públicas 2018. El monto corresponde al </w:t>
      </w:r>
      <w:r w:rsidR="005A0B7C">
        <w:rPr>
          <w:bCs/>
          <w:lang w:val="es-MX"/>
        </w:rPr>
        <w:t>estimado del avance a realizar</w:t>
      </w:r>
      <w:r w:rsidR="001A4F95" w:rsidRPr="001A4F95">
        <w:rPr>
          <w:bCs/>
          <w:lang w:val="es-MX"/>
        </w:rPr>
        <w:t xml:space="preserve"> en el Ejercicio 2018, debido a los trámites aún pendientes para el inicio de la obra y al plazo de ejecución establecid</w:t>
      </w:r>
      <w:r w:rsidR="005A0B7C">
        <w:rPr>
          <w:bCs/>
          <w:lang w:val="es-MX"/>
        </w:rPr>
        <w:t>o en las bases del llamado. Se adjunta documento de</w:t>
      </w:r>
      <w:r w:rsidR="001A4F95" w:rsidRPr="001A4F95">
        <w:rPr>
          <w:bCs/>
          <w:lang w:val="es-MX"/>
        </w:rPr>
        <w:t xml:space="preserve"> afectación</w:t>
      </w:r>
      <w:r w:rsidR="000B129D">
        <w:rPr>
          <w:bCs/>
          <w:lang w:val="es-MX"/>
        </w:rPr>
        <w:t xml:space="preserve"> de fecha 20/7/18, por el importe de los gastos estimados</w:t>
      </w:r>
      <w:r w:rsidR="001A4F95" w:rsidRPr="001A4F95">
        <w:rPr>
          <w:bCs/>
          <w:lang w:val="es-MX"/>
        </w:rPr>
        <w:t xml:space="preserve"> de $ 100.000 y $ 6:000.000, con cargo al Proyecto 802, Financiamiento 1.1 “Rentas Generales”;</w:t>
      </w:r>
    </w:p>
    <w:p w:rsidR="001A4F95" w:rsidRPr="00BA435F" w:rsidRDefault="001A4F95" w:rsidP="00BA435F">
      <w:pPr>
        <w:spacing w:after="0" w:line="360" w:lineRule="auto"/>
        <w:ind w:firstLine="2552"/>
        <w:jc w:val="both"/>
        <w:rPr>
          <w:lang w:val="es-MX"/>
        </w:rPr>
      </w:pPr>
      <w:r w:rsidRPr="001A4F95">
        <w:rPr>
          <w:b/>
          <w:bCs/>
          <w:lang w:val="es-MX"/>
        </w:rPr>
        <w:t>10)</w:t>
      </w:r>
      <w:r w:rsidRPr="001A4F95">
        <w:rPr>
          <w:bCs/>
          <w:lang w:val="es-MX"/>
        </w:rPr>
        <w:t xml:space="preserve"> que por Resolución N° 53 de fecha 18/9/18, el</w:t>
      </w:r>
      <w:r w:rsidRPr="001A4F95">
        <w:rPr>
          <w:b/>
          <w:bCs/>
          <w:lang w:val="es-MX"/>
        </w:rPr>
        <w:t xml:space="preserve"> </w:t>
      </w:r>
      <w:r w:rsidRPr="001A4F95">
        <w:rPr>
          <w:lang w:val="es-MX"/>
        </w:rPr>
        <w:t xml:space="preserve">Consejo Directivo Central dispuso la adjudicación en la forma propuesta, ad </w:t>
      </w:r>
      <w:r w:rsidRPr="001A4F95">
        <w:rPr>
          <w:lang w:val="es-MX"/>
        </w:rPr>
        <w:lastRenderedPageBreak/>
        <w:t>referéndum de la intervención de este Tribunal, por un monto de $32.114.330,60 (incluidos 10 % de imprevistos, IVA y leyes sociales);</w:t>
      </w:r>
    </w:p>
    <w:p w:rsidR="001A4F95" w:rsidRPr="001A4F95" w:rsidRDefault="001A4F95" w:rsidP="00BA435F">
      <w:pPr>
        <w:spacing w:after="0" w:line="360" w:lineRule="auto"/>
        <w:ind w:firstLine="708"/>
        <w:jc w:val="both"/>
        <w:rPr>
          <w:lang w:val="es-MX"/>
        </w:rPr>
      </w:pPr>
      <w:r w:rsidRPr="001A4F95">
        <w:rPr>
          <w:b/>
          <w:bCs/>
          <w:lang w:val="es-MX"/>
        </w:rPr>
        <w:t>CONSIDERANDO: 1)</w:t>
      </w:r>
      <w:r w:rsidRPr="001A4F95">
        <w:rPr>
          <w:bCs/>
          <w:lang w:val="es-MX"/>
        </w:rPr>
        <w:t xml:space="preserve"> </w:t>
      </w:r>
      <w:r w:rsidRPr="001A4F95">
        <w:rPr>
          <w:lang w:val="es-MX"/>
        </w:rPr>
        <w:t xml:space="preserve">que el procedimiento se ajustó a lo dispuesto por el </w:t>
      </w:r>
      <w:r w:rsidR="00BA435F">
        <w:rPr>
          <w:lang w:val="es-MX"/>
        </w:rPr>
        <w:t>A</w:t>
      </w:r>
      <w:r w:rsidRPr="001A4F95">
        <w:rPr>
          <w:lang w:val="es-MX"/>
        </w:rPr>
        <w:t>rtículo</w:t>
      </w:r>
      <w:r w:rsidR="000B129D">
        <w:rPr>
          <w:lang w:val="es-MX"/>
        </w:rPr>
        <w:t xml:space="preserve"> 33 y siguientes del TOCAF y  por</w:t>
      </w:r>
      <w:r w:rsidRPr="001A4F95">
        <w:rPr>
          <w:lang w:val="es-MX"/>
        </w:rPr>
        <w:t xml:space="preserve"> el Pliego de Condiciones Partic</w:t>
      </w:r>
      <w:r w:rsidR="000B129D">
        <w:rPr>
          <w:lang w:val="es-MX"/>
        </w:rPr>
        <w:t>ulares que rigió la Licitación</w:t>
      </w:r>
      <w:r w:rsidRPr="001A4F95">
        <w:rPr>
          <w:lang w:val="es-MX"/>
        </w:rPr>
        <w:t>;</w:t>
      </w:r>
    </w:p>
    <w:p w:rsidR="000B129D" w:rsidRDefault="00BA435F" w:rsidP="00BA435F">
      <w:pPr>
        <w:spacing w:after="0" w:line="360" w:lineRule="auto"/>
        <w:ind w:firstLine="2835"/>
        <w:jc w:val="both"/>
        <w:rPr>
          <w:lang w:val="es-MX"/>
        </w:rPr>
      </w:pPr>
      <w:r>
        <w:rPr>
          <w:b/>
          <w:lang w:val="es-MX"/>
        </w:rPr>
        <w:t xml:space="preserve"> </w:t>
      </w:r>
      <w:r w:rsidR="001A4F95" w:rsidRPr="001A4F95">
        <w:rPr>
          <w:b/>
          <w:lang w:val="es-MX"/>
        </w:rPr>
        <w:t xml:space="preserve">2) </w:t>
      </w:r>
      <w:r w:rsidR="001A4F95" w:rsidRPr="001A4F95">
        <w:rPr>
          <w:lang w:val="es-MX"/>
        </w:rPr>
        <w:t xml:space="preserve">que </w:t>
      </w:r>
      <w:r w:rsidR="000B129D">
        <w:rPr>
          <w:lang w:val="es-MX"/>
        </w:rPr>
        <w:t>la admisibilidad de las dos ofertas que</w:t>
      </w:r>
      <w:r w:rsidR="001A4F95" w:rsidRPr="001A4F95">
        <w:rPr>
          <w:lang w:val="es-MX"/>
        </w:rPr>
        <w:t xml:space="preserve"> además de cotizar el precio glob</w:t>
      </w:r>
      <w:r w:rsidR="000B129D">
        <w:rPr>
          <w:lang w:val="es-MX"/>
        </w:rPr>
        <w:t xml:space="preserve">al </w:t>
      </w:r>
      <w:r w:rsidR="000B129D" w:rsidRPr="000B129D">
        <w:rPr>
          <w:bCs/>
          <w:lang w:val="es-MX"/>
        </w:rPr>
        <w:t>adjuntaron en forma compl</w:t>
      </w:r>
      <w:r w:rsidR="000B129D">
        <w:rPr>
          <w:bCs/>
          <w:lang w:val="es-MX"/>
        </w:rPr>
        <w:t xml:space="preserve">ementaria un rubrado adicional </w:t>
      </w:r>
      <w:r w:rsidR="000B129D" w:rsidRPr="000B129D">
        <w:rPr>
          <w:bCs/>
          <w:lang w:val="es-MX"/>
        </w:rPr>
        <w:t xml:space="preserve"> que no responde a los porcentajes de incidencias del rubrado oficial</w:t>
      </w:r>
      <w:r w:rsidR="000B129D">
        <w:rPr>
          <w:bCs/>
          <w:lang w:val="es-MX"/>
        </w:rPr>
        <w:t>,</w:t>
      </w:r>
      <w:r w:rsidR="000B129D" w:rsidRPr="000B129D">
        <w:rPr>
          <w:bCs/>
          <w:lang w:val="es-MX"/>
        </w:rPr>
        <w:t xml:space="preserve"> </w:t>
      </w:r>
      <w:r w:rsidR="001A4F95" w:rsidRPr="001A4F95">
        <w:rPr>
          <w:lang w:val="es-MX"/>
        </w:rPr>
        <w:t>resulta ajustada a derecho</w:t>
      </w:r>
      <w:r w:rsidR="000B129D">
        <w:rPr>
          <w:lang w:val="es-MX"/>
        </w:rPr>
        <w:t>, de acuerdo con lo dispuesto</w:t>
      </w:r>
      <w:r w:rsidR="001A4F95" w:rsidRPr="001A4F95">
        <w:rPr>
          <w:lang w:val="es-MX"/>
        </w:rPr>
        <w:t xml:space="preserve"> por el </w:t>
      </w:r>
      <w:r>
        <w:rPr>
          <w:lang w:val="es-MX"/>
        </w:rPr>
        <w:t>A</w:t>
      </w:r>
      <w:r w:rsidR="001A4F95" w:rsidRPr="001A4F95">
        <w:rPr>
          <w:lang w:val="es-MX"/>
        </w:rPr>
        <w:t>rtículo 3.2 de las bases del llamado</w:t>
      </w:r>
      <w:r w:rsidR="000B129D">
        <w:rPr>
          <w:lang w:val="es-MX"/>
        </w:rPr>
        <w:t>,</w:t>
      </w:r>
      <w:r w:rsidR="001A4F95" w:rsidRPr="001A4F95">
        <w:rPr>
          <w:lang w:val="es-MX"/>
        </w:rPr>
        <w:t xml:space="preserve"> que establece la obligación de cotizar en la modalidad de precio global, extremo que cumplieron, y que “</w:t>
      </w:r>
      <w:r w:rsidR="001A4F95" w:rsidRPr="001A4F95">
        <w:rPr>
          <w:i/>
          <w:lang w:val="es-MX"/>
        </w:rPr>
        <w:t>no será necesario que el oferente presente el rubrado detallado con su oferta”</w:t>
      </w:r>
      <w:r w:rsidR="000B129D">
        <w:rPr>
          <w:i/>
          <w:lang w:val="es-MX"/>
        </w:rPr>
        <w:t xml:space="preserve">, </w:t>
      </w:r>
      <w:r w:rsidR="000B129D">
        <w:rPr>
          <w:lang w:val="es-MX"/>
        </w:rPr>
        <w:t>por lo que el rubrado adicional presentado no integra la oferta</w:t>
      </w:r>
      <w:r w:rsidR="001A4F95" w:rsidRPr="001A4F95">
        <w:rPr>
          <w:i/>
          <w:lang w:val="es-MX"/>
        </w:rPr>
        <w:t>.</w:t>
      </w:r>
      <w:r w:rsidR="001A4F95" w:rsidRPr="001A4F95">
        <w:rPr>
          <w:lang w:val="es-MX"/>
        </w:rPr>
        <w:t xml:space="preserve"> </w:t>
      </w:r>
    </w:p>
    <w:p w:rsidR="001A4F95" w:rsidRPr="001A4F95" w:rsidRDefault="001A4F95" w:rsidP="00BA435F">
      <w:pPr>
        <w:spacing w:after="0" w:line="360" w:lineRule="auto"/>
        <w:ind w:firstLine="708"/>
        <w:jc w:val="both"/>
        <w:rPr>
          <w:bCs/>
          <w:lang w:val="es-MX"/>
        </w:rPr>
      </w:pPr>
      <w:r w:rsidRPr="001A4F95">
        <w:rPr>
          <w:b/>
          <w:bCs/>
          <w:lang w:val="es-MX"/>
        </w:rPr>
        <w:t xml:space="preserve">ATENTO: </w:t>
      </w:r>
      <w:r w:rsidRPr="001A4F95">
        <w:rPr>
          <w:bCs/>
          <w:lang w:val="es-MX"/>
        </w:rPr>
        <w:t xml:space="preserve">a lo expuesto y a lo dispuesto por el </w:t>
      </w:r>
      <w:r w:rsidR="00BA435F">
        <w:rPr>
          <w:bCs/>
          <w:lang w:val="es-MX"/>
        </w:rPr>
        <w:t>A</w:t>
      </w:r>
      <w:r w:rsidRPr="001A4F95">
        <w:rPr>
          <w:bCs/>
          <w:lang w:val="es-MX"/>
        </w:rPr>
        <w:t>rtículo 211</w:t>
      </w:r>
      <w:r w:rsidR="00BA435F">
        <w:rPr>
          <w:bCs/>
          <w:lang w:val="es-MX"/>
        </w:rPr>
        <w:t xml:space="preserve"> L</w:t>
      </w:r>
      <w:r w:rsidRPr="001A4F95">
        <w:rPr>
          <w:bCs/>
          <w:lang w:val="es-MX"/>
        </w:rPr>
        <w:t>iteral B) de la Constitución de la República;</w:t>
      </w:r>
    </w:p>
    <w:p w:rsidR="001A4F95" w:rsidRPr="001A4F95" w:rsidRDefault="001A4F95" w:rsidP="00BA435F">
      <w:pPr>
        <w:spacing w:after="0" w:line="360" w:lineRule="auto"/>
        <w:jc w:val="center"/>
        <w:rPr>
          <w:bCs/>
          <w:lang w:val="es-MX"/>
        </w:rPr>
      </w:pPr>
      <w:r w:rsidRPr="001A4F95">
        <w:rPr>
          <w:b/>
          <w:bCs/>
          <w:lang w:val="es-MX"/>
        </w:rPr>
        <w:t>EL TRIBUNAL ACUERDA</w:t>
      </w:r>
    </w:p>
    <w:p w:rsidR="00BA435F" w:rsidRPr="00BA435F" w:rsidRDefault="001A4F95" w:rsidP="00BA435F">
      <w:pPr>
        <w:pStyle w:val="Prrafodelista"/>
        <w:numPr>
          <w:ilvl w:val="0"/>
          <w:numId w:val="1"/>
        </w:numPr>
        <w:spacing w:after="0" w:line="360" w:lineRule="auto"/>
        <w:ind w:left="284" w:hanging="284"/>
        <w:jc w:val="both"/>
        <w:rPr>
          <w:lang w:val="es-MX"/>
        </w:rPr>
      </w:pPr>
      <w:r w:rsidRPr="00BA435F">
        <w:rPr>
          <w:lang w:val="es-MX"/>
        </w:rPr>
        <w:t>Cometer al Contador Delegado la intervención del gasto de $ 32.114.330,60 (incluidos 10 % de imprevistos, IVA y leyes sociales), previa imputación a grupo adecuado con disponibilidad presupuestal suficiente</w:t>
      </w:r>
      <w:r w:rsidR="00BA435F" w:rsidRPr="00BA435F">
        <w:rPr>
          <w:lang w:val="es-MX"/>
        </w:rPr>
        <w:t>;</w:t>
      </w:r>
    </w:p>
    <w:p w:rsidR="001A4F95" w:rsidRDefault="001A4F95" w:rsidP="00BA435F">
      <w:pPr>
        <w:pStyle w:val="Prrafodelista"/>
        <w:numPr>
          <w:ilvl w:val="0"/>
          <w:numId w:val="1"/>
        </w:numPr>
        <w:spacing w:after="0" w:line="360" w:lineRule="auto"/>
        <w:ind w:left="284" w:hanging="284"/>
        <w:jc w:val="both"/>
        <w:rPr>
          <w:lang w:val="es-MX"/>
        </w:rPr>
      </w:pPr>
      <w:r w:rsidRPr="00BA435F">
        <w:rPr>
          <w:lang w:val="es-MX"/>
        </w:rPr>
        <w:t>Comunicar al Contador Delegado</w:t>
      </w:r>
      <w:r w:rsidR="00BA435F">
        <w:rPr>
          <w:lang w:val="es-MX"/>
        </w:rPr>
        <w:t>; y</w:t>
      </w:r>
    </w:p>
    <w:p w:rsidR="001A4F95" w:rsidRPr="00BA435F" w:rsidRDefault="001A4F95" w:rsidP="00BA435F">
      <w:pPr>
        <w:pStyle w:val="Prrafodelista"/>
        <w:numPr>
          <w:ilvl w:val="0"/>
          <w:numId w:val="1"/>
        </w:numPr>
        <w:spacing w:after="0" w:line="360" w:lineRule="auto"/>
        <w:ind w:left="284" w:hanging="284"/>
        <w:jc w:val="both"/>
        <w:rPr>
          <w:lang w:val="es-MX"/>
        </w:rPr>
      </w:pPr>
      <w:r w:rsidRPr="00BA435F">
        <w:rPr>
          <w:lang w:val="es-MX"/>
        </w:rPr>
        <w:t>Devolver las actuaciones.</w:t>
      </w:r>
    </w:p>
    <w:p w:rsidR="00BA435F" w:rsidRDefault="00BA435F" w:rsidP="00BA435F">
      <w:pPr>
        <w:spacing w:after="0" w:line="360" w:lineRule="auto"/>
        <w:rPr>
          <w:lang w:val="es-MX"/>
        </w:rPr>
      </w:pPr>
    </w:p>
    <w:p w:rsidR="00BA435F" w:rsidRPr="001A4F95" w:rsidRDefault="00BA435F" w:rsidP="00BA435F">
      <w:pPr>
        <w:spacing w:after="0" w:line="360" w:lineRule="auto"/>
        <w:rPr>
          <w:lang w:val="es-MX"/>
        </w:rPr>
      </w:pPr>
      <w:proofErr w:type="spellStart"/>
      <w:proofErr w:type="gramStart"/>
      <w:r>
        <w:rPr>
          <w:lang w:val="es-MX"/>
        </w:rPr>
        <w:t>aa</w:t>
      </w:r>
      <w:proofErr w:type="spellEnd"/>
      <w:proofErr w:type="gramEnd"/>
    </w:p>
    <w:p w:rsidR="001A4F95" w:rsidRPr="001A4F95" w:rsidRDefault="001A4F95" w:rsidP="00BA435F">
      <w:pPr>
        <w:spacing w:after="0" w:line="360" w:lineRule="auto"/>
        <w:jc w:val="both"/>
        <w:rPr>
          <w:b/>
          <w:i/>
          <w:lang w:val="es-MX"/>
        </w:rPr>
      </w:pPr>
    </w:p>
    <w:sectPr w:rsidR="001A4F95" w:rsidRPr="001A4F95" w:rsidSect="00424D0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E3B74"/>
    <w:multiLevelType w:val="hybridMultilevel"/>
    <w:tmpl w:val="AC98CD20"/>
    <w:lvl w:ilvl="0" w:tplc="C35653B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95"/>
    <w:rsid w:val="000B129D"/>
    <w:rsid w:val="000D7AA2"/>
    <w:rsid w:val="001A4F95"/>
    <w:rsid w:val="00424D0D"/>
    <w:rsid w:val="005A0B7C"/>
    <w:rsid w:val="00780A40"/>
    <w:rsid w:val="00BA435F"/>
    <w:rsid w:val="00CE5F32"/>
    <w:rsid w:val="00D021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35F"/>
    <w:pPr>
      <w:ind w:left="720"/>
      <w:contextualSpacing/>
    </w:pPr>
  </w:style>
  <w:style w:type="paragraph" w:styleId="Textodeglobo">
    <w:name w:val="Balloon Text"/>
    <w:basedOn w:val="Normal"/>
    <w:link w:val="TextodegloboCar"/>
    <w:uiPriority w:val="99"/>
    <w:semiHidden/>
    <w:unhideWhenUsed/>
    <w:rsid w:val="00BA4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35F"/>
    <w:pPr>
      <w:ind w:left="720"/>
      <w:contextualSpacing/>
    </w:pPr>
  </w:style>
  <w:style w:type="paragraph" w:styleId="Textodeglobo">
    <w:name w:val="Balloon Text"/>
    <w:basedOn w:val="Normal"/>
    <w:link w:val="TextodegloboCar"/>
    <w:uiPriority w:val="99"/>
    <w:semiHidden/>
    <w:unhideWhenUsed/>
    <w:rsid w:val="00BA43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Serrana Sienra</dc:creator>
  <cp:lastModifiedBy>Adrian Acosta</cp:lastModifiedBy>
  <cp:revision>2</cp:revision>
  <cp:lastPrinted>2018-10-29T16:33:00Z</cp:lastPrinted>
  <dcterms:created xsi:type="dcterms:W3CDTF">2018-10-29T16:33:00Z</dcterms:created>
  <dcterms:modified xsi:type="dcterms:W3CDTF">2018-10-29T16:33:00Z</dcterms:modified>
</cp:coreProperties>
</file>