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7B" w:rsidRPr="00786EEB" w:rsidRDefault="0094107B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3124/18</w:t>
      </w:r>
    </w:p>
    <w:p w:rsidR="0094107B" w:rsidRDefault="0094107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4107B" w:rsidRPr="00762B34" w:rsidRDefault="0094107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4107B" w:rsidRPr="00762B34" w:rsidRDefault="0094107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4107B" w:rsidRPr="00762B34" w:rsidRDefault="0094107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4107B" w:rsidRPr="00762B34" w:rsidRDefault="0094107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4107B" w:rsidRPr="00762B34" w:rsidRDefault="0094107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 DE OCTUBRE </w:t>
      </w:r>
      <w:r>
        <w:rPr>
          <w:rFonts w:ascii="Helvetica" w:hAnsi="Helvetica"/>
          <w:b/>
          <w:lang w:val="es-ES_tradnl"/>
        </w:rPr>
        <w:t>DE 2018</w:t>
      </w:r>
    </w:p>
    <w:p w:rsidR="0094107B" w:rsidRPr="00762B34" w:rsidRDefault="0094107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4107B" w:rsidRPr="00762B34" w:rsidRDefault="0094107B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(E. E. Nº 2018-17-1-0004490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4612/18</w:t>
      </w:r>
      <w:r w:rsidRPr="00762B34">
        <w:rPr>
          <w:rFonts w:cs="Arial"/>
          <w:b/>
          <w:lang w:val="en-US"/>
        </w:rPr>
        <w:t>)</w:t>
      </w:r>
    </w:p>
    <w:p w:rsidR="0094107B" w:rsidRDefault="0094107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94107B" w:rsidRDefault="0093713E" w:rsidP="0094107B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 w:rsidRPr="00F41302">
        <w:t>Administración Nacional de Combustibles</w:t>
      </w:r>
      <w:r w:rsidR="0094107B">
        <w:t>,</w:t>
      </w:r>
      <w:r w:rsidRPr="00F41302">
        <w:t xml:space="preserve"> Alcohol y Portland</w:t>
      </w:r>
      <w:r>
        <w:t xml:space="preserve"> (ANCAP)</w:t>
      </w:r>
      <w:r w:rsidRPr="00F41302">
        <w:t>, relacionados con</w:t>
      </w:r>
      <w:r w:rsidR="005674FC">
        <w:t xml:space="preserve"> la modificación del </w:t>
      </w:r>
      <w:r w:rsidRPr="00F41302">
        <w:t>acuerdo transaccional celebrado</w:t>
      </w:r>
      <w:r w:rsidR="0083113E">
        <w:t xml:space="preserve"> </w:t>
      </w:r>
      <w:r w:rsidR="00E11C15">
        <w:t>con GASUR,</w:t>
      </w:r>
      <w:r w:rsidR="00AF5B2A">
        <w:t xml:space="preserve"> </w:t>
      </w:r>
      <w:r w:rsidR="00E11C15">
        <w:t xml:space="preserve">ACODIKE, RIOGAS, MEGAL  y </w:t>
      </w:r>
      <w:r w:rsidR="00E11C15" w:rsidRPr="00DD5DC7">
        <w:t>DUCSA</w:t>
      </w:r>
      <w:r w:rsidR="00AF5B2A">
        <w:t>;</w:t>
      </w:r>
    </w:p>
    <w:p w:rsidR="0094107B" w:rsidRDefault="0093713E" w:rsidP="0094107B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</w:rPr>
      </w:pPr>
      <w:r w:rsidRPr="00DD5DC7">
        <w:rPr>
          <w:b/>
        </w:rPr>
        <w:t>RESULTANDO: 1</w:t>
      </w:r>
      <w:r w:rsidRPr="00DD5DC7">
        <w:rPr>
          <w:b/>
          <w:bCs/>
        </w:rPr>
        <w:t>)</w:t>
      </w:r>
      <w:r w:rsidR="006B5001">
        <w:rPr>
          <w:rFonts w:cs="Arial"/>
          <w:color w:val="000000"/>
        </w:rPr>
        <w:t xml:space="preserve"> </w:t>
      </w:r>
      <w:r w:rsidR="004B57FA" w:rsidRPr="004B57FA">
        <w:rPr>
          <w:bCs/>
        </w:rPr>
        <w:t>q</w:t>
      </w:r>
      <w:r w:rsidR="006013D7">
        <w:rPr>
          <w:bCs/>
        </w:rPr>
        <w:t>ue</w:t>
      </w:r>
      <w:r w:rsidR="0094107B">
        <w:rPr>
          <w:bCs/>
        </w:rPr>
        <w:t xml:space="preserve"> de acuerdo con</w:t>
      </w:r>
      <w:r w:rsidR="006B5001">
        <w:rPr>
          <w:bCs/>
        </w:rPr>
        <w:t xml:space="preserve"> lo</w:t>
      </w:r>
      <w:r w:rsidR="005E233D">
        <w:rPr>
          <w:bCs/>
        </w:rPr>
        <w:t xml:space="preserve">s antecedentes ingresados a </w:t>
      </w:r>
      <w:r w:rsidR="005E233D" w:rsidRPr="005E233D">
        <w:rPr>
          <w:bCs/>
        </w:rPr>
        <w:t xml:space="preserve">este Tribunal </w:t>
      </w:r>
      <w:r w:rsidR="00AF5B2A">
        <w:rPr>
          <w:bCs/>
        </w:rPr>
        <w:t>(</w:t>
      </w:r>
      <w:r w:rsidR="005E233D" w:rsidRPr="005E233D">
        <w:rPr>
          <w:spacing w:val="-3"/>
          <w:lang w:val="es-ES_tradnl"/>
        </w:rPr>
        <w:t xml:space="preserve">Entrada Nº 3315/18 de fecha </w:t>
      </w:r>
      <w:r w:rsidR="005E233D">
        <w:rPr>
          <w:spacing w:val="-3"/>
          <w:lang w:val="es-ES_tradnl"/>
        </w:rPr>
        <w:t>28</w:t>
      </w:r>
      <w:r w:rsidR="00CB02FF">
        <w:rPr>
          <w:spacing w:val="-3"/>
          <w:lang w:val="es-ES_tradnl"/>
        </w:rPr>
        <w:t xml:space="preserve"> de junio de 2018</w:t>
      </w:r>
      <w:r w:rsidR="00AF5B2A">
        <w:rPr>
          <w:spacing w:val="-3"/>
          <w:lang w:val="es-ES_tradnl"/>
        </w:rPr>
        <w:t>)</w:t>
      </w:r>
      <w:r w:rsidR="005E233D">
        <w:rPr>
          <w:spacing w:val="-3"/>
          <w:lang w:val="es-ES_tradnl"/>
        </w:rPr>
        <w:t xml:space="preserve">, </w:t>
      </w:r>
      <w:r w:rsidR="006B5001" w:rsidRPr="006B5001">
        <w:rPr>
          <w:bCs/>
        </w:rPr>
        <w:t xml:space="preserve"> </w:t>
      </w:r>
      <w:r w:rsidR="006B5001">
        <w:rPr>
          <w:bCs/>
        </w:rPr>
        <w:t xml:space="preserve">la Gerencia de Comercialización y Ventas Especialidades </w:t>
      </w:r>
      <w:r w:rsidR="005E233D">
        <w:rPr>
          <w:bCs/>
        </w:rPr>
        <w:t xml:space="preserve">del Ente informó </w:t>
      </w:r>
      <w:r w:rsidR="006B5001">
        <w:rPr>
          <w:bCs/>
        </w:rPr>
        <w:t xml:space="preserve">con fecha 31 de diciembre de 2013, </w:t>
      </w:r>
      <w:r w:rsidR="005E233D">
        <w:rPr>
          <w:bCs/>
        </w:rPr>
        <w:t xml:space="preserve">que </w:t>
      </w:r>
      <w:r w:rsidR="006B5001">
        <w:rPr>
          <w:bCs/>
        </w:rPr>
        <w:t>la Cámara Uruguaya de Gas</w:t>
      </w:r>
      <w:r w:rsidR="0094107B">
        <w:rPr>
          <w:bCs/>
        </w:rPr>
        <w:t xml:space="preserve"> Licuado solicitó oportunamente</w:t>
      </w:r>
      <w:r w:rsidR="00AF5B2A">
        <w:rPr>
          <w:bCs/>
        </w:rPr>
        <w:t>,</w:t>
      </w:r>
      <w:r w:rsidR="0094107B">
        <w:rPr>
          <w:bCs/>
        </w:rPr>
        <w:t xml:space="preserve"> </w:t>
      </w:r>
      <w:r w:rsidR="006B5001">
        <w:rPr>
          <w:bCs/>
        </w:rPr>
        <w:t xml:space="preserve">la revisión de la ponderación de los valores considerados en la paramétrica de ajuste del precio unitario de facturación del </w:t>
      </w:r>
      <w:proofErr w:type="spellStart"/>
      <w:r w:rsidR="006B5001">
        <w:rPr>
          <w:bCs/>
        </w:rPr>
        <w:t>superg</w:t>
      </w:r>
      <w:r w:rsidR="0094107B">
        <w:rPr>
          <w:bCs/>
        </w:rPr>
        <w:t>á</w:t>
      </w:r>
      <w:r w:rsidR="006B5001">
        <w:rPr>
          <w:bCs/>
        </w:rPr>
        <w:t>s</w:t>
      </w:r>
      <w:proofErr w:type="spellEnd"/>
      <w:r w:rsidR="00AF5B2A">
        <w:rPr>
          <w:bCs/>
        </w:rPr>
        <w:t>,</w:t>
      </w:r>
      <w:r w:rsidR="006B5001">
        <w:rPr>
          <w:bCs/>
        </w:rPr>
        <w:t xml:space="preserve"> a la cadena de distribución establecida</w:t>
      </w:r>
      <w:r w:rsidR="00AF5B2A">
        <w:rPr>
          <w:bCs/>
        </w:rPr>
        <w:t>,</w:t>
      </w:r>
      <w:r w:rsidR="006B5001">
        <w:rPr>
          <w:bCs/>
        </w:rPr>
        <w:t xml:space="preserve"> se</w:t>
      </w:r>
      <w:r w:rsidR="0094107B">
        <w:rPr>
          <w:bCs/>
        </w:rPr>
        <w:t>gún Resolución de Directorio N°</w:t>
      </w:r>
      <w:r w:rsidR="006B5001">
        <w:rPr>
          <w:bCs/>
        </w:rPr>
        <w:t>114/2/2008 de 27 de febrero de 2008, en tanto la evolución de lo laudado en los Consejos de Salarios había superado ampliamente a la</w:t>
      </w:r>
      <w:r w:rsidR="0094107B">
        <w:rPr>
          <w:bCs/>
        </w:rPr>
        <w:t xml:space="preserve"> evolución del IPC (Índice de Precios al C</w:t>
      </w:r>
      <w:r w:rsidR="006B5001">
        <w:rPr>
          <w:bCs/>
        </w:rPr>
        <w:t>onsumidor</w:t>
      </w:r>
      <w:r w:rsidR="005E233D">
        <w:rPr>
          <w:bCs/>
        </w:rPr>
        <w:t>)</w:t>
      </w:r>
      <w:r w:rsidR="006B5001">
        <w:rPr>
          <w:bCs/>
        </w:rPr>
        <w:t>;</w:t>
      </w:r>
    </w:p>
    <w:p w:rsidR="0094107B" w:rsidRDefault="007D06C5" w:rsidP="0094107B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2</w:t>
      </w:r>
      <w:r w:rsidR="00CB512F" w:rsidRPr="00CB512F">
        <w:rPr>
          <w:b/>
          <w:bCs/>
        </w:rPr>
        <w:t>)</w:t>
      </w:r>
      <w:r w:rsidR="00CB512F">
        <w:rPr>
          <w:b/>
          <w:bCs/>
        </w:rPr>
        <w:t xml:space="preserve"> </w:t>
      </w:r>
      <w:r w:rsidR="007D67B9" w:rsidRPr="00DD5DC7">
        <w:rPr>
          <w:bCs/>
        </w:rPr>
        <w:t>que</w:t>
      </w:r>
      <w:r w:rsidR="0083113E" w:rsidRPr="00DD5DC7">
        <w:rPr>
          <w:bCs/>
        </w:rPr>
        <w:t xml:space="preserve"> </w:t>
      </w:r>
      <w:r w:rsidR="005E233D">
        <w:rPr>
          <w:bCs/>
        </w:rPr>
        <w:t xml:space="preserve">en tal sentido, </w:t>
      </w:r>
      <w:r w:rsidR="00E11C15" w:rsidRPr="00DD5DC7">
        <w:rPr>
          <w:bCs/>
        </w:rPr>
        <w:t>con fecha</w:t>
      </w:r>
      <w:r w:rsidR="008679A4" w:rsidRPr="00DD5DC7">
        <w:rPr>
          <w:bCs/>
        </w:rPr>
        <w:t xml:space="preserve"> 13 de octubre de 2014, ANCAP</w:t>
      </w:r>
      <w:r w:rsidR="004B57FA">
        <w:rPr>
          <w:bCs/>
        </w:rPr>
        <w:t xml:space="preserve"> suscribió una transacción con</w:t>
      </w:r>
      <w:r w:rsidR="008679A4" w:rsidRPr="00DD5DC7">
        <w:rPr>
          <w:bCs/>
        </w:rPr>
        <w:t xml:space="preserve"> GAS URUGUAY S.A.</w:t>
      </w:r>
      <w:r w:rsidR="00F2000E">
        <w:rPr>
          <w:bCs/>
        </w:rPr>
        <w:t xml:space="preserve"> (GASUR)</w:t>
      </w:r>
      <w:r w:rsidR="008679A4" w:rsidRPr="00DD5DC7">
        <w:rPr>
          <w:bCs/>
        </w:rPr>
        <w:t>, ACODIKE SUPERGAS S.A.</w:t>
      </w:r>
      <w:r w:rsidR="00DA0013" w:rsidRPr="00DD5DC7">
        <w:rPr>
          <w:bCs/>
        </w:rPr>
        <w:t>, DISTRIBUIDORA</w:t>
      </w:r>
      <w:r w:rsidR="008679A4" w:rsidRPr="00DD5DC7">
        <w:rPr>
          <w:bCs/>
        </w:rPr>
        <w:t xml:space="preserve"> URUGUAYA DE COMBUSTI</w:t>
      </w:r>
      <w:r w:rsidR="0094107B">
        <w:rPr>
          <w:bCs/>
        </w:rPr>
        <w:softHyphen/>
      </w:r>
      <w:r w:rsidR="008679A4" w:rsidRPr="00DD5DC7">
        <w:rPr>
          <w:bCs/>
        </w:rPr>
        <w:t>BLE S.A.</w:t>
      </w:r>
      <w:r w:rsidR="00F2000E">
        <w:rPr>
          <w:bCs/>
        </w:rPr>
        <w:t xml:space="preserve"> (DUCSA)</w:t>
      </w:r>
      <w:r w:rsidR="00DA0013">
        <w:rPr>
          <w:bCs/>
        </w:rPr>
        <w:t>, MEGAL</w:t>
      </w:r>
      <w:r w:rsidR="00F2000E">
        <w:rPr>
          <w:bCs/>
        </w:rPr>
        <w:t xml:space="preserve"> S.A. y </w:t>
      </w:r>
      <w:r w:rsidR="008679A4" w:rsidRPr="00DD5DC7">
        <w:rPr>
          <w:bCs/>
        </w:rPr>
        <w:t>RIOGAS S.A.</w:t>
      </w:r>
      <w:r w:rsidR="00DA0013">
        <w:rPr>
          <w:bCs/>
        </w:rPr>
        <w:t>,</w:t>
      </w:r>
      <w:r w:rsidR="008679A4" w:rsidRPr="00DD5DC7">
        <w:rPr>
          <w:bCs/>
        </w:rPr>
        <w:t xml:space="preserve"> </w:t>
      </w:r>
      <w:r w:rsidR="00DA0013">
        <w:rPr>
          <w:bCs/>
        </w:rPr>
        <w:t>con</w:t>
      </w:r>
      <w:r w:rsidR="008679A4" w:rsidRPr="00DD5DC7">
        <w:rPr>
          <w:bCs/>
        </w:rPr>
        <w:t xml:space="preserve"> objeto </w:t>
      </w:r>
      <w:r w:rsidR="00DA0013">
        <w:rPr>
          <w:bCs/>
        </w:rPr>
        <w:t>de</w:t>
      </w:r>
      <w:r w:rsidR="008679A4" w:rsidRPr="00DD5DC7">
        <w:rPr>
          <w:bCs/>
        </w:rPr>
        <w:t xml:space="preserve"> acordar </w:t>
      </w:r>
      <w:r w:rsidR="00F2000E">
        <w:rPr>
          <w:bCs/>
        </w:rPr>
        <w:t>una</w:t>
      </w:r>
      <w:r w:rsidR="008679A4" w:rsidRPr="00DD5DC7">
        <w:rPr>
          <w:bCs/>
        </w:rPr>
        <w:t xml:space="preserve"> paramétrica de actualización de costos de la </w:t>
      </w:r>
      <w:r w:rsidR="00DD5DC7" w:rsidRPr="00DD5DC7">
        <w:rPr>
          <w:bCs/>
        </w:rPr>
        <w:t>actividad</w:t>
      </w:r>
      <w:r w:rsidR="008679A4" w:rsidRPr="00DD5DC7">
        <w:rPr>
          <w:bCs/>
        </w:rPr>
        <w:t xml:space="preserve"> de distribución y envasado de GLP</w:t>
      </w:r>
      <w:r w:rsidR="0094107B">
        <w:rPr>
          <w:bCs/>
        </w:rPr>
        <w:t xml:space="preserve"> (gas licuado de petróleo)</w:t>
      </w:r>
      <w:r w:rsidR="008679A4" w:rsidRPr="00DD5DC7">
        <w:rPr>
          <w:bCs/>
        </w:rPr>
        <w:t>;</w:t>
      </w:r>
    </w:p>
    <w:p w:rsidR="0094107B" w:rsidRDefault="00CB512F" w:rsidP="0094107B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3</w:t>
      </w:r>
      <w:r w:rsidR="008F6ABA" w:rsidRPr="008F6ABA">
        <w:rPr>
          <w:b/>
          <w:bCs/>
        </w:rPr>
        <w:t>)</w:t>
      </w:r>
      <w:r w:rsidR="009B4C1D">
        <w:rPr>
          <w:b/>
          <w:bCs/>
        </w:rPr>
        <w:t xml:space="preserve"> </w:t>
      </w:r>
      <w:r w:rsidR="008F6ABA">
        <w:rPr>
          <w:bCs/>
        </w:rPr>
        <w:t>q</w:t>
      </w:r>
      <w:r w:rsidR="008679A4" w:rsidRPr="00DD5DC7">
        <w:rPr>
          <w:bCs/>
        </w:rPr>
        <w:t>ue</w:t>
      </w:r>
      <w:r w:rsidR="00CB02FF">
        <w:rPr>
          <w:bCs/>
        </w:rPr>
        <w:t xml:space="preserve"> la G</w:t>
      </w:r>
      <w:r w:rsidR="004B57FA">
        <w:rPr>
          <w:bCs/>
        </w:rPr>
        <w:t xml:space="preserve">erencia de Comercialización fue notificada </w:t>
      </w:r>
      <w:r w:rsidR="00CB02FF">
        <w:rPr>
          <w:bCs/>
        </w:rPr>
        <w:t xml:space="preserve">en marzo de 2016 </w:t>
      </w:r>
      <w:r w:rsidR="004B57FA">
        <w:rPr>
          <w:bCs/>
        </w:rPr>
        <w:t xml:space="preserve">de que, debido a un cambio metodológico en el </w:t>
      </w:r>
      <w:r w:rsidR="004B57FA">
        <w:rPr>
          <w:bCs/>
        </w:rPr>
        <w:lastRenderedPageBreak/>
        <w:t xml:space="preserve">sistema utilizado por el Bureau of Labor </w:t>
      </w:r>
      <w:proofErr w:type="spellStart"/>
      <w:r w:rsidR="004B57FA">
        <w:rPr>
          <w:bCs/>
        </w:rPr>
        <w:t>Statistic</w:t>
      </w:r>
      <w:proofErr w:type="spellEnd"/>
      <w:r w:rsidR="004B57FA">
        <w:rPr>
          <w:bCs/>
        </w:rPr>
        <w:t xml:space="preserve">, el indicador PPICPE (Producer Price </w:t>
      </w:r>
      <w:proofErr w:type="spellStart"/>
      <w:r w:rsidR="004B57FA">
        <w:rPr>
          <w:bCs/>
        </w:rPr>
        <w:t>Index</w:t>
      </w:r>
      <w:proofErr w:type="spellEnd"/>
      <w:r w:rsidR="004B57FA">
        <w:rPr>
          <w:bCs/>
        </w:rPr>
        <w:t xml:space="preserve"> </w:t>
      </w:r>
      <w:proofErr w:type="spellStart"/>
      <w:r w:rsidR="004B57FA">
        <w:rPr>
          <w:bCs/>
        </w:rPr>
        <w:t>Finished</w:t>
      </w:r>
      <w:proofErr w:type="spellEnd"/>
      <w:r w:rsidR="004B57FA">
        <w:rPr>
          <w:bCs/>
        </w:rPr>
        <w:t xml:space="preserve"> </w:t>
      </w:r>
      <w:proofErr w:type="spellStart"/>
      <w:r w:rsidR="004B57FA">
        <w:rPr>
          <w:bCs/>
        </w:rPr>
        <w:t>Goods</w:t>
      </w:r>
      <w:proofErr w:type="spellEnd"/>
      <w:r w:rsidR="004B57FA">
        <w:rPr>
          <w:bCs/>
        </w:rPr>
        <w:t xml:space="preserve"> Capital </w:t>
      </w:r>
      <w:proofErr w:type="spellStart"/>
      <w:r w:rsidR="004B57FA">
        <w:rPr>
          <w:bCs/>
        </w:rPr>
        <w:t>Equipment</w:t>
      </w:r>
      <w:proofErr w:type="spellEnd"/>
      <w:r w:rsidR="004B57FA">
        <w:rPr>
          <w:bCs/>
        </w:rPr>
        <w:t xml:space="preserve">) que forma parte de la nueva paramétrica acordada en el acuerdo transaccional de 13 de octubre de 2014, fue sustituido por el PPIPCE (Producer Price </w:t>
      </w:r>
      <w:proofErr w:type="spellStart"/>
      <w:r w:rsidR="004B57FA">
        <w:rPr>
          <w:bCs/>
        </w:rPr>
        <w:t>Index</w:t>
      </w:r>
      <w:proofErr w:type="spellEnd"/>
      <w:r w:rsidR="004B57FA">
        <w:rPr>
          <w:bCs/>
        </w:rPr>
        <w:t xml:space="preserve"> </w:t>
      </w:r>
      <w:proofErr w:type="spellStart"/>
      <w:r w:rsidR="004B57FA">
        <w:rPr>
          <w:bCs/>
        </w:rPr>
        <w:t>Private</w:t>
      </w:r>
      <w:proofErr w:type="spellEnd"/>
      <w:r w:rsidR="004B57FA">
        <w:rPr>
          <w:bCs/>
        </w:rPr>
        <w:t xml:space="preserve"> Capital </w:t>
      </w:r>
      <w:proofErr w:type="spellStart"/>
      <w:r w:rsidR="004B57FA">
        <w:rPr>
          <w:bCs/>
        </w:rPr>
        <w:t>Equipment</w:t>
      </w:r>
      <w:proofErr w:type="spellEnd"/>
      <w:r w:rsidR="00E446DE">
        <w:rPr>
          <w:bCs/>
        </w:rPr>
        <w:t>);</w:t>
      </w:r>
    </w:p>
    <w:p w:rsidR="0094107B" w:rsidRDefault="00766E62" w:rsidP="0094107B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</w:rPr>
      </w:pPr>
      <w:r w:rsidRPr="00766E62">
        <w:rPr>
          <w:b/>
          <w:bCs/>
        </w:rPr>
        <w:t>4)</w:t>
      </w:r>
      <w:r w:rsidR="00E446DE">
        <w:rPr>
          <w:bCs/>
        </w:rPr>
        <w:t xml:space="preserve"> que consultada</w:t>
      </w:r>
      <w:r w:rsidR="005E233D">
        <w:rPr>
          <w:bCs/>
        </w:rPr>
        <w:t xml:space="preserve"> por el Ente </w:t>
      </w:r>
      <w:r w:rsidR="00E446DE">
        <w:rPr>
          <w:bCs/>
        </w:rPr>
        <w:t xml:space="preserve">la firma CPA </w:t>
      </w:r>
      <w:proofErr w:type="spellStart"/>
      <w:r w:rsidR="00E446DE">
        <w:rPr>
          <w:bCs/>
        </w:rPr>
        <w:t>Ferrere</w:t>
      </w:r>
      <w:proofErr w:type="spellEnd"/>
      <w:r w:rsidR="00E446DE">
        <w:rPr>
          <w:bCs/>
        </w:rPr>
        <w:t xml:space="preserve"> </w:t>
      </w:r>
      <w:r w:rsidR="00CB02FF">
        <w:rPr>
          <w:bCs/>
        </w:rPr>
        <w:t>respecto a la</w:t>
      </w:r>
      <w:r w:rsidR="0094107B">
        <w:rPr>
          <w:bCs/>
        </w:rPr>
        <w:t xml:space="preserve"> nueva paramétrica, é</w:t>
      </w:r>
      <w:r w:rsidR="00E446DE">
        <w:rPr>
          <w:bCs/>
        </w:rPr>
        <w:t>sta sugiere el uso de</w:t>
      </w:r>
      <w:r w:rsidR="00CB02FF">
        <w:rPr>
          <w:bCs/>
        </w:rPr>
        <w:t>l</w:t>
      </w:r>
      <w:r w:rsidR="00E446DE">
        <w:rPr>
          <w:bCs/>
        </w:rPr>
        <w:t xml:space="preserve"> nuevo indicador dado que</w:t>
      </w:r>
      <w:r w:rsidR="00AF5B2A">
        <w:rPr>
          <w:bCs/>
        </w:rPr>
        <w:t>,</w:t>
      </w:r>
      <w:r w:rsidR="00E446DE">
        <w:rPr>
          <w:bCs/>
        </w:rPr>
        <w:t xml:space="preserve"> conceptualmente</w:t>
      </w:r>
      <w:r w:rsidR="00AF5B2A">
        <w:rPr>
          <w:bCs/>
        </w:rPr>
        <w:t>,</w:t>
      </w:r>
      <w:r w:rsidR="00E446DE">
        <w:rPr>
          <w:bCs/>
        </w:rPr>
        <w:t xml:space="preserve"> representa prácticamente lo mismo que el anterior, y sus valores se comportaron siempre de forma similar;</w:t>
      </w:r>
    </w:p>
    <w:p w:rsidR="0094107B" w:rsidRDefault="00766E62" w:rsidP="0094107B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</w:rPr>
      </w:pPr>
      <w:r w:rsidRPr="00766E62">
        <w:rPr>
          <w:b/>
          <w:bCs/>
        </w:rPr>
        <w:t>5)</w:t>
      </w:r>
      <w:r w:rsidR="00E446DE">
        <w:rPr>
          <w:bCs/>
        </w:rPr>
        <w:t xml:space="preserve"> </w:t>
      </w:r>
      <w:r w:rsidR="00BE168F">
        <w:rPr>
          <w:bCs/>
        </w:rPr>
        <w:t xml:space="preserve">que con fecha 26 de junio de 2018 </w:t>
      </w:r>
      <w:r w:rsidR="00CB512F">
        <w:rPr>
          <w:bCs/>
        </w:rPr>
        <w:t xml:space="preserve">se </w:t>
      </w:r>
      <w:r w:rsidR="005E233D">
        <w:rPr>
          <w:bCs/>
        </w:rPr>
        <w:t>remitió</w:t>
      </w:r>
      <w:r w:rsidR="008679A4" w:rsidRPr="00DD5DC7">
        <w:rPr>
          <w:bCs/>
        </w:rPr>
        <w:t xml:space="preserve"> Resolución de Directorio N° 159/3/2018 de 8 de marzo de 2018</w:t>
      </w:r>
      <w:r w:rsidR="00CB512F">
        <w:rPr>
          <w:bCs/>
        </w:rPr>
        <w:t xml:space="preserve">, </w:t>
      </w:r>
      <w:r w:rsidR="00F2000E">
        <w:rPr>
          <w:bCs/>
        </w:rPr>
        <w:t xml:space="preserve">tomando </w:t>
      </w:r>
      <w:r w:rsidR="00175165">
        <w:rPr>
          <w:bCs/>
        </w:rPr>
        <w:t>conocimiento de lo</w:t>
      </w:r>
      <w:r w:rsidR="008679A4" w:rsidRPr="00DD5DC7">
        <w:rPr>
          <w:bCs/>
        </w:rPr>
        <w:t>s informes N° GCE/VCLE/VE 108/17 r</w:t>
      </w:r>
      <w:r w:rsidR="00175165">
        <w:rPr>
          <w:bCs/>
        </w:rPr>
        <w:t xml:space="preserve">especto al cambio del indicador </w:t>
      </w:r>
      <w:r w:rsidR="008679A4" w:rsidRPr="00DD5DC7">
        <w:rPr>
          <w:bCs/>
        </w:rPr>
        <w:t xml:space="preserve">PPCPE utilizado en la paramétrica de ajuste del </w:t>
      </w:r>
      <w:r w:rsidR="00DD5DC7" w:rsidRPr="00DD5DC7">
        <w:rPr>
          <w:bCs/>
        </w:rPr>
        <w:t>precio</w:t>
      </w:r>
      <w:r w:rsidR="008679A4" w:rsidRPr="00DD5DC7">
        <w:rPr>
          <w:bCs/>
        </w:rPr>
        <w:t xml:space="preserve">, por el </w:t>
      </w:r>
      <w:r w:rsidR="00DD5DC7" w:rsidRPr="00DD5DC7">
        <w:rPr>
          <w:bCs/>
        </w:rPr>
        <w:t>PPIPCE</w:t>
      </w:r>
      <w:r w:rsidR="00F2000E">
        <w:rPr>
          <w:bCs/>
        </w:rPr>
        <w:t>, y asimismo disponiendo la aprobación</w:t>
      </w:r>
      <w:r w:rsidR="00DD5DC7" w:rsidRPr="00DD5DC7">
        <w:rPr>
          <w:bCs/>
        </w:rPr>
        <w:t xml:space="preserve"> </w:t>
      </w:r>
      <w:r w:rsidR="00F2000E">
        <w:rPr>
          <w:bCs/>
        </w:rPr>
        <w:t>d</w:t>
      </w:r>
      <w:r w:rsidR="00DD5DC7" w:rsidRPr="00DD5DC7">
        <w:rPr>
          <w:bCs/>
        </w:rPr>
        <w:t>el borrador de la modificación al acuerdo transacciona</w:t>
      </w:r>
      <w:r w:rsidR="00CB512F">
        <w:rPr>
          <w:bCs/>
        </w:rPr>
        <w:t>l de fecha 13 de octubre de 2014</w:t>
      </w:r>
      <w:r w:rsidR="005757F4">
        <w:rPr>
          <w:bCs/>
        </w:rPr>
        <w:t>,  autorizando el reconocimiento a cuenta del importe que surja luego de calcular los ajustes retroactivos al 1° de abri</w:t>
      </w:r>
      <w:r w:rsidR="00CB512F">
        <w:rPr>
          <w:bCs/>
        </w:rPr>
        <w:t>l d</w:t>
      </w:r>
      <w:r w:rsidR="005757F4">
        <w:rPr>
          <w:bCs/>
        </w:rPr>
        <w:t>e</w:t>
      </w:r>
      <w:r w:rsidR="00CB512F">
        <w:rPr>
          <w:bCs/>
        </w:rPr>
        <w:t xml:space="preserve"> </w:t>
      </w:r>
      <w:r w:rsidR="005757F4">
        <w:rPr>
          <w:bCs/>
        </w:rPr>
        <w:t xml:space="preserve">2016 del índice IPPCPE </w:t>
      </w:r>
      <w:r w:rsidR="00AF5B2A">
        <w:rPr>
          <w:bCs/>
        </w:rPr>
        <w:t>(</w:t>
      </w:r>
      <w:r w:rsidR="005757F4">
        <w:rPr>
          <w:bCs/>
        </w:rPr>
        <w:t>utilizado en la paramétrica del margen de envasado</w:t>
      </w:r>
      <w:r w:rsidR="00AF5B2A">
        <w:rPr>
          <w:bCs/>
        </w:rPr>
        <w:t>)</w:t>
      </w:r>
      <w:r w:rsidR="005757F4">
        <w:rPr>
          <w:bCs/>
        </w:rPr>
        <w:t xml:space="preserve">, los que a noviembre de </w:t>
      </w:r>
      <w:r w:rsidR="00CC20EF">
        <w:rPr>
          <w:bCs/>
        </w:rPr>
        <w:t>2017 ascienden a $</w:t>
      </w:r>
      <w:r w:rsidR="0094107B">
        <w:rPr>
          <w:bCs/>
        </w:rPr>
        <w:t xml:space="preserve"> 5:</w:t>
      </w:r>
      <w:r w:rsidR="00CC20EF">
        <w:rPr>
          <w:bCs/>
        </w:rPr>
        <w:t>192.608</w:t>
      </w:r>
      <w:r w:rsidR="00AF5B2A">
        <w:rPr>
          <w:bCs/>
        </w:rPr>
        <w:t>. Dicho monto se</w:t>
      </w:r>
      <w:r w:rsidR="00CC20EF">
        <w:rPr>
          <w:bCs/>
        </w:rPr>
        <w:t xml:space="preserve"> dis</w:t>
      </w:r>
      <w:r w:rsidR="005757F4">
        <w:rPr>
          <w:bCs/>
        </w:rPr>
        <w:t>crimina de la siguiente forma</w:t>
      </w:r>
      <w:r w:rsidR="000B7F14">
        <w:rPr>
          <w:bCs/>
        </w:rPr>
        <w:t>:</w:t>
      </w:r>
      <w:r w:rsidR="005757F4">
        <w:rPr>
          <w:bCs/>
        </w:rPr>
        <w:t xml:space="preserve"> $</w:t>
      </w:r>
      <w:r w:rsidR="0094107B">
        <w:rPr>
          <w:bCs/>
        </w:rPr>
        <w:t xml:space="preserve"> 3:</w:t>
      </w:r>
      <w:r w:rsidR="005757F4">
        <w:rPr>
          <w:bCs/>
        </w:rPr>
        <w:t>840.235 a GASUR y $</w:t>
      </w:r>
      <w:r w:rsidR="0094107B">
        <w:rPr>
          <w:bCs/>
        </w:rPr>
        <w:t xml:space="preserve"> 1:</w:t>
      </w:r>
      <w:r w:rsidR="005757F4">
        <w:rPr>
          <w:bCs/>
        </w:rPr>
        <w:t>352.373 a MEGAL.</w:t>
      </w:r>
      <w:r w:rsidR="00CC20EF">
        <w:rPr>
          <w:bCs/>
        </w:rPr>
        <w:t xml:space="preserve"> </w:t>
      </w:r>
      <w:r w:rsidR="005757F4">
        <w:rPr>
          <w:bCs/>
        </w:rPr>
        <w:t>Los referidos importes podrán modificarse ya que los mismos están condicionados a que entre en vigencia la presente resolución de directorio y haya sido firmada por todas las partes la modificación del acuerdo transaccional mencionad</w:t>
      </w:r>
      <w:r w:rsidR="00AF5B2A">
        <w:rPr>
          <w:bCs/>
        </w:rPr>
        <w:t>o</w:t>
      </w:r>
      <w:r w:rsidR="005757F4">
        <w:rPr>
          <w:bCs/>
        </w:rPr>
        <w:t>;</w:t>
      </w:r>
    </w:p>
    <w:p w:rsidR="0094107B" w:rsidRDefault="004644FD" w:rsidP="0094107B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</w:rPr>
      </w:pPr>
      <w:r w:rsidRPr="004644FD">
        <w:rPr>
          <w:b/>
          <w:bCs/>
        </w:rPr>
        <w:t>6)</w:t>
      </w:r>
      <w:r w:rsidR="00AF5B2A">
        <w:rPr>
          <w:b/>
          <w:bCs/>
        </w:rPr>
        <w:t xml:space="preserve"> </w:t>
      </w:r>
      <w:r w:rsidR="00CA78AD">
        <w:rPr>
          <w:bCs/>
        </w:rPr>
        <w:t xml:space="preserve">que la Gerencia Económico Financiera del Ente informó que el gasto mencionado </w:t>
      </w:r>
      <w:r w:rsidR="00CA78AD" w:rsidRPr="00AF5B2A">
        <w:rPr>
          <w:bCs/>
          <w:i/>
        </w:rPr>
        <w:t>ut supra</w:t>
      </w:r>
      <w:r w:rsidR="00CA78AD">
        <w:rPr>
          <w:bCs/>
        </w:rPr>
        <w:t xml:space="preserve"> se hará efectivo con fondos del Presupuesto asignado al rubro presupuestal 2.609.001, denominado “Márge</w:t>
      </w:r>
      <w:r w:rsidR="0094107B">
        <w:rPr>
          <w:bCs/>
        </w:rPr>
        <w:t>nes de comercialización”, cuyo G</w:t>
      </w:r>
      <w:r w:rsidR="00CA78AD">
        <w:rPr>
          <w:bCs/>
        </w:rPr>
        <w:t xml:space="preserve">rupo  presenta disponibilidad suficiente en virtud de la prórroga automática según </w:t>
      </w:r>
      <w:r w:rsidR="0094107B">
        <w:rPr>
          <w:bCs/>
        </w:rPr>
        <w:t xml:space="preserve">Artículo </w:t>
      </w:r>
      <w:r w:rsidR="00CA78AD">
        <w:rPr>
          <w:bCs/>
        </w:rPr>
        <w:t>228 de la Constitución de la República;</w:t>
      </w:r>
    </w:p>
    <w:p w:rsidR="00CE1B8C" w:rsidRDefault="004644FD" w:rsidP="00CE1B8C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</w:rPr>
      </w:pPr>
      <w:r>
        <w:rPr>
          <w:b/>
          <w:bCs/>
        </w:rPr>
        <w:lastRenderedPageBreak/>
        <w:t>7</w:t>
      </w:r>
      <w:r w:rsidR="009B4C1D" w:rsidRPr="00766E62">
        <w:rPr>
          <w:b/>
          <w:bCs/>
        </w:rPr>
        <w:t>)</w:t>
      </w:r>
      <w:r w:rsidR="009B4C1D">
        <w:rPr>
          <w:bCs/>
        </w:rPr>
        <w:t xml:space="preserve"> </w:t>
      </w:r>
      <w:r w:rsidR="005757F4">
        <w:rPr>
          <w:bCs/>
        </w:rPr>
        <w:t>que</w:t>
      </w:r>
      <w:r w:rsidR="00BE168F">
        <w:rPr>
          <w:bCs/>
        </w:rPr>
        <w:t xml:space="preserve"> mediante Oficio N°</w:t>
      </w:r>
      <w:r w:rsidR="005E233D">
        <w:rPr>
          <w:bCs/>
        </w:rPr>
        <w:t>5422/2018</w:t>
      </w:r>
      <w:r w:rsidR="00BE168F">
        <w:rPr>
          <w:bCs/>
        </w:rPr>
        <w:t xml:space="preserve"> de fecha</w:t>
      </w:r>
      <w:r w:rsidR="005E233D">
        <w:rPr>
          <w:bCs/>
        </w:rPr>
        <w:t xml:space="preserve"> 16 de julio de 2018</w:t>
      </w:r>
      <w:r w:rsidR="00BE168F">
        <w:rPr>
          <w:bCs/>
        </w:rPr>
        <w:t xml:space="preserve">, este Tribunal dispuso </w:t>
      </w:r>
      <w:r w:rsidR="00AF5B2A">
        <w:rPr>
          <w:bCs/>
        </w:rPr>
        <w:t>-</w:t>
      </w:r>
      <w:r w:rsidR="00BE168F">
        <w:rPr>
          <w:bCs/>
        </w:rPr>
        <w:t>para mejor proveer</w:t>
      </w:r>
      <w:r w:rsidR="00AF5B2A">
        <w:rPr>
          <w:bCs/>
        </w:rPr>
        <w:t>-</w:t>
      </w:r>
      <w:r w:rsidR="00BE168F">
        <w:rPr>
          <w:bCs/>
        </w:rPr>
        <w:t xml:space="preserve"> devolver los antecedentes</w:t>
      </w:r>
      <w:r w:rsidR="00CA78AD">
        <w:rPr>
          <w:bCs/>
        </w:rPr>
        <w:t>,</w:t>
      </w:r>
      <w:r w:rsidR="00CA78AD">
        <w:t xml:space="preserve"> </w:t>
      </w:r>
      <w:r w:rsidR="00BE168F" w:rsidRPr="00BE168F">
        <w:rPr>
          <w:bCs/>
        </w:rPr>
        <w:t>en</w:t>
      </w:r>
      <w:r w:rsidR="00CA78AD">
        <w:rPr>
          <w:bCs/>
        </w:rPr>
        <w:t xml:space="preserve"> tanto existe divergencia  respecto a la fecha del acuerdo transaccional y</w:t>
      </w:r>
      <w:r w:rsidR="00AF5B2A">
        <w:rPr>
          <w:bCs/>
        </w:rPr>
        <w:t>,</w:t>
      </w:r>
      <w:r w:rsidR="00CA78AD">
        <w:rPr>
          <w:bCs/>
        </w:rPr>
        <w:t xml:space="preserve"> asimismo</w:t>
      </w:r>
      <w:r w:rsidR="00AF5B2A">
        <w:rPr>
          <w:bCs/>
        </w:rPr>
        <w:t>,</w:t>
      </w:r>
      <w:r w:rsidR="00CA78AD">
        <w:rPr>
          <w:bCs/>
        </w:rPr>
        <w:t xml:space="preserve"> a  los efectos de que se informe si dicho acuerdo</w:t>
      </w:r>
      <w:r w:rsidR="00CA78AD">
        <w:t xml:space="preserve"> </w:t>
      </w:r>
      <w:r w:rsidR="00BE168F" w:rsidRPr="00BE168F">
        <w:rPr>
          <w:bCs/>
        </w:rPr>
        <w:t>fue sometido a la intervención de este Tribunal</w:t>
      </w:r>
      <w:r>
        <w:rPr>
          <w:bCs/>
        </w:rPr>
        <w:t>;</w:t>
      </w:r>
    </w:p>
    <w:p w:rsidR="00EC40A9" w:rsidRDefault="004644FD" w:rsidP="00CE1B8C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</w:rPr>
      </w:pPr>
      <w:r w:rsidRPr="004644FD">
        <w:rPr>
          <w:b/>
          <w:bCs/>
        </w:rPr>
        <w:t>8)</w:t>
      </w:r>
      <w:r>
        <w:rPr>
          <w:b/>
          <w:bCs/>
        </w:rPr>
        <w:t xml:space="preserve"> </w:t>
      </w:r>
      <w:r w:rsidRPr="00EC40A9">
        <w:rPr>
          <w:bCs/>
        </w:rPr>
        <w:t>que</w:t>
      </w:r>
      <w:r w:rsidR="00EC40A9">
        <w:rPr>
          <w:bCs/>
        </w:rPr>
        <w:t xml:space="preserve"> en </w:t>
      </w:r>
      <w:r w:rsidRPr="00EC40A9">
        <w:rPr>
          <w:bCs/>
        </w:rPr>
        <w:t>esta oportunidad</w:t>
      </w:r>
      <w:r w:rsidR="00CB02FF">
        <w:rPr>
          <w:bCs/>
        </w:rPr>
        <w:t>,</w:t>
      </w:r>
      <w:r w:rsidRPr="00EC40A9">
        <w:rPr>
          <w:bCs/>
        </w:rPr>
        <w:t xml:space="preserve"> </w:t>
      </w:r>
      <w:r w:rsidR="00D83108">
        <w:rPr>
          <w:bCs/>
        </w:rPr>
        <w:t>el Ente</w:t>
      </w:r>
      <w:r w:rsidRPr="00EC40A9">
        <w:rPr>
          <w:bCs/>
        </w:rPr>
        <w:t xml:space="preserve"> remite Resolución de Directorio N° 785/9/2018 de fecha 20 de setiembre de 2018</w:t>
      </w:r>
      <w:r w:rsidR="00EC40A9">
        <w:rPr>
          <w:bCs/>
        </w:rPr>
        <w:t>,</w:t>
      </w:r>
      <w:r w:rsidR="005E233D">
        <w:rPr>
          <w:bCs/>
        </w:rPr>
        <w:t xml:space="preserve"> </w:t>
      </w:r>
      <w:r w:rsidR="00CB02FF">
        <w:rPr>
          <w:bCs/>
        </w:rPr>
        <w:t>la cual m</w:t>
      </w:r>
      <w:r w:rsidR="00D83108">
        <w:rPr>
          <w:bCs/>
        </w:rPr>
        <w:t>odif</w:t>
      </w:r>
      <w:r w:rsidR="00CB02FF">
        <w:rPr>
          <w:bCs/>
        </w:rPr>
        <w:t>ica</w:t>
      </w:r>
      <w:r w:rsidR="005E233D">
        <w:rPr>
          <w:bCs/>
        </w:rPr>
        <w:t xml:space="preserve"> la Resolución</w:t>
      </w:r>
      <w:r w:rsidRPr="00EC40A9">
        <w:rPr>
          <w:bCs/>
        </w:rPr>
        <w:t xml:space="preserve"> N° 159/3/2018 de 8 de marzo de 2018, </w:t>
      </w:r>
      <w:r w:rsidR="00D83108">
        <w:rPr>
          <w:bCs/>
        </w:rPr>
        <w:t xml:space="preserve">en el sentido de que es </w:t>
      </w:r>
      <w:r w:rsidR="00EC40A9" w:rsidRPr="00EC40A9">
        <w:rPr>
          <w:bCs/>
        </w:rPr>
        <w:t xml:space="preserve">correcta la fecha del </w:t>
      </w:r>
      <w:r w:rsidR="00CB02FF">
        <w:rPr>
          <w:bCs/>
        </w:rPr>
        <w:t xml:space="preserve">13 de octubre de 2014 del </w:t>
      </w:r>
      <w:r w:rsidR="00EC40A9" w:rsidRPr="00EC40A9">
        <w:rPr>
          <w:bCs/>
        </w:rPr>
        <w:t>acuerdo transaccional,</w:t>
      </w:r>
      <w:r w:rsidR="00D83108">
        <w:rPr>
          <w:bCs/>
        </w:rPr>
        <w:t xml:space="preserve"> y apr</w:t>
      </w:r>
      <w:r w:rsidR="00CB02FF">
        <w:rPr>
          <w:bCs/>
        </w:rPr>
        <w:t>ueba</w:t>
      </w:r>
      <w:r w:rsidR="00D83108">
        <w:rPr>
          <w:bCs/>
        </w:rPr>
        <w:t xml:space="preserve"> la modificación del acuerdo transaccional </w:t>
      </w:r>
      <w:r w:rsidR="00CB02FF">
        <w:rPr>
          <w:bCs/>
        </w:rPr>
        <w:t>en los términos ya citados. Asimismo s</w:t>
      </w:r>
      <w:r w:rsidR="00D83108">
        <w:rPr>
          <w:bCs/>
        </w:rPr>
        <w:t>e informa por nota de misma fecha</w:t>
      </w:r>
      <w:r w:rsidR="00CB02FF">
        <w:rPr>
          <w:bCs/>
        </w:rPr>
        <w:t>,</w:t>
      </w:r>
      <w:r w:rsidR="00D83108">
        <w:rPr>
          <w:bCs/>
        </w:rPr>
        <w:t xml:space="preserve"> que </w:t>
      </w:r>
      <w:r w:rsidR="00D83108" w:rsidRPr="00EC40A9">
        <w:rPr>
          <w:bCs/>
        </w:rPr>
        <w:t xml:space="preserve">el </w:t>
      </w:r>
      <w:r w:rsidR="00CB02FF">
        <w:rPr>
          <w:bCs/>
        </w:rPr>
        <w:t>referido</w:t>
      </w:r>
      <w:r w:rsidR="00D83108">
        <w:rPr>
          <w:bCs/>
        </w:rPr>
        <w:t xml:space="preserve"> </w:t>
      </w:r>
      <w:r w:rsidR="00D83108" w:rsidRPr="00EC40A9">
        <w:rPr>
          <w:bCs/>
        </w:rPr>
        <w:t xml:space="preserve">acuerdo </w:t>
      </w:r>
      <w:r w:rsidR="00EC40A9" w:rsidRPr="00EC40A9">
        <w:rPr>
          <w:bCs/>
        </w:rPr>
        <w:t>no fue sometido a la intervención</w:t>
      </w:r>
      <w:r w:rsidR="00EC40A9">
        <w:rPr>
          <w:bCs/>
        </w:rPr>
        <w:t xml:space="preserve"> de este Tribunal, en tanto </w:t>
      </w:r>
      <w:r w:rsidR="0087648E">
        <w:rPr>
          <w:bCs/>
        </w:rPr>
        <w:t>la</w:t>
      </w:r>
      <w:r w:rsidR="00EC40A9">
        <w:rPr>
          <w:bCs/>
        </w:rPr>
        <w:t xml:space="preserve"> paramétrica de actualización de márgenes comerciales </w:t>
      </w:r>
      <w:r w:rsidR="0087648E">
        <w:rPr>
          <w:bCs/>
        </w:rPr>
        <w:t xml:space="preserve">se </w:t>
      </w:r>
      <w:r w:rsidR="00EC40A9">
        <w:rPr>
          <w:bCs/>
        </w:rPr>
        <w:t>considera como descuento comercial a las Distribuidoras de GLP bajo el rubro “Márgenes Comerciales”</w:t>
      </w:r>
      <w:r w:rsidR="00D83108">
        <w:rPr>
          <w:bCs/>
        </w:rPr>
        <w:t xml:space="preserve">, y por lo tanto </w:t>
      </w:r>
      <w:r w:rsidR="00CB02FF">
        <w:rPr>
          <w:bCs/>
        </w:rPr>
        <w:t>no configura</w:t>
      </w:r>
      <w:r w:rsidR="00D83108">
        <w:rPr>
          <w:bCs/>
        </w:rPr>
        <w:t xml:space="preserve"> un gasto adicional</w:t>
      </w:r>
      <w:r w:rsidR="00EC40A9">
        <w:rPr>
          <w:bCs/>
        </w:rPr>
        <w:t>;</w:t>
      </w:r>
    </w:p>
    <w:p w:rsidR="00CE1B8C" w:rsidRDefault="0093713E" w:rsidP="00CE1B8C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 w:rsidRPr="00B3256C">
        <w:rPr>
          <w:b/>
          <w:spacing w:val="-3"/>
        </w:rPr>
        <w:t>C</w:t>
      </w:r>
      <w:r w:rsidRPr="00B3256C">
        <w:rPr>
          <w:b/>
          <w:spacing w:val="-3"/>
          <w:lang w:val="es-ES_tradnl"/>
        </w:rPr>
        <w:t>ONSIDERANDO: 1)</w:t>
      </w:r>
      <w:r w:rsidR="00CB02FF">
        <w:rPr>
          <w:bCs/>
          <w:spacing w:val="-3"/>
          <w:lang w:val="es-ES_tradnl"/>
        </w:rPr>
        <w:t xml:space="preserve"> que por R</w:t>
      </w:r>
      <w:r w:rsidRPr="00B3256C">
        <w:rPr>
          <w:bCs/>
          <w:spacing w:val="-3"/>
          <w:lang w:val="es-ES_tradnl"/>
        </w:rPr>
        <w:t>esolución del Tribunal de Cuentas de</w:t>
      </w:r>
      <w:r w:rsidRPr="00B3256C">
        <w:rPr>
          <w:b/>
          <w:spacing w:val="-3"/>
          <w:lang w:val="es-ES_tradnl"/>
        </w:rPr>
        <w:t xml:space="preserve"> </w:t>
      </w:r>
      <w:r w:rsidRPr="00B3256C">
        <w:rPr>
          <w:bCs/>
          <w:spacing w:val="-3"/>
          <w:lang w:val="es-ES_tradnl"/>
        </w:rPr>
        <w:t>fecha 18 de junio de 2008 en la redacción d</w:t>
      </w:r>
      <w:r w:rsidR="00CE1B8C">
        <w:rPr>
          <w:bCs/>
          <w:spacing w:val="-3"/>
          <w:lang w:val="es-ES_tradnl"/>
        </w:rPr>
        <w:t>ada por el A</w:t>
      </w:r>
      <w:r w:rsidRPr="00B3256C">
        <w:rPr>
          <w:bCs/>
          <w:spacing w:val="-3"/>
          <w:lang w:val="es-ES_tradnl"/>
        </w:rPr>
        <w:t>rtículo 2 de la Resol</w:t>
      </w:r>
      <w:r w:rsidR="003A5578" w:rsidRPr="00B3256C">
        <w:rPr>
          <w:bCs/>
          <w:spacing w:val="-3"/>
          <w:lang w:val="es-ES_tradnl"/>
        </w:rPr>
        <w:t xml:space="preserve">ución de este Tribunal de 23 de diciembre de </w:t>
      </w:r>
      <w:r w:rsidRPr="00B3256C">
        <w:rPr>
          <w:bCs/>
          <w:spacing w:val="-3"/>
          <w:lang w:val="es-ES_tradnl"/>
        </w:rPr>
        <w:t>2009, se dispuso que se deben remitir al mismo, para su intervención, todos los gastos emergentes de transacciones  extrajudiciales y laudos  arbitrales, cualquiera sea su monto;</w:t>
      </w:r>
    </w:p>
    <w:p w:rsidR="00CE1B8C" w:rsidRDefault="00A24AC3" w:rsidP="00CE1B8C">
      <w:pPr>
        <w:tabs>
          <w:tab w:val="left" w:pos="-720"/>
        </w:tabs>
        <w:suppressAutoHyphens/>
        <w:spacing w:line="360" w:lineRule="auto"/>
        <w:ind w:firstLine="3119"/>
        <w:jc w:val="both"/>
        <w:rPr>
          <w:bCs/>
        </w:rPr>
      </w:pPr>
      <w:r>
        <w:rPr>
          <w:b/>
          <w:bCs/>
        </w:rPr>
        <w:t>2</w:t>
      </w:r>
      <w:r w:rsidR="00D83108" w:rsidRPr="001D1E3F">
        <w:rPr>
          <w:b/>
          <w:bCs/>
        </w:rPr>
        <w:t>)</w:t>
      </w:r>
      <w:r w:rsidR="00D83108">
        <w:rPr>
          <w:bCs/>
        </w:rPr>
        <w:t xml:space="preserve"> que </w:t>
      </w:r>
      <w:r>
        <w:rPr>
          <w:bCs/>
        </w:rPr>
        <w:t>el</w:t>
      </w:r>
      <w:r w:rsidR="00D83108">
        <w:t xml:space="preserve"> </w:t>
      </w:r>
      <w:r w:rsidR="00D83108" w:rsidRPr="00F41302">
        <w:t>acuerdo transaccional celebrado</w:t>
      </w:r>
      <w:r w:rsidR="00D83108">
        <w:t xml:space="preserve"> </w:t>
      </w:r>
      <w:r>
        <w:t xml:space="preserve">por ANCAP </w:t>
      </w:r>
      <w:r w:rsidR="00D83108">
        <w:t>con GASUR,</w:t>
      </w:r>
      <w:r w:rsidR="00AF5B2A">
        <w:t xml:space="preserve"> </w:t>
      </w:r>
      <w:r w:rsidR="00D83108">
        <w:t xml:space="preserve">ACODIKE, RIOGAS, MEGAL  y </w:t>
      </w:r>
      <w:r w:rsidR="00D83108" w:rsidRPr="00DD5DC7">
        <w:t>DUCSA</w:t>
      </w:r>
      <w:r w:rsidR="00D83108">
        <w:t xml:space="preserve"> de 13 de octubre de 2014</w:t>
      </w:r>
      <w:r w:rsidR="00AF5B2A">
        <w:t>,</w:t>
      </w:r>
      <w:r w:rsidR="00D83108">
        <w:rPr>
          <w:bCs/>
        </w:rPr>
        <w:t xml:space="preserve"> </w:t>
      </w:r>
      <w:r>
        <w:rPr>
          <w:bCs/>
        </w:rPr>
        <w:t>no fue remitido a este Tribunal</w:t>
      </w:r>
      <w:r w:rsidR="00CB02FF">
        <w:rPr>
          <w:bCs/>
        </w:rPr>
        <w:t xml:space="preserve"> para su intervención</w:t>
      </w:r>
      <w:r>
        <w:rPr>
          <w:bCs/>
        </w:rPr>
        <w:t>, en tanto de acuerdo a lo informado por el Ente</w:t>
      </w:r>
      <w:r w:rsidR="007D06C5">
        <w:rPr>
          <w:bCs/>
        </w:rPr>
        <w:t>,</w:t>
      </w:r>
      <w:r>
        <w:rPr>
          <w:bCs/>
        </w:rPr>
        <w:t xml:space="preserve">  no surge del mismo un gasto (Resultando  8), no siendo </w:t>
      </w:r>
      <w:r w:rsidR="00AF5B2A">
        <w:rPr>
          <w:bCs/>
        </w:rPr>
        <w:t xml:space="preserve">por tanto </w:t>
      </w:r>
      <w:r>
        <w:rPr>
          <w:bCs/>
        </w:rPr>
        <w:t>necesaria su r</w:t>
      </w:r>
      <w:r w:rsidR="007D06C5">
        <w:rPr>
          <w:bCs/>
        </w:rPr>
        <w:t>e</w:t>
      </w:r>
      <w:r>
        <w:rPr>
          <w:bCs/>
        </w:rPr>
        <w:t>misión</w:t>
      </w:r>
      <w:r w:rsidR="006B0D2E">
        <w:rPr>
          <w:bCs/>
        </w:rPr>
        <w:t>;</w:t>
      </w:r>
    </w:p>
    <w:p w:rsidR="00CE1B8C" w:rsidRDefault="00BB56E1" w:rsidP="00CE1B8C">
      <w:pPr>
        <w:tabs>
          <w:tab w:val="left" w:pos="-720"/>
        </w:tabs>
        <w:suppressAutoHyphens/>
        <w:spacing w:line="360" w:lineRule="auto"/>
        <w:ind w:firstLine="3119"/>
        <w:jc w:val="both"/>
        <w:rPr>
          <w:bCs/>
        </w:rPr>
      </w:pPr>
      <w:r w:rsidRPr="007D06C5">
        <w:rPr>
          <w:b/>
          <w:bCs/>
        </w:rPr>
        <w:t>3)</w:t>
      </w:r>
      <w:r w:rsidRPr="007D06C5">
        <w:rPr>
          <w:bCs/>
        </w:rPr>
        <w:t xml:space="preserve"> que</w:t>
      </w:r>
      <w:r w:rsidR="007D06C5" w:rsidRPr="007D06C5">
        <w:rPr>
          <w:bCs/>
        </w:rPr>
        <w:t xml:space="preserve"> sin perjuicio de ello,</w:t>
      </w:r>
      <w:r w:rsidR="00A24AC3" w:rsidRPr="007D06C5">
        <w:rPr>
          <w:bCs/>
        </w:rPr>
        <w:t xml:space="preserve"> </w:t>
      </w:r>
      <w:r w:rsidR="00D83108" w:rsidRPr="007D06C5">
        <w:rPr>
          <w:bCs/>
        </w:rPr>
        <w:t>la</w:t>
      </w:r>
      <w:r w:rsidR="007D06C5">
        <w:rPr>
          <w:bCs/>
        </w:rPr>
        <w:t xml:space="preserve"> </w:t>
      </w:r>
      <w:r w:rsidR="00D83108">
        <w:rPr>
          <w:bCs/>
        </w:rPr>
        <w:t>modificación del acuerdo</w:t>
      </w:r>
      <w:r w:rsidR="007D06C5">
        <w:rPr>
          <w:bCs/>
        </w:rPr>
        <w:t xml:space="preserve"> que se ha </w:t>
      </w:r>
      <w:r w:rsidR="00D83108">
        <w:rPr>
          <w:bCs/>
        </w:rPr>
        <w:t xml:space="preserve"> pr</w:t>
      </w:r>
      <w:r w:rsidR="007D06C5">
        <w:rPr>
          <w:bCs/>
        </w:rPr>
        <w:t>oyectado en la oportunidad,</w:t>
      </w:r>
      <w:r w:rsidR="00D83108">
        <w:rPr>
          <w:bCs/>
        </w:rPr>
        <w:t xml:space="preserve"> prevé un gasto por concepto de ajuste retroactivo</w:t>
      </w:r>
      <w:r w:rsidR="00D83108" w:rsidRPr="00455B6F">
        <w:rPr>
          <w:bCs/>
        </w:rPr>
        <w:t xml:space="preserve"> </w:t>
      </w:r>
      <w:r w:rsidR="00D83108">
        <w:rPr>
          <w:bCs/>
        </w:rPr>
        <w:t>al 1° de abril de 2016 del índice IPPCPE</w:t>
      </w:r>
      <w:r w:rsidR="007D06C5">
        <w:rPr>
          <w:bCs/>
        </w:rPr>
        <w:t xml:space="preserve">, el cual fue sustituido por el </w:t>
      </w:r>
      <w:r w:rsidR="00CB02FF">
        <w:rPr>
          <w:bCs/>
        </w:rPr>
        <w:t xml:space="preserve">índice </w:t>
      </w:r>
      <w:r w:rsidR="007D06C5">
        <w:rPr>
          <w:bCs/>
        </w:rPr>
        <w:t>PPIPCE</w:t>
      </w:r>
      <w:r w:rsidR="00CB02FF">
        <w:rPr>
          <w:bCs/>
        </w:rPr>
        <w:t>,</w:t>
      </w:r>
      <w:r w:rsidR="007D06C5">
        <w:rPr>
          <w:bCs/>
        </w:rPr>
        <w:t xml:space="preserve"> </w:t>
      </w:r>
      <w:r w:rsidR="00D83108">
        <w:rPr>
          <w:bCs/>
        </w:rPr>
        <w:t xml:space="preserve">utilizado en la paramétrica del margen de </w:t>
      </w:r>
      <w:r w:rsidR="00D83108">
        <w:rPr>
          <w:bCs/>
        </w:rPr>
        <w:lastRenderedPageBreak/>
        <w:t>envasado</w:t>
      </w:r>
      <w:r w:rsidR="007D06C5">
        <w:rPr>
          <w:bCs/>
        </w:rPr>
        <w:t xml:space="preserve">, ascendiendo </w:t>
      </w:r>
      <w:r w:rsidR="009E7D0C">
        <w:rPr>
          <w:bCs/>
        </w:rPr>
        <w:t xml:space="preserve">dicho ajuste </w:t>
      </w:r>
      <w:r w:rsidR="007D06C5">
        <w:rPr>
          <w:bCs/>
        </w:rPr>
        <w:t xml:space="preserve">a noviembre de 2017, </w:t>
      </w:r>
      <w:r w:rsidR="009E7D0C">
        <w:rPr>
          <w:bCs/>
        </w:rPr>
        <w:t xml:space="preserve">a la suma de </w:t>
      </w:r>
      <w:r w:rsidR="007D06C5">
        <w:rPr>
          <w:bCs/>
        </w:rPr>
        <w:t>$</w:t>
      </w:r>
      <w:r w:rsidR="00CE1B8C">
        <w:rPr>
          <w:bCs/>
        </w:rPr>
        <w:t>5:</w:t>
      </w:r>
      <w:r w:rsidR="007D06C5">
        <w:rPr>
          <w:bCs/>
        </w:rPr>
        <w:t>192.608 (Resultandos 3 y 5)</w:t>
      </w:r>
      <w:r w:rsidR="00A24AC3">
        <w:rPr>
          <w:bCs/>
        </w:rPr>
        <w:t>;</w:t>
      </w:r>
    </w:p>
    <w:p w:rsidR="000B7F14" w:rsidRPr="002563BC" w:rsidRDefault="00A24AC3" w:rsidP="00CE1B8C">
      <w:pPr>
        <w:tabs>
          <w:tab w:val="left" w:pos="-720"/>
        </w:tabs>
        <w:suppressAutoHyphens/>
        <w:spacing w:line="360" w:lineRule="auto"/>
        <w:ind w:firstLine="3119"/>
        <w:jc w:val="both"/>
        <w:rPr>
          <w:bCs/>
          <w:lang w:val="es-ES_tradnl"/>
        </w:rPr>
      </w:pPr>
      <w:r w:rsidRPr="00A24AC3">
        <w:rPr>
          <w:b/>
          <w:bCs/>
        </w:rPr>
        <w:t>4)</w:t>
      </w:r>
      <w:r>
        <w:rPr>
          <w:b/>
          <w:bCs/>
        </w:rPr>
        <w:t xml:space="preserve"> </w:t>
      </w:r>
      <w:r w:rsidRPr="00A24AC3">
        <w:rPr>
          <w:bCs/>
        </w:rPr>
        <w:t>que en tal sentido</w:t>
      </w:r>
      <w:r w:rsidR="00BB56E1">
        <w:rPr>
          <w:bCs/>
        </w:rPr>
        <w:t>,</w:t>
      </w:r>
      <w:r w:rsidR="002563BC">
        <w:rPr>
          <w:bCs/>
        </w:rPr>
        <w:t xml:space="preserve"> </w:t>
      </w:r>
      <w:r w:rsidRPr="00A24AC3">
        <w:rPr>
          <w:bCs/>
        </w:rPr>
        <w:t>la modificación proyectada</w:t>
      </w:r>
      <w:r w:rsidR="002563BC">
        <w:rPr>
          <w:bCs/>
        </w:rPr>
        <w:t xml:space="preserve"> no merece objeciones legales. L</w:t>
      </w:r>
      <w:r w:rsidR="002563BC" w:rsidRPr="002563BC">
        <w:rPr>
          <w:bCs/>
        </w:rPr>
        <w:t>os aspectos que refieren a oportu</w:t>
      </w:r>
      <w:r w:rsidR="002563BC">
        <w:rPr>
          <w:bCs/>
        </w:rPr>
        <w:t>nidad o conveniencia de la transacción remitida</w:t>
      </w:r>
      <w:r w:rsidR="002563BC" w:rsidRPr="002563BC">
        <w:rPr>
          <w:bCs/>
        </w:rPr>
        <w:t xml:space="preserve"> </w:t>
      </w:r>
      <w:r w:rsidR="002563BC">
        <w:rPr>
          <w:bCs/>
        </w:rPr>
        <w:t xml:space="preserve">y su modificación, </w:t>
      </w:r>
      <w:r w:rsidR="002563BC" w:rsidRPr="002563BC">
        <w:rPr>
          <w:bCs/>
        </w:rPr>
        <w:t>constituyen una cuestión de mérito cuya apreciación no encuadra en el ámbito de competencia de este Tribunal;</w:t>
      </w:r>
      <w:r w:rsidR="002563BC">
        <w:rPr>
          <w:bCs/>
          <w:lang w:val="es-ES_tradnl"/>
        </w:rPr>
        <w:t xml:space="preserve">  </w:t>
      </w:r>
    </w:p>
    <w:p w:rsidR="0093713E" w:rsidRPr="000B7F14" w:rsidRDefault="0093713E" w:rsidP="00CE1B8C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 w:rsidRPr="00B3256C">
        <w:rPr>
          <w:b/>
          <w:spacing w:val="-3"/>
          <w:lang w:val="es-ES_tradnl"/>
        </w:rPr>
        <w:t>ATENTO:</w:t>
      </w:r>
      <w:r w:rsidRPr="00B3256C">
        <w:rPr>
          <w:spacing w:val="-3"/>
          <w:lang w:val="es-ES_tradnl"/>
        </w:rPr>
        <w:t xml:space="preserve"> </w:t>
      </w:r>
      <w:r w:rsidRPr="00B3256C">
        <w:rPr>
          <w:rFonts w:ascii="LiberationSans-Regular" w:hAnsi="LiberationSans-Regular"/>
        </w:rPr>
        <w:t>a lo precedentemente expu</w:t>
      </w:r>
      <w:r w:rsidR="00CE1B8C">
        <w:rPr>
          <w:rFonts w:ascii="LiberationSans-Regular" w:hAnsi="LiberationSans-Regular"/>
        </w:rPr>
        <w:t>esto, a lo dispuesto por el Artículo 211 L</w:t>
      </w:r>
      <w:r w:rsidR="003A5578" w:rsidRPr="00B3256C">
        <w:rPr>
          <w:rFonts w:ascii="LiberationSans-Regular" w:hAnsi="LiberationSans-Regular"/>
        </w:rPr>
        <w:t>iteral</w:t>
      </w:r>
      <w:r w:rsidRPr="00B3256C">
        <w:rPr>
          <w:rFonts w:ascii="LiberationSans-Regular" w:hAnsi="LiberationSans-Regular"/>
        </w:rPr>
        <w:t xml:space="preserve"> B) de la Constitución de la República;</w:t>
      </w:r>
    </w:p>
    <w:p w:rsidR="0093713E" w:rsidRPr="00B3256C" w:rsidRDefault="0093713E" w:rsidP="00CE1B8C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rPr>
          <w:rFonts w:ascii="Arial" w:hAnsi="Arial"/>
          <w:bCs/>
          <w:snapToGrid/>
          <w:spacing w:val="0"/>
          <w:szCs w:val="24"/>
          <w:lang w:val="es-ES"/>
        </w:rPr>
      </w:pPr>
      <w:r w:rsidRPr="00B3256C">
        <w:rPr>
          <w:rFonts w:ascii="Arial" w:hAnsi="Arial"/>
          <w:bCs/>
          <w:snapToGrid/>
          <w:spacing w:val="0"/>
          <w:szCs w:val="24"/>
          <w:lang w:val="es-ES"/>
        </w:rPr>
        <w:t>EL TRIBUNAL ACUERDA</w:t>
      </w:r>
    </w:p>
    <w:p w:rsidR="00D5191D" w:rsidRDefault="00D5191D" w:rsidP="00CE1B8C">
      <w:pPr>
        <w:pStyle w:val="Prrafodelista"/>
        <w:numPr>
          <w:ilvl w:val="0"/>
          <w:numId w:val="2"/>
        </w:numPr>
        <w:tabs>
          <w:tab w:val="left" w:pos="-720"/>
          <w:tab w:val="left" w:pos="284"/>
        </w:tabs>
        <w:suppressAutoHyphens/>
        <w:spacing w:line="360" w:lineRule="auto"/>
        <w:ind w:left="284" w:hanging="284"/>
        <w:jc w:val="both"/>
        <w:rPr>
          <w:rFonts w:cs="Arial"/>
          <w:sz w:val="16"/>
          <w:szCs w:val="16"/>
          <w:lang w:val="es-ES_tradnl"/>
        </w:rPr>
      </w:pPr>
      <w:r w:rsidRPr="00D5191D">
        <w:rPr>
          <w:rFonts w:cs="Arial"/>
        </w:rPr>
        <w:t xml:space="preserve">Suscrita la modificación </w:t>
      </w:r>
      <w:r w:rsidR="006B0D2E">
        <w:rPr>
          <w:rFonts w:cs="Arial"/>
        </w:rPr>
        <w:t>al</w:t>
      </w:r>
      <w:r w:rsidRPr="00D5191D">
        <w:rPr>
          <w:rFonts w:cs="Arial"/>
        </w:rPr>
        <w:t xml:space="preserve"> acuerdo </w:t>
      </w:r>
      <w:r w:rsidRPr="00D5191D">
        <w:rPr>
          <w:spacing w:val="-3"/>
          <w:lang w:val="es-ES_tradnl"/>
        </w:rPr>
        <w:t>transaccional de f</w:t>
      </w:r>
      <w:r w:rsidR="00CE1B8C">
        <w:rPr>
          <w:spacing w:val="-3"/>
          <w:lang w:val="es-ES_tradnl"/>
        </w:rPr>
        <w:t>echa 13 de octubre de 2014 por</w:t>
      </w:r>
      <w:bookmarkStart w:id="0" w:name="_GoBack"/>
      <w:bookmarkEnd w:id="0"/>
      <w:r w:rsidRPr="00D5191D">
        <w:rPr>
          <w:spacing w:val="-3"/>
          <w:lang w:val="es-ES_tradnl"/>
        </w:rPr>
        <w:t xml:space="preserve"> la </w:t>
      </w:r>
      <w:r w:rsidRPr="00F41302">
        <w:t>Administración Nacional de Combustibles Alcohol y Portland</w:t>
      </w:r>
      <w:r>
        <w:t xml:space="preserve"> (ANCAP)</w:t>
      </w:r>
      <w:r w:rsidRPr="00F41302">
        <w:t xml:space="preserve">, </w:t>
      </w:r>
      <w:r>
        <w:t>y  GASUR,</w:t>
      </w:r>
      <w:r w:rsidR="00041FBC">
        <w:t xml:space="preserve"> </w:t>
      </w:r>
      <w:r>
        <w:t xml:space="preserve">ACODIKE, RIOGAS, MEGAL  y </w:t>
      </w:r>
      <w:r w:rsidRPr="00DD5DC7">
        <w:t>DUCSA</w:t>
      </w:r>
      <w:r>
        <w:t>,</w:t>
      </w:r>
      <w:r w:rsidRPr="00D5191D">
        <w:rPr>
          <w:rFonts w:cs="Arial"/>
        </w:rPr>
        <w:t xml:space="preserve"> </w:t>
      </w:r>
      <w:r w:rsidR="002563BC">
        <w:rPr>
          <w:spacing w:val="-3"/>
          <w:lang w:val="es-ES_tradnl"/>
        </w:rPr>
        <w:t>se comete</w:t>
      </w:r>
      <w:r w:rsidR="0093713E" w:rsidRPr="00D5191D">
        <w:rPr>
          <w:spacing w:val="-3"/>
          <w:lang w:val="es-ES_tradnl"/>
        </w:rPr>
        <w:t xml:space="preserve"> al Conta</w:t>
      </w:r>
      <w:r w:rsidR="0027049C" w:rsidRPr="00D5191D">
        <w:rPr>
          <w:spacing w:val="-3"/>
          <w:lang w:val="es-ES_tradnl"/>
        </w:rPr>
        <w:t xml:space="preserve">dor Delegado la intervención </w:t>
      </w:r>
      <w:r w:rsidR="003A5578" w:rsidRPr="00D5191D">
        <w:rPr>
          <w:spacing w:val="-3"/>
          <w:lang w:val="es-ES_tradnl"/>
        </w:rPr>
        <w:t xml:space="preserve">del gasto </w:t>
      </w:r>
      <w:r w:rsidR="00B3256C" w:rsidRPr="00D5191D">
        <w:rPr>
          <w:spacing w:val="-3"/>
          <w:lang w:val="es-ES_tradnl"/>
        </w:rPr>
        <w:t xml:space="preserve">emergente de la </w:t>
      </w:r>
      <w:r w:rsidRPr="00D5191D">
        <w:rPr>
          <w:spacing w:val="-3"/>
          <w:lang w:val="es-ES_tradnl"/>
        </w:rPr>
        <w:t>misma</w:t>
      </w:r>
      <w:r>
        <w:t xml:space="preserve">, </w:t>
      </w:r>
      <w:r w:rsidRPr="00D5191D">
        <w:rPr>
          <w:rFonts w:cs="Arial"/>
        </w:rPr>
        <w:t xml:space="preserve">previo control de su imputación con cargo a </w:t>
      </w:r>
      <w:r w:rsidR="006B0D2E">
        <w:rPr>
          <w:rFonts w:cs="Arial"/>
        </w:rPr>
        <w:t>G</w:t>
      </w:r>
      <w:r w:rsidRPr="00D5191D">
        <w:rPr>
          <w:rFonts w:cs="Arial"/>
        </w:rPr>
        <w:t>rupo adecuado con disponibilidad suficiente</w:t>
      </w:r>
      <w:r w:rsidR="006B0D2E">
        <w:rPr>
          <w:rFonts w:cs="Arial"/>
        </w:rPr>
        <w:t>;</w:t>
      </w:r>
    </w:p>
    <w:p w:rsidR="0093713E" w:rsidRPr="00D5191D" w:rsidRDefault="00D5191D" w:rsidP="00CE1B8C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rFonts w:cs="Arial"/>
          <w:sz w:val="16"/>
          <w:szCs w:val="16"/>
          <w:lang w:val="es-ES_tradnl"/>
        </w:rPr>
      </w:pPr>
      <w:r w:rsidRPr="00D5191D">
        <w:rPr>
          <w:spacing w:val="-3"/>
          <w:lang w:val="es-ES_tradnl"/>
        </w:rPr>
        <w:t>Comu</w:t>
      </w:r>
      <w:r w:rsidR="00CE1B8C">
        <w:rPr>
          <w:spacing w:val="-3"/>
          <w:lang w:val="es-ES_tradnl"/>
        </w:rPr>
        <w:t>nicar al Contador Delegado en</w:t>
      </w:r>
      <w:r w:rsidR="003A5578" w:rsidRPr="00D5191D">
        <w:rPr>
          <w:spacing w:val="-3"/>
          <w:lang w:val="es-ES_tradnl"/>
        </w:rPr>
        <w:t xml:space="preserve"> ANCAP;</w:t>
      </w:r>
      <w:r w:rsidR="00AA7336">
        <w:rPr>
          <w:spacing w:val="-3"/>
          <w:lang w:val="es-ES_tradnl"/>
        </w:rPr>
        <w:t xml:space="preserve"> y</w:t>
      </w:r>
    </w:p>
    <w:p w:rsidR="00CE1B8C" w:rsidRPr="00CE1B8C" w:rsidRDefault="003A5578" w:rsidP="00CE1B8C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line="360" w:lineRule="auto"/>
        <w:ind w:left="284" w:hanging="284"/>
        <w:jc w:val="both"/>
        <w:rPr>
          <w:spacing w:val="-3"/>
          <w:lang w:val="es-ES_tradnl"/>
        </w:rPr>
      </w:pPr>
      <w:r w:rsidRPr="00CE1B8C">
        <w:rPr>
          <w:spacing w:val="-3"/>
          <w:lang w:val="es-ES_tradnl"/>
        </w:rPr>
        <w:t>Devolver las actuaciones.</w:t>
      </w:r>
    </w:p>
    <w:p w:rsidR="00CE1B8C" w:rsidRDefault="00CE1B8C" w:rsidP="00CE1B8C">
      <w:pPr>
        <w:tabs>
          <w:tab w:val="left" w:pos="-720"/>
        </w:tabs>
        <w:suppressAutoHyphens/>
        <w:spacing w:line="360" w:lineRule="auto"/>
        <w:jc w:val="both"/>
        <w:rPr>
          <w:rFonts w:cs="Arial"/>
          <w:sz w:val="16"/>
          <w:szCs w:val="16"/>
          <w:lang w:val="es-ES_tradnl"/>
        </w:rPr>
      </w:pPr>
    </w:p>
    <w:p w:rsidR="00CE1B8C" w:rsidRDefault="00CE1B8C" w:rsidP="00CE1B8C">
      <w:pPr>
        <w:tabs>
          <w:tab w:val="left" w:pos="-720"/>
        </w:tabs>
        <w:suppressAutoHyphens/>
        <w:spacing w:line="360" w:lineRule="auto"/>
        <w:jc w:val="both"/>
        <w:rPr>
          <w:rFonts w:cs="Arial"/>
          <w:sz w:val="16"/>
          <w:szCs w:val="16"/>
          <w:lang w:val="es-ES_tradnl"/>
        </w:rPr>
      </w:pPr>
    </w:p>
    <w:p w:rsidR="00CE1B8C" w:rsidRDefault="00CE1B8C" w:rsidP="00CE1B8C">
      <w:pPr>
        <w:tabs>
          <w:tab w:val="left" w:pos="-720"/>
        </w:tabs>
        <w:suppressAutoHyphens/>
        <w:spacing w:line="360" w:lineRule="auto"/>
        <w:jc w:val="both"/>
        <w:rPr>
          <w:rFonts w:cs="Arial"/>
          <w:sz w:val="16"/>
          <w:szCs w:val="16"/>
          <w:lang w:val="es-ES_tradnl"/>
        </w:rPr>
      </w:pPr>
    </w:p>
    <w:p w:rsidR="00CE1B8C" w:rsidRDefault="00CE1B8C" w:rsidP="00CE1B8C">
      <w:pPr>
        <w:tabs>
          <w:tab w:val="left" w:pos="-720"/>
        </w:tabs>
        <w:suppressAutoHyphens/>
        <w:spacing w:line="360" w:lineRule="auto"/>
        <w:jc w:val="both"/>
        <w:rPr>
          <w:rFonts w:cs="Arial"/>
          <w:sz w:val="16"/>
          <w:szCs w:val="16"/>
          <w:lang w:val="es-ES_tradnl"/>
        </w:rPr>
      </w:pPr>
    </w:p>
    <w:p w:rsidR="001613E2" w:rsidRPr="00CE1B8C" w:rsidRDefault="00CE1B8C" w:rsidP="00CE1B8C">
      <w:pPr>
        <w:tabs>
          <w:tab w:val="left" w:pos="-720"/>
        </w:tabs>
        <w:suppressAutoHyphens/>
        <w:spacing w:line="360" w:lineRule="auto"/>
        <w:ind w:hanging="567"/>
        <w:jc w:val="both"/>
        <w:rPr>
          <w:rFonts w:cs="Arial"/>
          <w:lang w:val="es-ES_tradnl"/>
        </w:rPr>
      </w:pPr>
      <w:proofErr w:type="gramStart"/>
      <w:r w:rsidRPr="00CE1B8C">
        <w:rPr>
          <w:rFonts w:cs="Arial"/>
          <w:lang w:val="es-ES_tradnl"/>
        </w:rPr>
        <w:t>dc</w:t>
      </w:r>
      <w:proofErr w:type="gramEnd"/>
      <w:r w:rsidR="0093713E" w:rsidRPr="00CE1B8C">
        <w:rPr>
          <w:rFonts w:cs="Arial"/>
          <w:lang w:val="es-ES_tradnl"/>
        </w:rPr>
        <w:t xml:space="preserve"> </w:t>
      </w:r>
    </w:p>
    <w:p w:rsidR="00581BC9" w:rsidRDefault="00581BC9" w:rsidP="006C21D9">
      <w:pPr>
        <w:pStyle w:val="Ttulo2"/>
      </w:pPr>
    </w:p>
    <w:sectPr w:rsidR="00581BC9" w:rsidSect="0094107B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7B" w:rsidRDefault="0094107B" w:rsidP="0094107B">
      <w:r>
        <w:separator/>
      </w:r>
    </w:p>
  </w:endnote>
  <w:endnote w:type="continuationSeparator" w:id="0">
    <w:p w:rsidR="0094107B" w:rsidRDefault="0094107B" w:rsidP="0094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35552"/>
      <w:docPartObj>
        <w:docPartGallery w:val="Page Numbers (Bottom of Page)"/>
        <w:docPartUnique/>
      </w:docPartObj>
    </w:sdtPr>
    <w:sdtContent>
      <w:p w:rsidR="0094107B" w:rsidRDefault="0094107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B8C">
          <w:rPr>
            <w:noProof/>
          </w:rPr>
          <w:t>4</w:t>
        </w:r>
        <w:r>
          <w:fldChar w:fldCharType="end"/>
        </w:r>
      </w:p>
    </w:sdtContent>
  </w:sdt>
  <w:p w:rsidR="0094107B" w:rsidRDefault="009410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7B" w:rsidRDefault="0094107B" w:rsidP="0094107B">
      <w:r>
        <w:separator/>
      </w:r>
    </w:p>
  </w:footnote>
  <w:footnote w:type="continuationSeparator" w:id="0">
    <w:p w:rsidR="0094107B" w:rsidRDefault="0094107B" w:rsidP="0094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480"/>
    <w:multiLevelType w:val="hybridMultilevel"/>
    <w:tmpl w:val="C33C914E"/>
    <w:lvl w:ilvl="0" w:tplc="DB5C1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C02A20"/>
    <w:multiLevelType w:val="hybridMultilevel"/>
    <w:tmpl w:val="7F8209A4"/>
    <w:lvl w:ilvl="0" w:tplc="379CDBC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3E"/>
    <w:rsid w:val="00016F5F"/>
    <w:rsid w:val="0002587E"/>
    <w:rsid w:val="00041FBC"/>
    <w:rsid w:val="00092FE7"/>
    <w:rsid w:val="000B7F14"/>
    <w:rsid w:val="000C02F1"/>
    <w:rsid w:val="000E27F5"/>
    <w:rsid w:val="00113A43"/>
    <w:rsid w:val="00146BC6"/>
    <w:rsid w:val="001613E2"/>
    <w:rsid w:val="00175165"/>
    <w:rsid w:val="001B7CF4"/>
    <w:rsid w:val="001D1E3F"/>
    <w:rsid w:val="001F28CA"/>
    <w:rsid w:val="002563BC"/>
    <w:rsid w:val="0027049C"/>
    <w:rsid w:val="002A6C2D"/>
    <w:rsid w:val="002B4C72"/>
    <w:rsid w:val="002F6DF8"/>
    <w:rsid w:val="00337B3E"/>
    <w:rsid w:val="003956D3"/>
    <w:rsid w:val="003A5578"/>
    <w:rsid w:val="003B150F"/>
    <w:rsid w:val="003C40AF"/>
    <w:rsid w:val="003D6F95"/>
    <w:rsid w:val="00455B6F"/>
    <w:rsid w:val="004644FD"/>
    <w:rsid w:val="00490626"/>
    <w:rsid w:val="004B57FA"/>
    <w:rsid w:val="004B749B"/>
    <w:rsid w:val="00527C0F"/>
    <w:rsid w:val="00553F57"/>
    <w:rsid w:val="005674FC"/>
    <w:rsid w:val="005757F4"/>
    <w:rsid w:val="00581BC9"/>
    <w:rsid w:val="00587585"/>
    <w:rsid w:val="005E233D"/>
    <w:rsid w:val="006013D7"/>
    <w:rsid w:val="00611812"/>
    <w:rsid w:val="00621734"/>
    <w:rsid w:val="00626CBA"/>
    <w:rsid w:val="00655498"/>
    <w:rsid w:val="00677181"/>
    <w:rsid w:val="006838B9"/>
    <w:rsid w:val="006B0D2E"/>
    <w:rsid w:val="006B5001"/>
    <w:rsid w:val="006C21D9"/>
    <w:rsid w:val="00744FFE"/>
    <w:rsid w:val="00766E62"/>
    <w:rsid w:val="007D06C5"/>
    <w:rsid w:val="007D67B9"/>
    <w:rsid w:val="0083113E"/>
    <w:rsid w:val="008679A4"/>
    <w:rsid w:val="0087648E"/>
    <w:rsid w:val="008A5FF6"/>
    <w:rsid w:val="008D2E86"/>
    <w:rsid w:val="008F6ABA"/>
    <w:rsid w:val="009231A6"/>
    <w:rsid w:val="0093713E"/>
    <w:rsid w:val="0094107B"/>
    <w:rsid w:val="00993259"/>
    <w:rsid w:val="009A6DCE"/>
    <w:rsid w:val="009B4C1D"/>
    <w:rsid w:val="009C18CF"/>
    <w:rsid w:val="009E7D0C"/>
    <w:rsid w:val="00A041B7"/>
    <w:rsid w:val="00A24AC3"/>
    <w:rsid w:val="00AA7336"/>
    <w:rsid w:val="00AC1AA9"/>
    <w:rsid w:val="00AC743F"/>
    <w:rsid w:val="00AD5D46"/>
    <w:rsid w:val="00AE2828"/>
    <w:rsid w:val="00AF5B2A"/>
    <w:rsid w:val="00B05A69"/>
    <w:rsid w:val="00B3256C"/>
    <w:rsid w:val="00B379EE"/>
    <w:rsid w:val="00BB4854"/>
    <w:rsid w:val="00BB56E1"/>
    <w:rsid w:val="00BE168F"/>
    <w:rsid w:val="00C14CD0"/>
    <w:rsid w:val="00C2691D"/>
    <w:rsid w:val="00C41713"/>
    <w:rsid w:val="00C95BDF"/>
    <w:rsid w:val="00CA78AD"/>
    <w:rsid w:val="00CB02FF"/>
    <w:rsid w:val="00CB512F"/>
    <w:rsid w:val="00CC20EF"/>
    <w:rsid w:val="00CE1B8C"/>
    <w:rsid w:val="00CE3F2B"/>
    <w:rsid w:val="00D065A4"/>
    <w:rsid w:val="00D5191D"/>
    <w:rsid w:val="00D83108"/>
    <w:rsid w:val="00DA0013"/>
    <w:rsid w:val="00DA35C1"/>
    <w:rsid w:val="00DD5C76"/>
    <w:rsid w:val="00DD5DC7"/>
    <w:rsid w:val="00E024D6"/>
    <w:rsid w:val="00E11C15"/>
    <w:rsid w:val="00E446DE"/>
    <w:rsid w:val="00EC40A9"/>
    <w:rsid w:val="00EE3452"/>
    <w:rsid w:val="00F2000E"/>
    <w:rsid w:val="00F85EAC"/>
    <w:rsid w:val="00F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79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79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79A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9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79A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51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10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07B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410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07B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1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3713E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3713E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713E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3713E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4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43F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79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79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79A4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9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79A4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51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10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07B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410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07B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B506-6C8B-481E-BADF-FA4EBEB4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2018-10-04T18:23:00Z</cp:lastPrinted>
  <dcterms:created xsi:type="dcterms:W3CDTF">2018-10-04T18:23:00Z</dcterms:created>
  <dcterms:modified xsi:type="dcterms:W3CDTF">2018-10-04T18:23:00Z</dcterms:modified>
</cp:coreProperties>
</file>