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2A3" w:rsidRPr="003A7635" w:rsidRDefault="000742A3" w:rsidP="000742A3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 311</w:t>
      </w:r>
      <w:r>
        <w:rPr>
          <w:rFonts w:cs="Arial"/>
          <w:b/>
          <w:sz w:val="28"/>
          <w:szCs w:val="28"/>
          <w:lang w:val="es-ES_tradnl"/>
        </w:rPr>
        <w:t>5</w:t>
      </w:r>
      <w:r>
        <w:rPr>
          <w:rFonts w:cs="Arial"/>
          <w:b/>
          <w:sz w:val="28"/>
          <w:szCs w:val="28"/>
          <w:lang w:val="es-ES_tradnl"/>
        </w:rPr>
        <w:t>/18</w:t>
      </w:r>
    </w:p>
    <w:p w:rsidR="000742A3" w:rsidRPr="003A7635" w:rsidRDefault="000742A3" w:rsidP="000742A3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3A7635">
        <w:rPr>
          <w:rFonts w:cs="Arial"/>
          <w:b/>
          <w:lang w:val="es-ES_tradnl"/>
        </w:rPr>
        <w:t>RESOLUCION ADOPTADA POR EL</w:t>
      </w:r>
    </w:p>
    <w:p w:rsidR="000742A3" w:rsidRPr="003A7635" w:rsidRDefault="000742A3" w:rsidP="000742A3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0742A3" w:rsidRPr="003A7635" w:rsidRDefault="000742A3" w:rsidP="000742A3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3A7635">
        <w:rPr>
          <w:rFonts w:cs="Arial"/>
          <w:b/>
          <w:lang w:val="es-ES_tradnl"/>
        </w:rPr>
        <w:t>TRIBUNAL DE CUENTAS</w:t>
      </w:r>
    </w:p>
    <w:p w:rsidR="000742A3" w:rsidRPr="003A7635" w:rsidRDefault="000742A3" w:rsidP="000742A3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0742A3" w:rsidRPr="003A7635" w:rsidRDefault="000742A3" w:rsidP="000742A3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3A7635">
        <w:rPr>
          <w:rFonts w:cs="Arial"/>
          <w:b/>
          <w:lang w:val="es-ES_tradnl"/>
        </w:rPr>
        <w:t>EN SESION DE FECHA 3 DE OCTUBRE DE 2018</w:t>
      </w:r>
    </w:p>
    <w:p w:rsidR="000742A3" w:rsidRPr="003A7635" w:rsidRDefault="000742A3" w:rsidP="000742A3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0742A3" w:rsidRPr="003A7635" w:rsidRDefault="000742A3" w:rsidP="000742A3">
      <w:pPr>
        <w:tabs>
          <w:tab w:val="center" w:pos="4253"/>
        </w:tabs>
        <w:suppressAutoHyphens/>
        <w:jc w:val="center"/>
        <w:rPr>
          <w:rFonts w:cs="Arial"/>
          <w:b/>
          <w:lang w:val="en-US"/>
        </w:rPr>
      </w:pPr>
      <w:r w:rsidRPr="003A7635">
        <w:rPr>
          <w:rFonts w:cs="Arial"/>
          <w:b/>
          <w:lang w:val="en-US"/>
        </w:rPr>
        <w:t xml:space="preserve">(E. E. Nº </w:t>
      </w:r>
      <w:r w:rsidRPr="003A7635">
        <w:rPr>
          <w:rFonts w:cs="Arial"/>
          <w:b/>
        </w:rPr>
        <w:t>201</w:t>
      </w:r>
      <w:r>
        <w:rPr>
          <w:rFonts w:cs="Arial"/>
          <w:b/>
        </w:rPr>
        <w:t>8</w:t>
      </w:r>
      <w:r w:rsidRPr="003A7635">
        <w:rPr>
          <w:rFonts w:cs="Arial"/>
          <w:b/>
        </w:rPr>
        <w:t>-17-1-00057</w:t>
      </w:r>
      <w:r>
        <w:rPr>
          <w:rFonts w:cs="Arial"/>
          <w:b/>
        </w:rPr>
        <w:t>79</w:t>
      </w:r>
      <w:r w:rsidRPr="003A7635">
        <w:rPr>
          <w:rFonts w:cs="Arial"/>
          <w:b/>
          <w:lang w:val="en-US"/>
        </w:rPr>
        <w:t xml:space="preserve">, </w:t>
      </w:r>
      <w:proofErr w:type="gramStart"/>
      <w:r w:rsidRPr="003A7635">
        <w:rPr>
          <w:rFonts w:cs="Arial"/>
          <w:b/>
          <w:lang w:val="en-US"/>
        </w:rPr>
        <w:t>Ent</w:t>
      </w:r>
      <w:proofErr w:type="gramEnd"/>
      <w:r w:rsidRPr="003A7635">
        <w:rPr>
          <w:rFonts w:cs="Arial"/>
          <w:b/>
          <w:lang w:val="en-US"/>
        </w:rPr>
        <w:t xml:space="preserve">. N° </w:t>
      </w:r>
      <w:r w:rsidRPr="003A7635">
        <w:rPr>
          <w:rFonts w:cs="Arial"/>
          <w:b/>
        </w:rPr>
        <w:t>44</w:t>
      </w:r>
      <w:r>
        <w:rPr>
          <w:rFonts w:cs="Arial"/>
          <w:b/>
        </w:rPr>
        <w:t>63</w:t>
      </w:r>
      <w:r w:rsidRPr="003A7635">
        <w:rPr>
          <w:rFonts w:cs="Arial"/>
          <w:b/>
        </w:rPr>
        <w:t>/18</w:t>
      </w:r>
      <w:r w:rsidRPr="003A7635">
        <w:rPr>
          <w:rFonts w:cs="Arial"/>
          <w:b/>
          <w:lang w:val="en-US"/>
        </w:rPr>
        <w:t>)</w:t>
      </w:r>
    </w:p>
    <w:p w:rsidR="004D0BFE" w:rsidRDefault="004D0BFE" w:rsidP="004D0BFE">
      <w:pPr>
        <w:jc w:val="center"/>
        <w:rPr>
          <w:b/>
          <w:bCs/>
        </w:rPr>
      </w:pPr>
    </w:p>
    <w:p w:rsidR="004D0BFE" w:rsidRDefault="004D0BFE" w:rsidP="004D0BFE">
      <w:pPr>
        <w:jc w:val="center"/>
        <w:rPr>
          <w:b/>
          <w:bCs/>
        </w:rPr>
      </w:pPr>
    </w:p>
    <w:p w:rsidR="004D0BFE" w:rsidRDefault="004D0BFE" w:rsidP="000742A3">
      <w:pPr>
        <w:spacing w:line="360" w:lineRule="auto"/>
        <w:ind w:firstLine="851"/>
        <w:jc w:val="both"/>
        <w:rPr>
          <w:rFonts w:cs="Arial"/>
        </w:rPr>
      </w:pPr>
      <w:r>
        <w:rPr>
          <w:b/>
          <w:bCs/>
        </w:rPr>
        <w:t xml:space="preserve">VISTO: </w:t>
      </w:r>
      <w:r>
        <w:t xml:space="preserve">estos antecedentes remitidos por la Presidencia de la República, relacionados la Revisión “B” del </w:t>
      </w:r>
      <w:r>
        <w:rPr>
          <w:rFonts w:cs="Arial"/>
        </w:rPr>
        <w:t xml:space="preserve">Acuerdo de Cooperación y Servicios, Programa UR-L1109 para la Mejora de los Servicios Públicos y de la Interacción Estado-Ciudadano, celebrado </w:t>
      </w:r>
      <w:r>
        <w:t xml:space="preserve"> </w:t>
      </w:r>
      <w:r>
        <w:rPr>
          <w:rFonts w:cs="Arial"/>
        </w:rPr>
        <w:t>entre la AUCI,  AGESIC y PNUD;</w:t>
      </w:r>
    </w:p>
    <w:p w:rsidR="004D0BFE" w:rsidRDefault="004D0BFE" w:rsidP="000742A3">
      <w:pPr>
        <w:spacing w:line="360" w:lineRule="auto"/>
        <w:ind w:firstLine="851"/>
        <w:jc w:val="both"/>
        <w:rPr>
          <w:rFonts w:cs="Arial"/>
        </w:rPr>
      </w:pPr>
      <w:r>
        <w:rPr>
          <w:b/>
          <w:bCs/>
        </w:rPr>
        <w:t>RESULTANDO:</w:t>
      </w:r>
      <w:r>
        <w:t xml:space="preserve"> </w:t>
      </w:r>
      <w:r>
        <w:rPr>
          <w:b/>
        </w:rPr>
        <w:t>1)</w:t>
      </w:r>
      <w:r>
        <w:t xml:space="preserve"> que por Resolución de fecha 14 de diciembre de 2016,</w:t>
      </w:r>
      <w:r w:rsidR="00A139D7">
        <w:t xml:space="preserve"> este Tribunal</w:t>
      </w:r>
      <w:r>
        <w:t xml:space="preserve"> resolvió </w:t>
      </w:r>
      <w:r>
        <w:rPr>
          <w:rFonts w:cs="Arial"/>
        </w:rPr>
        <w:t>n</w:t>
      </w:r>
      <w:r w:rsidRPr="00634AB6">
        <w:rPr>
          <w:rFonts w:cs="Arial"/>
        </w:rPr>
        <w:t xml:space="preserve">o formular observaciones al </w:t>
      </w:r>
      <w:r>
        <w:rPr>
          <w:rFonts w:cs="Arial"/>
        </w:rPr>
        <w:t>Proyecto de Acuerdo de Cooperación y Servicios</w:t>
      </w:r>
      <w:r w:rsidR="00177791">
        <w:rPr>
          <w:rFonts w:cs="Arial"/>
        </w:rPr>
        <w:t xml:space="preserve"> citado</w:t>
      </w:r>
      <w:r>
        <w:rPr>
          <w:rFonts w:cs="Arial"/>
        </w:rPr>
        <w:t>, disponi</w:t>
      </w:r>
      <w:r w:rsidR="00A139D7">
        <w:rPr>
          <w:rFonts w:cs="Arial"/>
        </w:rPr>
        <w:t>e</w:t>
      </w:r>
      <w:r>
        <w:rPr>
          <w:rFonts w:cs="Arial"/>
        </w:rPr>
        <w:t>ndo asimismo que, una vez d</w:t>
      </w:r>
      <w:r w:rsidR="00A139D7">
        <w:rPr>
          <w:rFonts w:cs="Arial"/>
        </w:rPr>
        <w:t>ictada la R</w:t>
      </w:r>
      <w:r w:rsidRPr="00676921">
        <w:rPr>
          <w:rFonts w:cs="Arial"/>
        </w:rPr>
        <w:t xml:space="preserve">esolución </w:t>
      </w:r>
      <w:r>
        <w:rPr>
          <w:rFonts w:cs="Arial"/>
        </w:rPr>
        <w:t xml:space="preserve">por el </w:t>
      </w:r>
      <w:r w:rsidR="00151D55">
        <w:rPr>
          <w:rFonts w:cs="Arial"/>
        </w:rPr>
        <w:t>o</w:t>
      </w:r>
      <w:r>
        <w:rPr>
          <w:rFonts w:cs="Arial"/>
        </w:rPr>
        <w:t xml:space="preserve">rdenador </w:t>
      </w:r>
      <w:r w:rsidR="00151D55">
        <w:rPr>
          <w:rFonts w:cs="Arial"/>
        </w:rPr>
        <w:t>c</w:t>
      </w:r>
      <w:r>
        <w:rPr>
          <w:rFonts w:cs="Arial"/>
        </w:rPr>
        <w:t xml:space="preserve">ompetente y suscrito el </w:t>
      </w:r>
      <w:r w:rsidR="00151D55">
        <w:rPr>
          <w:rFonts w:cs="Arial"/>
        </w:rPr>
        <w:t>acuerdo</w:t>
      </w:r>
      <w:r>
        <w:rPr>
          <w:rFonts w:cs="Arial"/>
        </w:rPr>
        <w:t xml:space="preserve"> remitido, </w:t>
      </w:r>
      <w:r w:rsidR="00151D55">
        <w:rPr>
          <w:rFonts w:cs="Arial"/>
        </w:rPr>
        <w:t xml:space="preserve">se </w:t>
      </w:r>
      <w:r>
        <w:rPr>
          <w:rFonts w:cs="Arial"/>
        </w:rPr>
        <w:t>comet</w:t>
      </w:r>
      <w:r w:rsidR="00151D55">
        <w:rPr>
          <w:rFonts w:cs="Arial"/>
        </w:rPr>
        <w:t>ía</w:t>
      </w:r>
      <w:r>
        <w:rPr>
          <w:rFonts w:cs="Arial"/>
        </w:rPr>
        <w:t xml:space="preserve"> a la Contadora Auditora destacada ante la Presidencia de la República la intervención de los gastos resultantes de la implementación del </w:t>
      </w:r>
      <w:r w:rsidR="00151D55">
        <w:rPr>
          <w:rFonts w:cs="Arial"/>
        </w:rPr>
        <w:t>mismo</w:t>
      </w:r>
      <w:r w:rsidR="00177791">
        <w:rPr>
          <w:rFonts w:cs="Arial"/>
        </w:rPr>
        <w:t>;</w:t>
      </w:r>
    </w:p>
    <w:p w:rsidR="000742A3" w:rsidRDefault="00151D55" w:rsidP="000742A3">
      <w:pPr>
        <w:spacing w:line="360" w:lineRule="auto"/>
        <w:ind w:firstLine="2694"/>
        <w:jc w:val="both"/>
        <w:rPr>
          <w:rFonts w:cs="Arial"/>
        </w:rPr>
      </w:pPr>
      <w:r w:rsidRPr="00151D55">
        <w:rPr>
          <w:rFonts w:cs="Arial"/>
          <w:b/>
        </w:rPr>
        <w:t>2)</w:t>
      </w:r>
      <w:r>
        <w:rPr>
          <w:rFonts w:cs="Arial"/>
        </w:rPr>
        <w:t xml:space="preserve"> que según se señala en la oportunidad, luego de suscribirse el acuerdo referido con fecha 28 de diciembre de 2016, durante la ejecución del mismo, surgió la necesidad de </w:t>
      </w:r>
      <w:r w:rsidR="00A139D7">
        <w:rPr>
          <w:rFonts w:cs="Arial"/>
        </w:rPr>
        <w:t xml:space="preserve">volver a </w:t>
      </w:r>
      <w:r w:rsidR="0031618D">
        <w:rPr>
          <w:rFonts w:cs="Arial"/>
        </w:rPr>
        <w:t>planificar</w:t>
      </w:r>
      <w:r>
        <w:rPr>
          <w:rFonts w:cs="Arial"/>
        </w:rPr>
        <w:t xml:space="preserve"> los componentes que se encuentran en gestión y de incorporar dos nuevos productos asociados a los proyectos de rediseño de los Registros Públicos en la </w:t>
      </w:r>
      <w:r w:rsidR="0031618D">
        <w:rPr>
          <w:rFonts w:cs="Arial"/>
        </w:rPr>
        <w:t>Dirección</w:t>
      </w:r>
      <w:r>
        <w:rPr>
          <w:rFonts w:cs="Arial"/>
        </w:rPr>
        <w:t xml:space="preserve"> General de Registros (DGR) y en la </w:t>
      </w:r>
      <w:r w:rsidR="0031618D">
        <w:rPr>
          <w:rFonts w:cs="Arial"/>
        </w:rPr>
        <w:t>Dirección</w:t>
      </w:r>
      <w:r>
        <w:rPr>
          <w:rFonts w:cs="Arial"/>
        </w:rPr>
        <w:t xml:space="preserve"> </w:t>
      </w:r>
      <w:r w:rsidR="0031618D">
        <w:rPr>
          <w:rFonts w:cs="Arial"/>
        </w:rPr>
        <w:t>General</w:t>
      </w:r>
      <w:r>
        <w:rPr>
          <w:rFonts w:cs="Arial"/>
        </w:rPr>
        <w:t xml:space="preserve"> del Registro Civil (DGREC) y al </w:t>
      </w:r>
      <w:r w:rsidR="0031618D">
        <w:rPr>
          <w:rFonts w:cs="Arial"/>
        </w:rPr>
        <w:t>Proyecto</w:t>
      </w:r>
      <w:r>
        <w:rPr>
          <w:rFonts w:cs="Arial"/>
        </w:rPr>
        <w:t xml:space="preserve"> de </w:t>
      </w:r>
      <w:r w:rsidR="0031618D">
        <w:rPr>
          <w:rFonts w:cs="Arial"/>
        </w:rPr>
        <w:t>Integración</w:t>
      </w:r>
      <w:r>
        <w:rPr>
          <w:rFonts w:cs="Arial"/>
        </w:rPr>
        <w:t xml:space="preserve"> de </w:t>
      </w:r>
      <w:r w:rsidR="0031618D">
        <w:rPr>
          <w:rFonts w:cs="Arial"/>
        </w:rPr>
        <w:t>todos</w:t>
      </w:r>
      <w:r>
        <w:rPr>
          <w:rFonts w:cs="Arial"/>
        </w:rPr>
        <w:t xml:space="preserve"> los Portales del Es</w:t>
      </w:r>
      <w:r w:rsidR="0031618D">
        <w:rPr>
          <w:rFonts w:cs="Arial"/>
        </w:rPr>
        <w:t>t</w:t>
      </w:r>
      <w:r>
        <w:rPr>
          <w:rFonts w:cs="Arial"/>
        </w:rPr>
        <w:t>ado (Gub.uy)</w:t>
      </w:r>
      <w:r w:rsidR="00177791">
        <w:rPr>
          <w:rFonts w:cs="Arial"/>
        </w:rPr>
        <w:t>. Todo ello</w:t>
      </w:r>
      <w:r w:rsidR="00C94150">
        <w:rPr>
          <w:rFonts w:cs="Arial"/>
        </w:rPr>
        <w:t xml:space="preserve"> implica la extensión del plazo de </w:t>
      </w:r>
      <w:r w:rsidR="0031618D">
        <w:rPr>
          <w:rFonts w:cs="Arial"/>
        </w:rPr>
        <w:t>ejecución</w:t>
      </w:r>
      <w:r w:rsidR="00C94150">
        <w:rPr>
          <w:rFonts w:cs="Arial"/>
        </w:rPr>
        <w:t xml:space="preserve"> del acuerdo </w:t>
      </w:r>
      <w:r w:rsidR="00A139D7">
        <w:rPr>
          <w:rFonts w:cs="Arial"/>
        </w:rPr>
        <w:t xml:space="preserve">original </w:t>
      </w:r>
      <w:r w:rsidR="00C94150">
        <w:rPr>
          <w:rFonts w:cs="Arial"/>
        </w:rPr>
        <w:t xml:space="preserve"> hasta el 31 de diciembre de 20</w:t>
      </w:r>
      <w:r w:rsidR="00177791">
        <w:rPr>
          <w:rFonts w:cs="Arial"/>
        </w:rPr>
        <w:t>2</w:t>
      </w:r>
      <w:r w:rsidR="00C94150">
        <w:rPr>
          <w:rFonts w:cs="Arial"/>
        </w:rPr>
        <w:t>0, así como el incremento del monto previsto en el mismo por la suma de U$S 5.907.401</w:t>
      </w:r>
      <w:r>
        <w:rPr>
          <w:rFonts w:cs="Arial"/>
        </w:rPr>
        <w:t>;</w:t>
      </w:r>
    </w:p>
    <w:p w:rsidR="000742A3" w:rsidRDefault="00151D55" w:rsidP="000742A3">
      <w:pPr>
        <w:spacing w:line="360" w:lineRule="auto"/>
        <w:ind w:firstLine="2694"/>
        <w:jc w:val="both"/>
        <w:rPr>
          <w:rFonts w:cs="Arial"/>
        </w:rPr>
      </w:pPr>
      <w:r w:rsidRPr="00C94150">
        <w:rPr>
          <w:rFonts w:cs="Arial"/>
          <w:b/>
        </w:rPr>
        <w:t>3)</w:t>
      </w:r>
      <w:r>
        <w:rPr>
          <w:rFonts w:cs="Arial"/>
        </w:rPr>
        <w:t xml:space="preserve"> que </w:t>
      </w:r>
      <w:r w:rsidR="00D235EC">
        <w:rPr>
          <w:rFonts w:cs="Arial"/>
        </w:rPr>
        <w:t>en virtud de</w:t>
      </w:r>
      <w:r w:rsidR="00177791">
        <w:rPr>
          <w:rFonts w:cs="Arial"/>
        </w:rPr>
        <w:t xml:space="preserve"> lo dicho</w:t>
      </w:r>
      <w:r w:rsidR="00C94150">
        <w:rPr>
          <w:rFonts w:cs="Arial"/>
        </w:rPr>
        <w:t>,</w:t>
      </w:r>
      <w:r>
        <w:rPr>
          <w:rFonts w:cs="Arial"/>
        </w:rPr>
        <w:t xml:space="preserve"> se remite proyecto de Resolu</w:t>
      </w:r>
      <w:r w:rsidR="00D235EC">
        <w:rPr>
          <w:rFonts w:cs="Arial"/>
        </w:rPr>
        <w:t>c</w:t>
      </w:r>
      <w:r>
        <w:rPr>
          <w:rFonts w:cs="Arial"/>
        </w:rPr>
        <w:t>i</w:t>
      </w:r>
      <w:r w:rsidR="00D235EC">
        <w:rPr>
          <w:rFonts w:cs="Arial"/>
        </w:rPr>
        <w:t>ón</w:t>
      </w:r>
      <w:r>
        <w:rPr>
          <w:rFonts w:cs="Arial"/>
        </w:rPr>
        <w:t xml:space="preserve"> de Presidencia de la Rep</w:t>
      </w:r>
      <w:r w:rsidR="00A139D7">
        <w:rPr>
          <w:rFonts w:cs="Arial"/>
        </w:rPr>
        <w:t>ú</w:t>
      </w:r>
      <w:r>
        <w:rPr>
          <w:rFonts w:cs="Arial"/>
        </w:rPr>
        <w:t>blica</w:t>
      </w:r>
      <w:r w:rsidR="00A139D7">
        <w:rPr>
          <w:rFonts w:cs="Arial"/>
        </w:rPr>
        <w:t>,</w:t>
      </w:r>
      <w:r>
        <w:rPr>
          <w:rFonts w:cs="Arial"/>
        </w:rPr>
        <w:t xml:space="preserve"> por la cual se aprueba</w:t>
      </w:r>
      <w:r w:rsidR="00D235EC">
        <w:rPr>
          <w:rFonts w:cs="Arial"/>
        </w:rPr>
        <w:t xml:space="preserve">, a los </w:t>
      </w:r>
      <w:r w:rsidR="00647B38">
        <w:rPr>
          <w:rFonts w:cs="Arial"/>
        </w:rPr>
        <w:t>efectos</w:t>
      </w:r>
      <w:r w:rsidR="00D235EC">
        <w:rPr>
          <w:rFonts w:cs="Arial"/>
        </w:rPr>
        <w:t xml:space="preserve"> de </w:t>
      </w:r>
      <w:r w:rsidR="00647B38">
        <w:rPr>
          <w:rFonts w:cs="Arial"/>
        </w:rPr>
        <w:t>instrumentar</w:t>
      </w:r>
      <w:r w:rsidR="00D235EC">
        <w:rPr>
          <w:rFonts w:cs="Arial"/>
        </w:rPr>
        <w:t xml:space="preserve"> la modificación referida, </w:t>
      </w:r>
      <w:r>
        <w:rPr>
          <w:rFonts w:cs="Arial"/>
        </w:rPr>
        <w:t xml:space="preserve"> la </w:t>
      </w:r>
      <w:r w:rsidR="00C94150">
        <w:rPr>
          <w:rFonts w:cs="Arial"/>
        </w:rPr>
        <w:t>suscripción</w:t>
      </w:r>
      <w:r>
        <w:rPr>
          <w:rFonts w:cs="Arial"/>
        </w:rPr>
        <w:t xml:space="preserve"> de</w:t>
      </w:r>
      <w:r w:rsidR="00A139D7">
        <w:rPr>
          <w:rFonts w:cs="Arial"/>
        </w:rPr>
        <w:t xml:space="preserve"> </w:t>
      </w:r>
      <w:r>
        <w:rPr>
          <w:rFonts w:cs="Arial"/>
        </w:rPr>
        <w:t>l</w:t>
      </w:r>
      <w:r w:rsidR="00A139D7">
        <w:rPr>
          <w:rFonts w:cs="Arial"/>
        </w:rPr>
        <w:t>a</w:t>
      </w:r>
      <w:r>
        <w:rPr>
          <w:rFonts w:cs="Arial"/>
        </w:rPr>
        <w:t xml:space="preserve"> </w:t>
      </w:r>
      <w:r w:rsidR="00C94150">
        <w:rPr>
          <w:rFonts w:cs="Arial"/>
        </w:rPr>
        <w:t>R</w:t>
      </w:r>
      <w:r>
        <w:rPr>
          <w:rFonts w:cs="Arial"/>
        </w:rPr>
        <w:t xml:space="preserve">evisión “B” </w:t>
      </w:r>
      <w:r w:rsidR="00C94150">
        <w:t xml:space="preserve">del </w:t>
      </w:r>
      <w:r w:rsidR="00C94150">
        <w:rPr>
          <w:rFonts w:cs="Arial"/>
        </w:rPr>
        <w:t xml:space="preserve">Acuerdo de Cooperación y Servicios, Programa UR-L1109 para la </w:t>
      </w:r>
      <w:r w:rsidR="00C94150">
        <w:rPr>
          <w:rFonts w:cs="Arial"/>
        </w:rPr>
        <w:lastRenderedPageBreak/>
        <w:t xml:space="preserve">Mejora de los Servicios Públicos y de la Interacción Estado-Ciudadano, celebrado </w:t>
      </w:r>
      <w:r w:rsidR="00C94150">
        <w:t xml:space="preserve"> </w:t>
      </w:r>
      <w:r w:rsidR="00C94150">
        <w:rPr>
          <w:rFonts w:cs="Arial"/>
        </w:rPr>
        <w:t xml:space="preserve">entre la AUCI,  AGESIC y PNUD, </w:t>
      </w:r>
      <w:r w:rsidR="00D235EC">
        <w:rPr>
          <w:rFonts w:cs="Arial"/>
        </w:rPr>
        <w:t xml:space="preserve"> ampliándose el plazo del mismo hasta el 31 de diciembre de 2020 y  </w:t>
      </w:r>
      <w:r w:rsidR="0031618D">
        <w:rPr>
          <w:rFonts w:cs="Arial"/>
        </w:rPr>
        <w:t>autorizándose</w:t>
      </w:r>
      <w:r w:rsidR="00D235EC">
        <w:rPr>
          <w:rFonts w:cs="Arial"/>
        </w:rPr>
        <w:t xml:space="preserve"> la transferencia a PNUD de la </w:t>
      </w:r>
      <w:r w:rsidR="0031618D">
        <w:rPr>
          <w:rFonts w:cs="Arial"/>
        </w:rPr>
        <w:t>suma</w:t>
      </w:r>
      <w:r w:rsidR="00D235EC">
        <w:rPr>
          <w:rFonts w:cs="Arial"/>
        </w:rPr>
        <w:t xml:space="preserve">  de hasta U$S 5.907.401, la que se </w:t>
      </w:r>
      <w:r w:rsidR="00A139D7">
        <w:rPr>
          <w:rFonts w:cs="Arial"/>
        </w:rPr>
        <w:t>realizará</w:t>
      </w:r>
      <w:r w:rsidR="00D235EC">
        <w:rPr>
          <w:rFonts w:cs="Arial"/>
        </w:rPr>
        <w:t xml:space="preserve"> en diferentes partidas y quedar</w:t>
      </w:r>
      <w:r w:rsidR="00A139D7">
        <w:rPr>
          <w:rFonts w:cs="Arial"/>
        </w:rPr>
        <w:t>á</w:t>
      </w:r>
      <w:r w:rsidR="00D235EC">
        <w:rPr>
          <w:rFonts w:cs="Arial"/>
        </w:rPr>
        <w:t xml:space="preserve"> sujeta a lo dispuesto en la Ordenanza Nº 77 de este Tribunal;</w:t>
      </w:r>
    </w:p>
    <w:p w:rsidR="00D235EC" w:rsidRDefault="00D235EC" w:rsidP="000742A3">
      <w:pPr>
        <w:spacing w:line="360" w:lineRule="auto"/>
        <w:ind w:firstLine="2694"/>
        <w:jc w:val="both"/>
        <w:rPr>
          <w:rFonts w:cs="Arial"/>
        </w:rPr>
      </w:pPr>
      <w:r w:rsidRPr="00A139D7">
        <w:rPr>
          <w:rFonts w:cs="Arial"/>
          <w:b/>
        </w:rPr>
        <w:t>4)</w:t>
      </w:r>
      <w:r>
        <w:rPr>
          <w:rFonts w:cs="Arial"/>
        </w:rPr>
        <w:t xml:space="preserve"> que se adjunta informe de disponibilidad del crédito, en el cual se señala que en </w:t>
      </w:r>
      <w:r w:rsidR="0031618D">
        <w:rPr>
          <w:rFonts w:cs="Arial"/>
        </w:rPr>
        <w:t>relación</w:t>
      </w:r>
      <w:r w:rsidR="00A139D7">
        <w:rPr>
          <w:rFonts w:cs="Arial"/>
        </w:rPr>
        <w:t xml:space="preserve"> a l</w:t>
      </w:r>
      <w:r>
        <w:rPr>
          <w:rFonts w:cs="Arial"/>
        </w:rPr>
        <w:t>o</w:t>
      </w:r>
      <w:r w:rsidR="00A139D7">
        <w:rPr>
          <w:rFonts w:cs="Arial"/>
        </w:rPr>
        <w:t>s</w:t>
      </w:r>
      <w:r>
        <w:rPr>
          <w:rFonts w:cs="Arial"/>
        </w:rPr>
        <w:t xml:space="preserve"> importes involucrados en la </w:t>
      </w:r>
      <w:r w:rsidR="00647B38">
        <w:rPr>
          <w:rFonts w:cs="Arial"/>
        </w:rPr>
        <w:t>Revisión</w:t>
      </w:r>
      <w:r>
        <w:rPr>
          <w:rFonts w:cs="Arial"/>
        </w:rPr>
        <w:t xml:space="preserve"> “B” del acuerdo, serán cubiertos con cargo al Inciso 24 “Diversos Créditos”, Unidad </w:t>
      </w:r>
      <w:r w:rsidR="00A139D7">
        <w:rPr>
          <w:rFonts w:cs="Arial"/>
        </w:rPr>
        <w:t>E</w:t>
      </w:r>
      <w:r>
        <w:rPr>
          <w:rFonts w:cs="Arial"/>
        </w:rPr>
        <w:t>jecutora 02 “Presidencia de la Rep</w:t>
      </w:r>
      <w:r w:rsidR="00A139D7">
        <w:rPr>
          <w:rFonts w:cs="Arial"/>
        </w:rPr>
        <w:t>ú</w:t>
      </w:r>
      <w:r>
        <w:rPr>
          <w:rFonts w:cs="Arial"/>
        </w:rPr>
        <w:t xml:space="preserve">blica”, </w:t>
      </w:r>
      <w:r w:rsidR="0031618D">
        <w:rPr>
          <w:rFonts w:cs="Arial"/>
        </w:rPr>
        <w:t>P</w:t>
      </w:r>
      <w:r w:rsidR="00647B38">
        <w:rPr>
          <w:rFonts w:cs="Arial"/>
        </w:rPr>
        <w:t>rograma</w:t>
      </w:r>
      <w:r>
        <w:rPr>
          <w:rFonts w:cs="Arial"/>
        </w:rPr>
        <w:t xml:space="preserve"> 484 “</w:t>
      </w:r>
      <w:r w:rsidR="0031618D">
        <w:rPr>
          <w:rFonts w:cs="Arial"/>
        </w:rPr>
        <w:t>Política</w:t>
      </w:r>
      <w:r>
        <w:rPr>
          <w:rFonts w:cs="Arial"/>
        </w:rPr>
        <w:t xml:space="preserve"> de Gobierno electrónic</w:t>
      </w:r>
      <w:r w:rsidR="00A139D7">
        <w:rPr>
          <w:rFonts w:cs="Arial"/>
        </w:rPr>
        <w:t>o</w:t>
      </w:r>
      <w:r>
        <w:rPr>
          <w:rFonts w:cs="Arial"/>
        </w:rPr>
        <w:t xml:space="preserve">”, </w:t>
      </w:r>
      <w:r w:rsidR="00A139D7">
        <w:rPr>
          <w:rFonts w:cs="Arial"/>
        </w:rPr>
        <w:t>F</w:t>
      </w:r>
      <w:r>
        <w:rPr>
          <w:rFonts w:cs="Arial"/>
        </w:rPr>
        <w:t>ina</w:t>
      </w:r>
      <w:r w:rsidR="0031618D">
        <w:rPr>
          <w:rFonts w:cs="Arial"/>
        </w:rPr>
        <w:t>n</w:t>
      </w:r>
      <w:r>
        <w:rPr>
          <w:rFonts w:cs="Arial"/>
        </w:rPr>
        <w:t>ci</w:t>
      </w:r>
      <w:r w:rsidR="0031618D">
        <w:rPr>
          <w:rFonts w:cs="Arial"/>
        </w:rPr>
        <w:t>a</w:t>
      </w:r>
      <w:r>
        <w:rPr>
          <w:rFonts w:cs="Arial"/>
        </w:rPr>
        <w:t>m</w:t>
      </w:r>
      <w:r w:rsidR="0031618D">
        <w:rPr>
          <w:rFonts w:cs="Arial"/>
        </w:rPr>
        <w:t>ien</w:t>
      </w:r>
      <w:r w:rsidR="00A139D7">
        <w:rPr>
          <w:rFonts w:cs="Arial"/>
        </w:rPr>
        <w:t>to 1.1,</w:t>
      </w:r>
      <w:r w:rsidR="0031618D">
        <w:rPr>
          <w:rFonts w:cs="Arial"/>
        </w:rPr>
        <w:t xml:space="preserve"> </w:t>
      </w:r>
      <w:r>
        <w:rPr>
          <w:rFonts w:cs="Arial"/>
        </w:rPr>
        <w:t xml:space="preserve">que se </w:t>
      </w:r>
      <w:r w:rsidR="0031618D">
        <w:rPr>
          <w:rFonts w:cs="Arial"/>
        </w:rPr>
        <w:t>encuentran</w:t>
      </w:r>
      <w:r>
        <w:rPr>
          <w:rFonts w:cs="Arial"/>
        </w:rPr>
        <w:t xml:space="preserve"> previstos en la Ley de </w:t>
      </w:r>
      <w:r w:rsidR="00A139D7">
        <w:rPr>
          <w:rFonts w:cs="Arial"/>
        </w:rPr>
        <w:t>P</w:t>
      </w:r>
      <w:r>
        <w:rPr>
          <w:rFonts w:cs="Arial"/>
        </w:rPr>
        <w:t xml:space="preserve">resupuesto Nacional para el </w:t>
      </w:r>
      <w:r w:rsidR="0031618D">
        <w:rPr>
          <w:rFonts w:cs="Arial"/>
        </w:rPr>
        <w:t>período</w:t>
      </w:r>
      <w:r>
        <w:rPr>
          <w:rFonts w:cs="Arial"/>
        </w:rPr>
        <w:t xml:space="preserve"> 2016-2020, </w:t>
      </w:r>
      <w:r w:rsidR="0031618D">
        <w:rPr>
          <w:rFonts w:cs="Arial"/>
        </w:rPr>
        <w:t>agregándose</w:t>
      </w:r>
      <w:r>
        <w:rPr>
          <w:rFonts w:cs="Arial"/>
        </w:rPr>
        <w:t xml:space="preserve">, en lo que </w:t>
      </w:r>
      <w:r w:rsidR="0031618D">
        <w:rPr>
          <w:rFonts w:cs="Arial"/>
        </w:rPr>
        <w:t>respecta</w:t>
      </w:r>
      <w:r>
        <w:rPr>
          <w:rFonts w:cs="Arial"/>
        </w:rPr>
        <w:t xml:space="preserve"> al eje</w:t>
      </w:r>
      <w:r w:rsidR="00A139D7">
        <w:rPr>
          <w:rFonts w:cs="Arial"/>
        </w:rPr>
        <w:t xml:space="preserve">rcicio </w:t>
      </w:r>
      <w:r>
        <w:rPr>
          <w:rFonts w:cs="Arial"/>
        </w:rPr>
        <w:t xml:space="preserve">2018, </w:t>
      </w:r>
      <w:r w:rsidR="00647B38">
        <w:rPr>
          <w:rFonts w:cs="Arial"/>
        </w:rPr>
        <w:t>documento</w:t>
      </w:r>
      <w:r>
        <w:rPr>
          <w:rFonts w:cs="Arial"/>
        </w:rPr>
        <w:t xml:space="preserve"> de </w:t>
      </w:r>
      <w:r w:rsidR="00647B38">
        <w:rPr>
          <w:rFonts w:cs="Arial"/>
        </w:rPr>
        <w:t>afectación</w:t>
      </w:r>
      <w:r>
        <w:rPr>
          <w:rFonts w:cs="Arial"/>
        </w:rPr>
        <w:t xml:space="preserve"> </w:t>
      </w:r>
      <w:r w:rsidR="000742A3">
        <w:rPr>
          <w:rFonts w:cs="Arial"/>
        </w:rPr>
        <w:t xml:space="preserve">   </w:t>
      </w:r>
      <w:r>
        <w:rPr>
          <w:rFonts w:cs="Arial"/>
        </w:rPr>
        <w:t>Nº 001088 del 29</w:t>
      </w:r>
      <w:r w:rsidR="00A139D7">
        <w:rPr>
          <w:rFonts w:cs="Arial"/>
        </w:rPr>
        <w:t xml:space="preserve"> de agosto de 2018</w:t>
      </w:r>
      <w:r>
        <w:rPr>
          <w:rFonts w:cs="Arial"/>
        </w:rPr>
        <w:t xml:space="preserve"> por la suma de $ 6.800</w:t>
      </w:r>
      <w:r w:rsidR="00B51B93">
        <w:rPr>
          <w:rFonts w:cs="Arial"/>
        </w:rPr>
        <w:t xml:space="preserve">.000, con cargo al Programa 484, </w:t>
      </w:r>
      <w:r w:rsidR="00647B38">
        <w:rPr>
          <w:rFonts w:cs="Arial"/>
        </w:rPr>
        <w:t>Proyecto</w:t>
      </w:r>
      <w:r w:rsidR="00B51B93">
        <w:rPr>
          <w:rFonts w:cs="Arial"/>
        </w:rPr>
        <w:t xml:space="preserve"> 504, </w:t>
      </w:r>
      <w:r w:rsidR="0031618D">
        <w:rPr>
          <w:rFonts w:cs="Arial"/>
        </w:rPr>
        <w:t>Objeto</w:t>
      </w:r>
      <w:r w:rsidR="00B51B93">
        <w:rPr>
          <w:rFonts w:cs="Arial"/>
        </w:rPr>
        <w:t xml:space="preserve"> del gasto 581, del Inciso 24, Unidad </w:t>
      </w:r>
      <w:r w:rsidR="000E7902">
        <w:rPr>
          <w:rFonts w:cs="Arial"/>
        </w:rPr>
        <w:t>E</w:t>
      </w:r>
      <w:r w:rsidR="00B51B93">
        <w:rPr>
          <w:rFonts w:cs="Arial"/>
        </w:rPr>
        <w:t>jecutora 002 “Presidencia de la R</w:t>
      </w:r>
      <w:r w:rsidR="00A139D7">
        <w:rPr>
          <w:rFonts w:cs="Arial"/>
        </w:rPr>
        <w:t>e</w:t>
      </w:r>
      <w:r w:rsidR="00B51B93">
        <w:rPr>
          <w:rFonts w:cs="Arial"/>
        </w:rPr>
        <w:t>p</w:t>
      </w:r>
      <w:r w:rsidR="00A139D7">
        <w:rPr>
          <w:rFonts w:cs="Arial"/>
        </w:rPr>
        <w:t>ú</w:t>
      </w:r>
      <w:r w:rsidR="00B51B93">
        <w:rPr>
          <w:rFonts w:cs="Arial"/>
        </w:rPr>
        <w:t xml:space="preserve">blica”, </w:t>
      </w:r>
      <w:r w:rsidR="0031618D">
        <w:rPr>
          <w:rFonts w:cs="Arial"/>
        </w:rPr>
        <w:t>Financiamiento</w:t>
      </w:r>
      <w:r w:rsidR="00B51B93">
        <w:rPr>
          <w:rFonts w:cs="Arial"/>
        </w:rPr>
        <w:t xml:space="preserve"> 1.1.;</w:t>
      </w:r>
    </w:p>
    <w:p w:rsidR="00583F54" w:rsidRDefault="004D0BFE" w:rsidP="000742A3">
      <w:pPr>
        <w:spacing w:line="360" w:lineRule="auto"/>
        <w:ind w:firstLine="851"/>
        <w:jc w:val="both"/>
      </w:pPr>
      <w:r>
        <w:rPr>
          <w:b/>
          <w:bCs/>
        </w:rPr>
        <w:t>CONSIDERANDO</w:t>
      </w:r>
      <w:r w:rsidRPr="009D4F48">
        <w:rPr>
          <w:b/>
          <w:bCs/>
        </w:rPr>
        <w:t>:</w:t>
      </w:r>
      <w:r w:rsidRPr="009D4F48">
        <w:rPr>
          <w:b/>
        </w:rPr>
        <w:t xml:space="preserve"> </w:t>
      </w:r>
      <w:r w:rsidR="00583F54">
        <w:rPr>
          <w:b/>
          <w:bCs/>
        </w:rPr>
        <w:t xml:space="preserve">1) </w:t>
      </w:r>
      <w:r w:rsidR="00583F54">
        <w:t xml:space="preserve">que la </w:t>
      </w:r>
      <w:r w:rsidR="00A139D7">
        <w:t>L</w:t>
      </w:r>
      <w:r w:rsidR="00583F54">
        <w:t>ey 15.851</w:t>
      </w:r>
      <w:r w:rsidR="00EA6BA1">
        <w:t xml:space="preserve"> del 24 de diciembre de 1986</w:t>
      </w:r>
      <w:r w:rsidR="00583F54">
        <w:t>, en su artículo 145 preceptúa que “</w:t>
      </w:r>
      <w:r w:rsidR="00583F54">
        <w:rPr>
          <w:i/>
          <w:iCs/>
        </w:rPr>
        <w:t>no requieren ratificación legislativa los convenios o contratos que el Poder Ejecutivo, los Entes Autónomos y Servicios Descentralizados celebren con organismos internacionales de los que el país forme parte”</w:t>
      </w:r>
      <w:r w:rsidR="00583F54">
        <w:rPr>
          <w:iCs/>
        </w:rPr>
        <w:t>, debiéndose dar cuenta a la Asamblea General dentro de los diez días siguientes al de su celebración;</w:t>
      </w:r>
      <w:r w:rsidR="00583F54">
        <w:rPr>
          <w:i/>
          <w:iCs/>
        </w:rPr>
        <w:t xml:space="preserve"> </w:t>
      </w:r>
      <w:r w:rsidR="00583F54">
        <w:t xml:space="preserve"> </w:t>
      </w:r>
    </w:p>
    <w:p w:rsidR="000742A3" w:rsidRDefault="00583F54" w:rsidP="000742A3">
      <w:pPr>
        <w:spacing w:line="360" w:lineRule="auto"/>
        <w:ind w:firstLine="2977"/>
        <w:jc w:val="both"/>
        <w:rPr>
          <w:rFonts w:cs="Arial"/>
          <w:b/>
          <w:bCs/>
          <w:color w:val="000000"/>
          <w:szCs w:val="19"/>
        </w:rPr>
      </w:pPr>
      <w:r>
        <w:rPr>
          <w:rFonts w:cs="Arial"/>
          <w:b/>
          <w:bCs/>
          <w:color w:val="000000"/>
          <w:szCs w:val="19"/>
        </w:rPr>
        <w:t xml:space="preserve">2) </w:t>
      </w:r>
      <w:r>
        <w:rPr>
          <w:rFonts w:cs="Arial"/>
          <w:bCs/>
          <w:color w:val="000000"/>
          <w:szCs w:val="19"/>
        </w:rPr>
        <w:t>que de conformidad a lo establecido en el artículo 98 de la Ley 18.719</w:t>
      </w:r>
      <w:r w:rsidR="00EA6BA1">
        <w:rPr>
          <w:rFonts w:cs="Arial"/>
          <w:bCs/>
          <w:color w:val="000000"/>
          <w:szCs w:val="19"/>
        </w:rPr>
        <w:t xml:space="preserve"> del 27 de diciembre de 2010</w:t>
      </w:r>
      <w:r>
        <w:rPr>
          <w:rFonts w:cs="Arial"/>
          <w:bCs/>
          <w:color w:val="000000"/>
          <w:szCs w:val="19"/>
        </w:rPr>
        <w:t>, la Agencia Uruguaya de Cooperación Internacional es un órgano dependiente de la Presidencia de la República y tiene como cometidos la planificación, diseño, supervisión, administración, coordinación, ejecución, evaluación, seguimiento y difusión de actividades, proyectos y programas de cooperación internacional para dar cumplimiento a las políticas de desarrollo del país;</w:t>
      </w:r>
      <w:r>
        <w:rPr>
          <w:rFonts w:cs="Arial"/>
          <w:b/>
          <w:bCs/>
          <w:color w:val="000000"/>
          <w:szCs w:val="19"/>
        </w:rPr>
        <w:t xml:space="preserve">                                   </w:t>
      </w:r>
    </w:p>
    <w:p w:rsidR="000742A3" w:rsidRDefault="00583F54" w:rsidP="000742A3">
      <w:pPr>
        <w:spacing w:line="360" w:lineRule="auto"/>
        <w:ind w:firstLine="2977"/>
        <w:jc w:val="both"/>
        <w:rPr>
          <w:rFonts w:cs="Arial"/>
          <w:b/>
          <w:bCs/>
          <w:color w:val="000000"/>
          <w:szCs w:val="19"/>
        </w:rPr>
      </w:pPr>
      <w:r>
        <w:rPr>
          <w:rFonts w:cs="Arial"/>
          <w:b/>
        </w:rPr>
        <w:t>3</w:t>
      </w:r>
      <w:r w:rsidRPr="00F96A76">
        <w:rPr>
          <w:rFonts w:cs="Arial"/>
          <w:b/>
        </w:rPr>
        <w:t>)</w:t>
      </w:r>
      <w:r w:rsidRPr="00F96A76">
        <w:rPr>
          <w:rFonts w:cs="Arial"/>
        </w:rPr>
        <w:t xml:space="preserve"> que </w:t>
      </w:r>
      <w:r w:rsidR="00EA6BA1">
        <w:rPr>
          <w:rFonts w:cs="Arial"/>
        </w:rPr>
        <w:t xml:space="preserve">el </w:t>
      </w:r>
      <w:r>
        <w:rPr>
          <w:rFonts w:cs="Arial"/>
        </w:rPr>
        <w:t xml:space="preserve">Decreto </w:t>
      </w:r>
      <w:r w:rsidR="00EA6BA1">
        <w:rPr>
          <w:rFonts w:cs="Arial"/>
        </w:rPr>
        <w:t xml:space="preserve">Nº </w:t>
      </w:r>
      <w:r>
        <w:rPr>
          <w:rFonts w:cs="Arial"/>
        </w:rPr>
        <w:t>184/015 de</w:t>
      </w:r>
      <w:r w:rsidR="00EA6BA1">
        <w:rPr>
          <w:rFonts w:cs="Arial"/>
        </w:rPr>
        <w:t>l</w:t>
      </w:r>
      <w:r>
        <w:rPr>
          <w:rFonts w:cs="Arial"/>
        </w:rPr>
        <w:t xml:space="preserve"> 14</w:t>
      </w:r>
      <w:r w:rsidR="00EA6BA1">
        <w:rPr>
          <w:rFonts w:cs="Arial"/>
        </w:rPr>
        <w:t xml:space="preserve"> de julio de 2015</w:t>
      </w:r>
      <w:r>
        <w:rPr>
          <w:rFonts w:cs="Arial"/>
        </w:rPr>
        <w:t>,</w:t>
      </w:r>
      <w:r w:rsidR="00EA6BA1">
        <w:rPr>
          <w:rFonts w:cs="Arial"/>
        </w:rPr>
        <w:t xml:space="preserve"> en su artículo 1</w:t>
      </w:r>
      <w:r w:rsidR="000E7902">
        <w:rPr>
          <w:rFonts w:cs="Arial"/>
        </w:rPr>
        <w:t>º</w:t>
      </w:r>
      <w:r>
        <w:rPr>
          <w:rFonts w:cs="Arial"/>
        </w:rPr>
        <w:t xml:space="preserve"> dispone que a la AGESIC compete: a) formular las políticas, los planes y la estrategia nacional de desarrollo de Gobierno electrónico y </w:t>
      </w:r>
      <w:r>
        <w:rPr>
          <w:rFonts w:cs="Arial"/>
        </w:rPr>
        <w:lastRenderedPageBreak/>
        <w:t xml:space="preserve">Gobierno Abierto; b) elaborar las políticas, los planes y la estrategia nacional en materia de gobernanza, integración, </w:t>
      </w:r>
      <w:proofErr w:type="spellStart"/>
      <w:r>
        <w:rPr>
          <w:rFonts w:cs="Arial"/>
        </w:rPr>
        <w:t>interoperatividad</w:t>
      </w:r>
      <w:proofErr w:type="spellEnd"/>
      <w:r>
        <w:rPr>
          <w:rFonts w:cs="Arial"/>
        </w:rPr>
        <w:t xml:space="preserve">, arquitectura empresarial de gobierno, capital humano y adquisiciones vinculadas con las Tecnologías de la Información y las comunicaciones en las Entidades Públicas; y c) establecer relaciones con sus similares de otros países y con entidades nacionales e internacionales, públicas y privadas, afines a la materia de su competencia;    </w:t>
      </w:r>
    </w:p>
    <w:p w:rsidR="000742A3" w:rsidRDefault="00583F54" w:rsidP="000742A3">
      <w:pPr>
        <w:spacing w:line="360" w:lineRule="auto"/>
        <w:ind w:firstLine="2977"/>
        <w:jc w:val="both"/>
        <w:rPr>
          <w:rFonts w:cs="Arial"/>
          <w:b/>
          <w:bCs/>
          <w:color w:val="000000"/>
          <w:szCs w:val="19"/>
        </w:rPr>
      </w:pPr>
      <w:r>
        <w:rPr>
          <w:rFonts w:cs="Arial"/>
          <w:b/>
        </w:rPr>
        <w:t xml:space="preserve">4) </w:t>
      </w:r>
      <w:r>
        <w:rPr>
          <w:rFonts w:cs="Arial"/>
        </w:rPr>
        <w:t>que el Programa de la Naciones Unidas para el Desarrollo (PNUD), es la red mundial de las Naciones Unidas aplicable a la materia de desarrollo y tiene por objetivos la promoción de los derechos humanos y la equidad de género, brindando asistencia técnica a fin de alcanzar un desarrollo humano sostenible teniendo en cuenta las prioridades de cada nación;</w:t>
      </w:r>
    </w:p>
    <w:p w:rsidR="004D0BFE" w:rsidRPr="000742A3" w:rsidRDefault="000E7902" w:rsidP="000742A3">
      <w:pPr>
        <w:spacing w:line="360" w:lineRule="auto"/>
        <w:ind w:firstLine="2977"/>
        <w:jc w:val="both"/>
        <w:rPr>
          <w:rFonts w:cs="Arial"/>
          <w:b/>
          <w:bCs/>
          <w:color w:val="000000"/>
          <w:szCs w:val="19"/>
        </w:rPr>
      </w:pPr>
      <w:r>
        <w:rPr>
          <w:rFonts w:cs="Arial"/>
          <w:b/>
        </w:rPr>
        <w:t>5)</w:t>
      </w:r>
      <w:r>
        <w:rPr>
          <w:rFonts w:cs="Arial"/>
        </w:rPr>
        <w:t xml:space="preserve"> que en función de lo dicho, no existen objeciones legales que formular a la extensión del plazo del convenio ni a la transferencia que dan lugar a estas actuaciones;</w:t>
      </w:r>
      <w:r w:rsidR="00583F54">
        <w:rPr>
          <w:rFonts w:cs="Arial"/>
        </w:rPr>
        <w:t xml:space="preserve">   </w:t>
      </w:r>
    </w:p>
    <w:p w:rsidR="004D0BFE" w:rsidRDefault="004D0BFE" w:rsidP="000742A3">
      <w:pPr>
        <w:spacing w:line="360" w:lineRule="auto"/>
        <w:ind w:firstLine="851"/>
        <w:jc w:val="both"/>
        <w:rPr>
          <w:b/>
          <w:bCs/>
        </w:rPr>
      </w:pPr>
      <w:r>
        <w:rPr>
          <w:b/>
          <w:bCs/>
        </w:rPr>
        <w:t>ATENTO:</w:t>
      </w:r>
      <w:r>
        <w:t xml:space="preserve"> a lo dispuesto por el artículo 211 literal B) de la Constitución de la República; </w:t>
      </w:r>
    </w:p>
    <w:p w:rsidR="004D0BFE" w:rsidRDefault="004D0BFE" w:rsidP="004D0BFE">
      <w:pPr>
        <w:pStyle w:val="Ttulo1"/>
        <w:spacing w:line="360" w:lineRule="auto"/>
      </w:pPr>
    </w:p>
    <w:p w:rsidR="004D0BFE" w:rsidRPr="00457F06" w:rsidRDefault="004D0BFE" w:rsidP="000742A3">
      <w:pPr>
        <w:pStyle w:val="Ttulo1"/>
        <w:spacing w:line="360" w:lineRule="auto"/>
      </w:pPr>
      <w:r>
        <w:t>EL TRIBUNAL ACUERDA</w:t>
      </w:r>
    </w:p>
    <w:p w:rsidR="004D0BFE" w:rsidRDefault="004D0BFE" w:rsidP="004D0BFE">
      <w:pPr>
        <w:numPr>
          <w:ilvl w:val="0"/>
          <w:numId w:val="1"/>
        </w:numPr>
        <w:spacing w:line="360" w:lineRule="auto"/>
        <w:jc w:val="both"/>
      </w:pPr>
      <w:r>
        <w:t xml:space="preserve">No formular observaciones a la </w:t>
      </w:r>
      <w:r w:rsidR="00B51B93">
        <w:rPr>
          <w:rFonts w:cs="Arial"/>
        </w:rPr>
        <w:t xml:space="preserve">Revisión “B” </w:t>
      </w:r>
      <w:r w:rsidR="00B51B93">
        <w:t xml:space="preserve">del </w:t>
      </w:r>
      <w:r w:rsidR="00B51B93">
        <w:rPr>
          <w:rFonts w:cs="Arial"/>
        </w:rPr>
        <w:t xml:space="preserve">Acuerdo de Cooperación y Servicios, Programa UR-L1109 para la Mejora de los Servicios Públicos y de la Interacción Estado-Ciudadano, celebrado </w:t>
      </w:r>
      <w:r w:rsidR="00B51B93">
        <w:t xml:space="preserve"> </w:t>
      </w:r>
      <w:r w:rsidR="00B51B93">
        <w:rPr>
          <w:rFonts w:cs="Arial"/>
        </w:rPr>
        <w:t>entre la AUCI,  AGESIC y PNUD</w:t>
      </w:r>
      <w:r w:rsidR="000E7902">
        <w:rPr>
          <w:rFonts w:cs="Arial"/>
        </w:rPr>
        <w:t>, extendiendo el plazo del vínculo hasta el 31/12/20</w:t>
      </w:r>
      <w:r>
        <w:t>;</w:t>
      </w:r>
    </w:p>
    <w:p w:rsidR="00583F54" w:rsidRPr="006A3BB4" w:rsidRDefault="00583F54" w:rsidP="008A4C77">
      <w:pPr>
        <w:numPr>
          <w:ilvl w:val="0"/>
          <w:numId w:val="1"/>
        </w:numPr>
        <w:tabs>
          <w:tab w:val="clear" w:pos="360"/>
          <w:tab w:val="num" w:pos="284"/>
        </w:tabs>
        <w:spacing w:line="360" w:lineRule="auto"/>
        <w:jc w:val="both"/>
      </w:pPr>
      <w:r>
        <w:t xml:space="preserve">Una vez dictada la Resolución por el Ordenador Competente y suscrito el Proyecto remitido, </w:t>
      </w:r>
      <w:r w:rsidR="00F73D9A">
        <w:t xml:space="preserve">se </w:t>
      </w:r>
      <w:r>
        <w:t>comete a la Contadora Auditora destacada ante la Presidencia de la República, la intervención del gasto</w:t>
      </w:r>
      <w:r>
        <w:rPr>
          <w:rFonts w:cs="Arial"/>
        </w:rPr>
        <w:t xml:space="preserve"> resultante de la implementación del presente, por </w:t>
      </w:r>
      <w:r w:rsidR="00F73D9A">
        <w:rPr>
          <w:rFonts w:cs="Arial"/>
        </w:rPr>
        <w:t>hasta el equivalente a U$S 5.907.401</w:t>
      </w:r>
      <w:r>
        <w:rPr>
          <w:rFonts w:cs="Arial"/>
        </w:rPr>
        <w:t>, previo control de su imputación con cargo a grupo adecuado y con disponibilidad suficiente y de la verificación que el convenio definitivo concuerde con los términos sometidos a intervención de este Tribunal</w:t>
      </w:r>
      <w:r w:rsidR="008A4C77">
        <w:rPr>
          <w:rFonts w:cs="Arial"/>
        </w:rPr>
        <w:t>;</w:t>
      </w:r>
    </w:p>
    <w:p w:rsidR="00583F54" w:rsidRDefault="00583F54" w:rsidP="008A4C77">
      <w:pPr>
        <w:tabs>
          <w:tab w:val="left" w:pos="240"/>
          <w:tab w:val="num" w:pos="284"/>
        </w:tabs>
        <w:spacing w:line="360" w:lineRule="auto"/>
        <w:ind w:left="709" w:hanging="709"/>
        <w:jc w:val="both"/>
        <w:rPr>
          <w:b/>
          <w:bCs/>
        </w:rPr>
      </w:pPr>
      <w:r>
        <w:rPr>
          <w:b/>
          <w:bCs/>
        </w:rPr>
        <w:t xml:space="preserve">3) </w:t>
      </w:r>
      <w:r>
        <w:t xml:space="preserve">Comunicar a la Contadora Auditora destacado ante la Presidencia de la República; </w:t>
      </w:r>
    </w:p>
    <w:p w:rsidR="00583F54" w:rsidRDefault="00583F54" w:rsidP="008A4C77">
      <w:pPr>
        <w:tabs>
          <w:tab w:val="left" w:pos="240"/>
          <w:tab w:val="num" w:pos="284"/>
        </w:tabs>
        <w:spacing w:line="360" w:lineRule="auto"/>
        <w:ind w:left="360" w:hanging="360"/>
        <w:jc w:val="both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4)  </w:t>
      </w:r>
      <w:r>
        <w:t>Devolver las actuaciones.</w:t>
      </w:r>
    </w:p>
    <w:p w:rsidR="00583F54" w:rsidRPr="000742A3" w:rsidRDefault="000742A3" w:rsidP="00583F54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CLC</w:t>
      </w:r>
    </w:p>
    <w:sectPr w:rsidR="00583F54" w:rsidRPr="000742A3" w:rsidSect="000742A3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B3D59"/>
    <w:multiLevelType w:val="hybridMultilevel"/>
    <w:tmpl w:val="6BCC007C"/>
    <w:lvl w:ilvl="0" w:tplc="0CDEE50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1D3829"/>
    <w:multiLevelType w:val="hybridMultilevel"/>
    <w:tmpl w:val="EAE29056"/>
    <w:lvl w:ilvl="0" w:tplc="722EC7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D22A3C"/>
    <w:multiLevelType w:val="hybridMultilevel"/>
    <w:tmpl w:val="B84E1128"/>
    <w:lvl w:ilvl="0" w:tplc="89C849C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BFE"/>
    <w:rsid w:val="000742A3"/>
    <w:rsid w:val="000E7902"/>
    <w:rsid w:val="00151D55"/>
    <w:rsid w:val="00177791"/>
    <w:rsid w:val="0031618D"/>
    <w:rsid w:val="004D0BFE"/>
    <w:rsid w:val="00583F54"/>
    <w:rsid w:val="005B2FB9"/>
    <w:rsid w:val="00647B38"/>
    <w:rsid w:val="00675EEA"/>
    <w:rsid w:val="008A4C77"/>
    <w:rsid w:val="00A139D7"/>
    <w:rsid w:val="00B51B93"/>
    <w:rsid w:val="00C94150"/>
    <w:rsid w:val="00D235EC"/>
    <w:rsid w:val="00EA6BA1"/>
    <w:rsid w:val="00F02E69"/>
    <w:rsid w:val="00F7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BFE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D0BFE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4D0BFE"/>
    <w:pPr>
      <w:keepNext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D0BFE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4D0BFE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semiHidden/>
    <w:rsid w:val="00583F54"/>
    <w:pPr>
      <w:spacing w:line="360" w:lineRule="auto"/>
      <w:ind w:firstLine="1416"/>
      <w:jc w:val="both"/>
    </w:pPr>
    <w:rPr>
      <w:rFonts w:cs="Aria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583F54"/>
    <w:rPr>
      <w:rFonts w:ascii="Arial" w:eastAsia="Times New Roman" w:hAnsi="Arial" w:cs="Arial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BFE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D0BFE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4D0BFE"/>
    <w:pPr>
      <w:keepNext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D0BFE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4D0BFE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semiHidden/>
    <w:rsid w:val="00583F54"/>
    <w:pPr>
      <w:spacing w:line="360" w:lineRule="auto"/>
      <w:ind w:firstLine="1416"/>
      <w:jc w:val="both"/>
    </w:pPr>
    <w:rPr>
      <w:rFonts w:cs="Aria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583F54"/>
    <w:rPr>
      <w:rFonts w:ascii="Arial" w:eastAsia="Times New Roman" w:hAnsi="Arial" w:cs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936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6073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4</cp:revision>
  <cp:lastPrinted>2018-09-14T14:29:00Z</cp:lastPrinted>
  <dcterms:created xsi:type="dcterms:W3CDTF">2018-10-09T16:32:00Z</dcterms:created>
  <dcterms:modified xsi:type="dcterms:W3CDTF">2018-10-09T16:36:00Z</dcterms:modified>
</cp:coreProperties>
</file>