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39" w:rsidRPr="00786EEB" w:rsidRDefault="00C53A3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3126/18</w:t>
      </w:r>
    </w:p>
    <w:p w:rsidR="00C53A39" w:rsidRDefault="00C53A3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53A39" w:rsidRPr="00C53A39" w:rsidRDefault="00C53A39" w:rsidP="00C53A3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53A3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53A39" w:rsidRPr="00C53A39" w:rsidRDefault="00C53A39" w:rsidP="00C53A3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53A39" w:rsidRPr="00C53A39" w:rsidRDefault="00C53A39" w:rsidP="00C53A3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53A3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53A39" w:rsidRPr="00C53A39" w:rsidRDefault="00C53A39" w:rsidP="00C53A3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53A39" w:rsidRPr="00C53A39" w:rsidRDefault="00C53A39" w:rsidP="00C53A3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53A39">
        <w:rPr>
          <w:rFonts w:ascii="Arial" w:hAnsi="Arial" w:cs="Arial"/>
          <w:b/>
          <w:sz w:val="24"/>
          <w:szCs w:val="24"/>
          <w:lang w:val="es-ES_tradnl"/>
        </w:rPr>
        <w:t xml:space="preserve">EN SESION DE FECHA 3 DE OCTUBRE </w:t>
      </w:r>
      <w:r w:rsidRPr="00C53A39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C53A39" w:rsidRPr="00C53A39" w:rsidRDefault="00C53A39" w:rsidP="00C53A3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53A39" w:rsidRPr="00C53A39" w:rsidRDefault="00C53A39" w:rsidP="00C53A3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53A39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2018-17-1-0002287</w:t>
      </w:r>
      <w:r w:rsidRPr="00C53A39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C53A39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C53A39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4077/18</w:t>
      </w:r>
      <w:r w:rsidRPr="00C53A39">
        <w:rPr>
          <w:rFonts w:ascii="Arial" w:hAnsi="Arial" w:cs="Arial"/>
          <w:b/>
          <w:sz w:val="24"/>
          <w:szCs w:val="24"/>
          <w:lang w:val="en-US"/>
        </w:rPr>
        <w:t>)</w:t>
      </w:r>
    </w:p>
    <w:p w:rsidR="00C53A39" w:rsidRDefault="00C53A3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C53A39" w:rsidRDefault="00E42956" w:rsidP="00C53A3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 nota N° 84648 de fecha 06.08.18 remitida por la Administra</w:t>
      </w:r>
      <w:r w:rsidR="00C53A3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ción Nacional de Usinas y Trasmisiones Eléctricas, en relación a la</w:t>
      </w:r>
      <w:r w:rsidRPr="00E42956">
        <w:rPr>
          <w:rFonts w:ascii="Arial" w:hAnsi="Arial" w:cs="Arial"/>
          <w:sz w:val="24"/>
          <w:szCs w:val="24"/>
        </w:rPr>
        <w:t xml:space="preserve"> Licitación Pública N° P49924, para la contratación de servicios de vigilancia para la protección de las personas</w:t>
      </w:r>
      <w:r>
        <w:rPr>
          <w:rFonts w:ascii="Arial" w:hAnsi="Arial" w:cs="Arial"/>
          <w:sz w:val="24"/>
          <w:szCs w:val="24"/>
        </w:rPr>
        <w:t>, bienes, instalaciones y actividades de distintas reparticiones de UTE;</w:t>
      </w:r>
    </w:p>
    <w:p w:rsidR="00F23F61" w:rsidRDefault="00E42956" w:rsidP="00F23F6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2956">
        <w:rPr>
          <w:rFonts w:ascii="Arial" w:hAnsi="Arial" w:cs="Arial"/>
          <w:b/>
          <w:sz w:val="24"/>
          <w:szCs w:val="24"/>
        </w:rPr>
        <w:t xml:space="preserve">RESULTANDO: </w:t>
      </w:r>
      <w:r>
        <w:rPr>
          <w:rFonts w:ascii="Arial" w:hAnsi="Arial" w:cs="Arial"/>
          <w:b/>
          <w:sz w:val="24"/>
          <w:szCs w:val="24"/>
        </w:rPr>
        <w:tab/>
        <w:t>1)</w:t>
      </w:r>
      <w:r>
        <w:rPr>
          <w:rFonts w:ascii="Arial" w:hAnsi="Arial" w:cs="Arial"/>
          <w:sz w:val="24"/>
          <w:szCs w:val="24"/>
        </w:rPr>
        <w:t xml:space="preserve"> que adjunto a la referida nota, se remitió copia de la Resolución N° 18.-1906 de fecha 02.08.18, por la cual el Directorio hizo lugar a la observación de este Tribunal, dispuesta mediante Resolución N° 1459/18 de fecha 03.05.18, </w:t>
      </w:r>
      <w:r w:rsidR="00EE7F87">
        <w:rPr>
          <w:rFonts w:ascii="Arial" w:hAnsi="Arial" w:cs="Arial"/>
          <w:sz w:val="24"/>
          <w:szCs w:val="24"/>
        </w:rPr>
        <w:t>y dejó</w:t>
      </w:r>
      <w:r>
        <w:rPr>
          <w:rFonts w:ascii="Arial" w:hAnsi="Arial" w:cs="Arial"/>
          <w:sz w:val="24"/>
          <w:szCs w:val="24"/>
        </w:rPr>
        <w:t xml:space="preserve"> sin efecto l</w:t>
      </w:r>
      <w:r w:rsidR="00C53A39">
        <w:rPr>
          <w:rFonts w:ascii="Arial" w:hAnsi="Arial" w:cs="Arial"/>
          <w:sz w:val="24"/>
          <w:szCs w:val="24"/>
        </w:rPr>
        <w:t>a adjudicación dispuesta en la L</w:t>
      </w:r>
      <w:r>
        <w:rPr>
          <w:rFonts w:ascii="Arial" w:hAnsi="Arial" w:cs="Arial"/>
          <w:sz w:val="24"/>
          <w:szCs w:val="24"/>
        </w:rPr>
        <w:t>icitación de referencia, mediante Resolución N° 17.-2527 de fecha 19.10.17;</w:t>
      </w:r>
    </w:p>
    <w:p w:rsidR="00F23F61" w:rsidRDefault="00E42956" w:rsidP="00F23F6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4295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 observación dispuesta por este Tribunal en su Resolución N° 1459/18 de fecha 03.05.18 se fundó en que:</w:t>
      </w:r>
    </w:p>
    <w:p w:rsidR="00F23F61" w:rsidRDefault="00E42956" w:rsidP="00F23F6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42956">
        <w:rPr>
          <w:rFonts w:ascii="Arial" w:hAnsi="Arial" w:cs="Arial"/>
          <w:b/>
          <w:sz w:val="24"/>
          <w:szCs w:val="24"/>
        </w:rPr>
        <w:t>2.1)</w:t>
      </w:r>
      <w:r>
        <w:rPr>
          <w:rFonts w:ascii="Arial" w:hAnsi="Arial" w:cs="Arial"/>
          <w:sz w:val="24"/>
          <w:szCs w:val="24"/>
        </w:rPr>
        <w:t xml:space="preserve"> el Pliego de Condiciones Particulares</w:t>
      </w:r>
      <w:r w:rsidR="00F23F61">
        <w:rPr>
          <w:rFonts w:ascii="Arial" w:hAnsi="Arial" w:cs="Arial"/>
          <w:sz w:val="24"/>
          <w:szCs w:val="24"/>
        </w:rPr>
        <w:t xml:space="preserve"> estableció expresamente en el N</w:t>
      </w:r>
      <w:r>
        <w:rPr>
          <w:rFonts w:ascii="Arial" w:hAnsi="Arial" w:cs="Arial"/>
          <w:sz w:val="24"/>
          <w:szCs w:val="24"/>
        </w:rPr>
        <w:t xml:space="preserve">umeral 2.3 Capítulo II Parte I que </w:t>
      </w:r>
      <w:r w:rsidRPr="007C3651">
        <w:rPr>
          <w:rFonts w:ascii="Arial" w:hAnsi="Arial" w:cs="Arial"/>
          <w:i/>
          <w:sz w:val="24"/>
          <w:szCs w:val="24"/>
        </w:rPr>
        <w:t>“no se podrán presentar al llamado empresas con antecedentes ne</w:t>
      </w:r>
      <w:r>
        <w:rPr>
          <w:rFonts w:ascii="Arial" w:hAnsi="Arial" w:cs="Arial"/>
          <w:i/>
          <w:sz w:val="24"/>
          <w:szCs w:val="24"/>
        </w:rPr>
        <w:t>gativos registrados en el RUPE”</w:t>
      </w:r>
      <w:r>
        <w:rPr>
          <w:rFonts w:ascii="Arial" w:hAnsi="Arial" w:cs="Arial"/>
          <w:sz w:val="24"/>
          <w:szCs w:val="24"/>
        </w:rPr>
        <w:t xml:space="preserve">. A la fecha de la apertura de ofertas, la Administración verificó que todos los oferentes contaban con estado </w:t>
      </w:r>
      <w:r w:rsidRPr="007C3651">
        <w:rPr>
          <w:rFonts w:ascii="Arial" w:hAnsi="Arial" w:cs="Arial"/>
          <w:i/>
          <w:sz w:val="24"/>
          <w:szCs w:val="24"/>
        </w:rPr>
        <w:t>activo</w:t>
      </w:r>
      <w:r>
        <w:rPr>
          <w:rFonts w:ascii="Arial" w:hAnsi="Arial" w:cs="Arial"/>
          <w:sz w:val="24"/>
          <w:szCs w:val="24"/>
        </w:rPr>
        <w:t xml:space="preserve"> en el RUPE y que ninguno presentaba antecedentes negativos, dejando expresa constancia de ello en el informe de fecha 20.04.17, determinando en consecuencia, que la oferta presentada por </w:t>
      </w:r>
      <w:proofErr w:type="spellStart"/>
      <w:r>
        <w:rPr>
          <w:rFonts w:ascii="Arial" w:hAnsi="Arial" w:cs="Arial"/>
          <w:sz w:val="24"/>
          <w:szCs w:val="24"/>
        </w:rPr>
        <w:t>Securitas</w:t>
      </w:r>
      <w:proofErr w:type="spellEnd"/>
      <w:r>
        <w:rPr>
          <w:rFonts w:ascii="Arial" w:hAnsi="Arial" w:cs="Arial"/>
          <w:sz w:val="24"/>
          <w:szCs w:val="24"/>
        </w:rPr>
        <w:t xml:space="preserve"> Uruguay S.A cumplió, entre otros, con el referido </w:t>
      </w:r>
      <w:r>
        <w:rPr>
          <w:rFonts w:ascii="Arial" w:hAnsi="Arial" w:cs="Arial"/>
          <w:sz w:val="24"/>
          <w:szCs w:val="24"/>
        </w:rPr>
        <w:lastRenderedPageBreak/>
        <w:t>requisito de admisibilidad expresamente previsto en las bases de la contratación, de conf</w:t>
      </w:r>
      <w:r w:rsidR="00F23F61">
        <w:rPr>
          <w:rFonts w:ascii="Arial" w:hAnsi="Arial" w:cs="Arial"/>
          <w:sz w:val="24"/>
          <w:szCs w:val="24"/>
        </w:rPr>
        <w:t>ormidad con lo dispuesto en el A</w:t>
      </w:r>
      <w:r>
        <w:rPr>
          <w:rFonts w:ascii="Arial" w:hAnsi="Arial" w:cs="Arial"/>
          <w:sz w:val="24"/>
          <w:szCs w:val="24"/>
        </w:rPr>
        <w:t>rtículo 63 del TOCAF;</w:t>
      </w:r>
    </w:p>
    <w:p w:rsidR="00F23F61" w:rsidRDefault="00E42956" w:rsidP="00F23F6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42956">
        <w:rPr>
          <w:rFonts w:ascii="Arial" w:hAnsi="Arial" w:cs="Arial"/>
          <w:b/>
          <w:sz w:val="24"/>
          <w:szCs w:val="24"/>
        </w:rPr>
        <w:t>2.2)</w:t>
      </w:r>
      <w:r>
        <w:rPr>
          <w:rFonts w:ascii="Arial" w:hAnsi="Arial" w:cs="Arial"/>
          <w:sz w:val="24"/>
          <w:szCs w:val="24"/>
        </w:rPr>
        <w:t xml:space="preserve"> si bien el Reglamento para la aplicación de sanciones contractuales a proveedores de </w:t>
      </w:r>
      <w:r w:rsidR="00F23F61">
        <w:rPr>
          <w:rFonts w:ascii="Arial" w:hAnsi="Arial" w:cs="Arial"/>
          <w:sz w:val="24"/>
          <w:szCs w:val="24"/>
        </w:rPr>
        <w:t>UTE -aprobado por Resolución N°</w:t>
      </w:r>
      <w:r>
        <w:rPr>
          <w:rFonts w:ascii="Arial" w:hAnsi="Arial" w:cs="Arial"/>
          <w:sz w:val="24"/>
          <w:szCs w:val="24"/>
        </w:rPr>
        <w:t>09.-591 de f</w:t>
      </w:r>
      <w:r w:rsidR="00F23F61">
        <w:rPr>
          <w:rFonts w:ascii="Arial" w:hAnsi="Arial" w:cs="Arial"/>
          <w:sz w:val="24"/>
          <w:szCs w:val="24"/>
        </w:rPr>
        <w:t>echa 28.05.09- establece en el A</w:t>
      </w:r>
      <w:r>
        <w:rPr>
          <w:rFonts w:ascii="Arial" w:hAnsi="Arial" w:cs="Arial"/>
          <w:sz w:val="24"/>
          <w:szCs w:val="24"/>
        </w:rPr>
        <w:t xml:space="preserve">rtículo 4 que el antecedente negativo </w:t>
      </w:r>
      <w:r>
        <w:rPr>
          <w:rFonts w:ascii="Arial" w:hAnsi="Arial" w:cs="Arial"/>
          <w:i/>
          <w:sz w:val="24"/>
          <w:szCs w:val="24"/>
        </w:rPr>
        <w:t>“faculta a la Administración a tenerlo en cuenta para, eventualmente, descalificar a un oferente en una futura adjudicación”</w:t>
      </w:r>
      <w:r>
        <w:rPr>
          <w:rFonts w:ascii="Arial" w:hAnsi="Arial" w:cs="Arial"/>
          <w:sz w:val="24"/>
          <w:szCs w:val="24"/>
        </w:rPr>
        <w:t>, tal presupuesto debe ser expresa y previamente establecido en el Pliego de Condiciones Particulares, en la etapa preparatoria del llamado y no luego, en tanto el procedimiento de contratación debe ceñirse al principio de estricto cumplimiento de las bases preestablecidas por la misma Administración;</w:t>
      </w:r>
    </w:p>
    <w:p w:rsidR="00F23F61" w:rsidRDefault="00E42956" w:rsidP="00F23F6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42956">
        <w:rPr>
          <w:rFonts w:ascii="Arial" w:hAnsi="Arial" w:cs="Arial"/>
          <w:b/>
          <w:sz w:val="24"/>
          <w:szCs w:val="24"/>
        </w:rPr>
        <w:t>2.3)</w:t>
      </w:r>
      <w:r w:rsidR="00F23F61">
        <w:rPr>
          <w:rFonts w:ascii="Arial" w:hAnsi="Arial" w:cs="Arial"/>
          <w:sz w:val="24"/>
          <w:szCs w:val="24"/>
        </w:rPr>
        <w:t xml:space="preserve"> el Artículo 17 Literal e) del D</w:t>
      </w:r>
      <w:r>
        <w:rPr>
          <w:rFonts w:ascii="Arial" w:hAnsi="Arial" w:cs="Arial"/>
          <w:sz w:val="24"/>
          <w:szCs w:val="24"/>
        </w:rPr>
        <w:t>ecreto N° 1</w:t>
      </w:r>
      <w:r w:rsidR="00F23F61">
        <w:rPr>
          <w:rFonts w:ascii="Arial" w:hAnsi="Arial" w:cs="Arial"/>
          <w:sz w:val="24"/>
          <w:szCs w:val="24"/>
        </w:rPr>
        <w:t>55/013 establece que todos los Organismos Públicos E</w:t>
      </w:r>
      <w:r>
        <w:rPr>
          <w:rFonts w:ascii="Arial" w:hAnsi="Arial" w:cs="Arial"/>
          <w:sz w:val="24"/>
          <w:szCs w:val="24"/>
        </w:rPr>
        <w:t>statales deberán ingresar al RUPE las sanciones de cualquier índole que se impongan a proveedores, una vez que se encuentren firmes, en un plazo máximo de 30 días. En el caso concreto, la sanción dispuesta por Resolución G.A N°959/16 de fecha 09.11.16 fue inscripta el 30.06.1</w:t>
      </w:r>
      <w:r w:rsidR="00F23F61">
        <w:rPr>
          <w:rFonts w:ascii="Arial" w:hAnsi="Arial" w:cs="Arial"/>
          <w:sz w:val="24"/>
          <w:szCs w:val="24"/>
        </w:rPr>
        <w:t>7, durante el transcurso de la L</w:t>
      </w:r>
      <w:r>
        <w:rPr>
          <w:rFonts w:ascii="Arial" w:hAnsi="Arial" w:cs="Arial"/>
          <w:sz w:val="24"/>
          <w:szCs w:val="24"/>
        </w:rPr>
        <w:t xml:space="preserve">icitación de referencia, habiendo omitido la Administración hacerlo dentro del plazo establecido, por razones que no lucen en las actuaciones, no siendo </w:t>
      </w:r>
      <w:proofErr w:type="spellStart"/>
      <w:r>
        <w:rPr>
          <w:rFonts w:ascii="Arial" w:hAnsi="Arial" w:cs="Arial"/>
          <w:sz w:val="24"/>
          <w:szCs w:val="24"/>
        </w:rPr>
        <w:t>Securitas</w:t>
      </w:r>
      <w:proofErr w:type="spellEnd"/>
      <w:r>
        <w:rPr>
          <w:rFonts w:ascii="Arial" w:hAnsi="Arial" w:cs="Arial"/>
          <w:sz w:val="24"/>
          <w:szCs w:val="24"/>
        </w:rPr>
        <w:t xml:space="preserve"> Uruguay S.A</w:t>
      </w:r>
      <w:r w:rsidR="00F23F6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responsable de ello; en consecuencia, no existiendo tal inscripción en el RUPE a la fecha de la apertura de las ofertas, no puede la Administración oponer la existencia de la misma como si la inscripción hubiera ocurrido;</w:t>
      </w:r>
    </w:p>
    <w:p w:rsidR="00F23F61" w:rsidRDefault="00E42956" w:rsidP="00F23F6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42956">
        <w:rPr>
          <w:rFonts w:ascii="Arial" w:hAnsi="Arial" w:cs="Arial"/>
          <w:b/>
          <w:sz w:val="24"/>
          <w:szCs w:val="24"/>
        </w:rPr>
        <w:t>2.</w:t>
      </w:r>
      <w:r w:rsidR="00F23F61">
        <w:rPr>
          <w:rFonts w:ascii="Arial" w:hAnsi="Arial" w:cs="Arial"/>
          <w:b/>
          <w:sz w:val="24"/>
          <w:szCs w:val="24"/>
        </w:rPr>
        <w:t>4</w:t>
      </w:r>
      <w:r w:rsidRPr="00E4295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se estableció que el Organismo debe procurar inscribir las sanciones que se impongan a proveedores dent</w:t>
      </w:r>
      <w:r w:rsidR="00F23F61">
        <w:rPr>
          <w:rFonts w:ascii="Arial" w:hAnsi="Arial" w:cs="Arial"/>
          <w:sz w:val="24"/>
          <w:szCs w:val="24"/>
        </w:rPr>
        <w:t>ro del plazo establecido en el Artículo 17 del D</w:t>
      </w:r>
      <w:r>
        <w:rPr>
          <w:rFonts w:ascii="Arial" w:hAnsi="Arial" w:cs="Arial"/>
          <w:sz w:val="24"/>
          <w:szCs w:val="24"/>
        </w:rPr>
        <w:t>ecreto N° 155/013, a efectos de dar publicidad de las mismas y por razones de buena administración;</w:t>
      </w:r>
    </w:p>
    <w:p w:rsidR="00F23F61" w:rsidRDefault="00E42956" w:rsidP="00F23F6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42956">
        <w:rPr>
          <w:rFonts w:ascii="Arial" w:hAnsi="Arial" w:cs="Arial"/>
          <w:b/>
          <w:sz w:val="24"/>
          <w:szCs w:val="24"/>
        </w:rPr>
        <w:t>2.</w:t>
      </w:r>
      <w:r w:rsidR="00F23F61">
        <w:rPr>
          <w:rFonts w:ascii="Arial" w:hAnsi="Arial" w:cs="Arial"/>
          <w:b/>
          <w:sz w:val="24"/>
          <w:szCs w:val="24"/>
        </w:rPr>
        <w:t>5</w:t>
      </w:r>
      <w:r w:rsidRPr="00E4295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en</w:t>
      </w:r>
      <w:r w:rsidRPr="001131A3">
        <w:rPr>
          <w:rFonts w:ascii="Arial" w:hAnsi="Arial" w:cs="Arial"/>
          <w:sz w:val="24"/>
          <w:szCs w:val="24"/>
        </w:rPr>
        <w:t xml:space="preserve"> oportunidad de otorgar vista de las actuacio</w:t>
      </w:r>
      <w:r w:rsidR="00F23F61">
        <w:rPr>
          <w:rFonts w:ascii="Arial" w:hAnsi="Arial" w:cs="Arial"/>
          <w:sz w:val="24"/>
          <w:szCs w:val="24"/>
        </w:rPr>
        <w:softHyphen/>
      </w:r>
      <w:r w:rsidRPr="001131A3">
        <w:rPr>
          <w:rFonts w:ascii="Arial" w:hAnsi="Arial" w:cs="Arial"/>
          <w:sz w:val="24"/>
          <w:szCs w:val="24"/>
        </w:rPr>
        <w:t>nes a los oferentes, con fecha 17.07.17 la Administración confirió un plazo de cinco días hábiles a Lince S.R.L</w:t>
      </w:r>
      <w:r w:rsidR="00F23F61">
        <w:rPr>
          <w:rFonts w:ascii="Arial" w:hAnsi="Arial" w:cs="Arial"/>
          <w:sz w:val="24"/>
          <w:szCs w:val="24"/>
        </w:rPr>
        <w:t>.</w:t>
      </w:r>
      <w:r w:rsidRPr="001131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31A3">
        <w:rPr>
          <w:rFonts w:ascii="Arial" w:hAnsi="Arial" w:cs="Arial"/>
          <w:sz w:val="24"/>
          <w:szCs w:val="24"/>
        </w:rPr>
        <w:t>Servipay</w:t>
      </w:r>
      <w:proofErr w:type="spellEnd"/>
      <w:r w:rsidRPr="001131A3">
        <w:rPr>
          <w:rFonts w:ascii="Arial" w:hAnsi="Arial" w:cs="Arial"/>
          <w:sz w:val="24"/>
          <w:szCs w:val="24"/>
        </w:rPr>
        <w:t xml:space="preserve"> S.R.L</w:t>
      </w:r>
      <w:r w:rsidR="00F23F61">
        <w:rPr>
          <w:rFonts w:ascii="Arial" w:hAnsi="Arial" w:cs="Arial"/>
          <w:sz w:val="24"/>
          <w:szCs w:val="24"/>
        </w:rPr>
        <w:t>.</w:t>
      </w:r>
      <w:r w:rsidRPr="001131A3">
        <w:rPr>
          <w:rFonts w:ascii="Arial" w:hAnsi="Arial" w:cs="Arial"/>
          <w:sz w:val="24"/>
          <w:szCs w:val="24"/>
        </w:rPr>
        <w:t xml:space="preserve"> y Prosegur Uruguay </w:t>
      </w:r>
      <w:r w:rsidRPr="001131A3">
        <w:rPr>
          <w:rFonts w:ascii="Arial" w:hAnsi="Arial" w:cs="Arial"/>
          <w:sz w:val="24"/>
          <w:szCs w:val="24"/>
        </w:rPr>
        <w:lastRenderedPageBreak/>
        <w:t>Compañía de Seguridad S.A</w:t>
      </w:r>
      <w:r w:rsidR="00F23F61">
        <w:rPr>
          <w:rFonts w:ascii="Arial" w:hAnsi="Arial" w:cs="Arial"/>
          <w:sz w:val="24"/>
          <w:szCs w:val="24"/>
        </w:rPr>
        <w:t>.</w:t>
      </w:r>
      <w:r w:rsidRPr="001131A3">
        <w:rPr>
          <w:rFonts w:ascii="Arial" w:hAnsi="Arial" w:cs="Arial"/>
          <w:sz w:val="24"/>
          <w:szCs w:val="24"/>
        </w:rPr>
        <w:t xml:space="preserve"> y uno de diez días hábiles a </w:t>
      </w:r>
      <w:proofErr w:type="spellStart"/>
      <w:r w:rsidRPr="001131A3">
        <w:rPr>
          <w:rFonts w:ascii="Arial" w:hAnsi="Arial" w:cs="Arial"/>
          <w:sz w:val="24"/>
          <w:szCs w:val="24"/>
        </w:rPr>
        <w:t>Securitas</w:t>
      </w:r>
      <w:proofErr w:type="spellEnd"/>
      <w:r w:rsidRPr="001131A3">
        <w:rPr>
          <w:rFonts w:ascii="Arial" w:hAnsi="Arial" w:cs="Arial"/>
          <w:sz w:val="24"/>
          <w:szCs w:val="24"/>
        </w:rPr>
        <w:t xml:space="preserve"> Uruguay S.A</w:t>
      </w:r>
      <w:r w:rsidR="00F23F61">
        <w:rPr>
          <w:rFonts w:ascii="Arial" w:hAnsi="Arial" w:cs="Arial"/>
          <w:sz w:val="24"/>
          <w:szCs w:val="24"/>
        </w:rPr>
        <w:t>.</w:t>
      </w:r>
      <w:r w:rsidRPr="001131A3">
        <w:rPr>
          <w:rFonts w:ascii="Arial" w:hAnsi="Arial" w:cs="Arial"/>
          <w:sz w:val="24"/>
          <w:szCs w:val="24"/>
        </w:rPr>
        <w:t>, en contr</w:t>
      </w:r>
      <w:r w:rsidR="00F23F61">
        <w:rPr>
          <w:rFonts w:ascii="Arial" w:hAnsi="Arial" w:cs="Arial"/>
          <w:sz w:val="24"/>
          <w:szCs w:val="24"/>
        </w:rPr>
        <w:t>avención de lo dispuesto en el A</w:t>
      </w:r>
      <w:r w:rsidRPr="001131A3">
        <w:rPr>
          <w:rFonts w:ascii="Arial" w:hAnsi="Arial" w:cs="Arial"/>
          <w:sz w:val="24"/>
          <w:szCs w:val="24"/>
        </w:rPr>
        <w:t>rtículo 67 del TOCAF que prevé un término de cinco días h</w:t>
      </w:r>
      <w:r>
        <w:rPr>
          <w:rFonts w:ascii="Arial" w:hAnsi="Arial" w:cs="Arial"/>
          <w:sz w:val="24"/>
          <w:szCs w:val="24"/>
        </w:rPr>
        <w:t>ábiles para todos los oferentes, así como del principio de igualdad de l</w:t>
      </w:r>
      <w:r w:rsidR="00F23F61">
        <w:rPr>
          <w:rFonts w:ascii="Arial" w:hAnsi="Arial" w:cs="Arial"/>
          <w:sz w:val="24"/>
          <w:szCs w:val="24"/>
        </w:rPr>
        <w:t>os oferentes establecido en el A</w:t>
      </w:r>
      <w:r>
        <w:rPr>
          <w:rFonts w:ascii="Arial" w:hAnsi="Arial" w:cs="Arial"/>
          <w:sz w:val="24"/>
          <w:szCs w:val="24"/>
        </w:rPr>
        <w:t>rtículo 149 del TOCAF; y</w:t>
      </w:r>
    </w:p>
    <w:p w:rsidR="00E42956" w:rsidRDefault="00E42956" w:rsidP="00F23F6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42956">
        <w:rPr>
          <w:rFonts w:ascii="Arial" w:hAnsi="Arial" w:cs="Arial"/>
          <w:b/>
          <w:sz w:val="24"/>
          <w:szCs w:val="24"/>
        </w:rPr>
        <w:t>2.</w:t>
      </w:r>
      <w:r w:rsidR="00F23F61">
        <w:rPr>
          <w:rFonts w:ascii="Arial" w:hAnsi="Arial" w:cs="Arial"/>
          <w:b/>
          <w:sz w:val="24"/>
          <w:szCs w:val="24"/>
        </w:rPr>
        <w:t>6</w:t>
      </w:r>
      <w:r w:rsidRPr="00E4295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se comprometió un gasto sin que exista disponi</w:t>
      </w:r>
      <w:r w:rsidR="00F23F61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bilidad presupuestal suficiente en el rubro corr</w:t>
      </w:r>
      <w:r w:rsidR="00F23F61">
        <w:rPr>
          <w:rFonts w:ascii="Arial" w:hAnsi="Arial" w:cs="Arial"/>
          <w:sz w:val="24"/>
          <w:szCs w:val="24"/>
        </w:rPr>
        <w:t>espondiente para atender en el E</w:t>
      </w:r>
      <w:r>
        <w:rPr>
          <w:rFonts w:ascii="Arial" w:hAnsi="Arial" w:cs="Arial"/>
          <w:sz w:val="24"/>
          <w:szCs w:val="24"/>
        </w:rPr>
        <w:t>jercicio 2017;</w:t>
      </w:r>
    </w:p>
    <w:p w:rsidR="00F23F61" w:rsidRDefault="00E42956" w:rsidP="00F23F6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2956"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 xml:space="preserve">que el Directorio </w:t>
      </w:r>
      <w:r w:rsidR="00EE7F87">
        <w:rPr>
          <w:rFonts w:ascii="Arial" w:hAnsi="Arial" w:cs="Arial"/>
          <w:sz w:val="24"/>
          <w:szCs w:val="24"/>
        </w:rPr>
        <w:t>dejó</w:t>
      </w:r>
      <w:r>
        <w:rPr>
          <w:rFonts w:ascii="Arial" w:hAnsi="Arial" w:cs="Arial"/>
          <w:sz w:val="24"/>
          <w:szCs w:val="24"/>
        </w:rPr>
        <w:t xml:space="preserve"> sin efecto la adjudicación dispuesta por Resolución N° 17.-2527 de fecha 19.10.17, haciendo lugar a la observación de este Tribunal, dando por finalizado el procedimiento licitatorio, disponiendo que, a la máxima brevedad, se comience otro procedimiento con el mismo objeto que el finalizado;</w:t>
      </w:r>
    </w:p>
    <w:p w:rsidR="00E42956" w:rsidRPr="00BA6B82" w:rsidRDefault="00E42956" w:rsidP="00F23F6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>
        <w:rPr>
          <w:rFonts w:ascii="Arial" w:hAnsi="Arial" w:cs="Arial"/>
          <w:b/>
          <w:sz w:val="24"/>
          <w:szCs w:val="24"/>
        </w:rPr>
        <w:t>ATENTO:</w:t>
      </w:r>
      <w:r w:rsidRPr="00BA6B82"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  <w:t xml:space="preserve"> 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>a lo exp</w:t>
      </w:r>
      <w:r w:rsidR="00F23F61">
        <w:rPr>
          <w:rFonts w:ascii="Arial" w:eastAsia="Times New Roman" w:hAnsi="Arial" w:cs="Arial"/>
          <w:sz w:val="24"/>
          <w:szCs w:val="20"/>
          <w:lang w:val="es-ES" w:eastAsia="es-ES"/>
        </w:rPr>
        <w:t>uesto y a lo dispuesto por el  Artículo 211 L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>iteral B) de la Constitución de la República;</w:t>
      </w:r>
    </w:p>
    <w:p w:rsidR="00E42956" w:rsidRDefault="00E42956" w:rsidP="00C53A3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  <w:r w:rsidRPr="00BA6B8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EL TRIBUNAL ACUERDA</w:t>
      </w:r>
    </w:p>
    <w:p w:rsidR="00E42956" w:rsidRDefault="00E42956" w:rsidP="00C53A39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4"/>
          <w:szCs w:val="20"/>
          <w:lang w:val="es-MX" w:eastAsia="es-ES"/>
        </w:rPr>
      </w:pPr>
      <w:r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1) </w:t>
      </w:r>
      <w:r w:rsidR="00F23F61">
        <w:rPr>
          <w:rFonts w:ascii="Arial" w:eastAsia="Times New Roman" w:hAnsi="Arial" w:cs="Arial"/>
          <w:bCs/>
          <w:sz w:val="24"/>
          <w:szCs w:val="20"/>
          <w:lang w:val="es-MX" w:eastAsia="es-ES"/>
        </w:rPr>
        <w:t>Darse por enterado;</w:t>
      </w:r>
    </w:p>
    <w:p w:rsidR="00F23F61" w:rsidRDefault="00E42956" w:rsidP="00F23F61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4"/>
          <w:szCs w:val="20"/>
          <w:lang w:val="es-MX" w:eastAsia="es-ES"/>
        </w:rPr>
      </w:pPr>
      <w:r w:rsidRPr="00E42956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2)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</w:t>
      </w:r>
      <w:r w:rsidR="00E04B4A">
        <w:rPr>
          <w:rFonts w:ascii="Arial" w:eastAsia="Times New Roman" w:hAnsi="Arial" w:cs="Arial"/>
          <w:bCs/>
          <w:sz w:val="24"/>
          <w:szCs w:val="20"/>
          <w:lang w:val="es-MX" w:eastAsia="es-ES"/>
        </w:rPr>
        <w:t>Comunicar por Oficio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.</w:t>
      </w:r>
    </w:p>
    <w:p w:rsidR="00F23F61" w:rsidRDefault="00F23F61" w:rsidP="00F23F61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4"/>
          <w:szCs w:val="20"/>
          <w:lang w:val="es-MX" w:eastAsia="es-ES"/>
        </w:rPr>
      </w:pPr>
    </w:p>
    <w:p w:rsidR="00F23F61" w:rsidRDefault="00F23F61" w:rsidP="00F23F61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4"/>
          <w:szCs w:val="20"/>
          <w:lang w:val="es-MX" w:eastAsia="es-ES"/>
        </w:rPr>
      </w:pPr>
    </w:p>
    <w:p w:rsidR="00F23F61" w:rsidRDefault="00F23F61" w:rsidP="00F23F61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4"/>
          <w:szCs w:val="20"/>
          <w:lang w:val="es-MX" w:eastAsia="es-ES"/>
        </w:rPr>
      </w:pPr>
    </w:p>
    <w:p w:rsidR="00E42956" w:rsidRPr="00E42956" w:rsidRDefault="00F23F61" w:rsidP="00F23F61">
      <w:pPr>
        <w:keepNext/>
        <w:spacing w:after="0" w:line="360" w:lineRule="auto"/>
        <w:ind w:hanging="426"/>
        <w:jc w:val="both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dc</w:t>
      </w:r>
      <w:proofErr w:type="gramEnd"/>
      <w:r w:rsidRPr="00E42956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E42956" w:rsidRPr="00E42956" w:rsidRDefault="00E42956" w:rsidP="00C53A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E42956" w:rsidRPr="00E42956" w:rsidSect="00F23F61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F61" w:rsidRDefault="00F23F61" w:rsidP="00F23F61">
      <w:pPr>
        <w:spacing w:after="0" w:line="240" w:lineRule="auto"/>
      </w:pPr>
      <w:r>
        <w:separator/>
      </w:r>
    </w:p>
  </w:endnote>
  <w:endnote w:type="continuationSeparator" w:id="0">
    <w:p w:rsidR="00F23F61" w:rsidRDefault="00F23F61" w:rsidP="00F2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1360716"/>
      <w:docPartObj>
        <w:docPartGallery w:val="Page Numbers (Bottom of Page)"/>
        <w:docPartUnique/>
      </w:docPartObj>
    </w:sdtPr>
    <w:sdtContent>
      <w:p w:rsidR="00F23F61" w:rsidRDefault="00F23F6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23F61">
          <w:rPr>
            <w:noProof/>
            <w:lang w:val="es-ES"/>
          </w:rPr>
          <w:t>3</w:t>
        </w:r>
        <w:r>
          <w:fldChar w:fldCharType="end"/>
        </w:r>
      </w:p>
    </w:sdtContent>
  </w:sdt>
  <w:p w:rsidR="00F23F61" w:rsidRDefault="00F23F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F61" w:rsidRDefault="00F23F61" w:rsidP="00F23F61">
      <w:pPr>
        <w:spacing w:after="0" w:line="240" w:lineRule="auto"/>
      </w:pPr>
      <w:r>
        <w:separator/>
      </w:r>
    </w:p>
  </w:footnote>
  <w:footnote w:type="continuationSeparator" w:id="0">
    <w:p w:rsidR="00F23F61" w:rsidRDefault="00F23F61" w:rsidP="00F23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56"/>
    <w:rsid w:val="00180D8F"/>
    <w:rsid w:val="00282614"/>
    <w:rsid w:val="00C53A39"/>
    <w:rsid w:val="00E04B4A"/>
    <w:rsid w:val="00E42956"/>
    <w:rsid w:val="00E51320"/>
    <w:rsid w:val="00E857D2"/>
    <w:rsid w:val="00EE7F87"/>
    <w:rsid w:val="00F2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3F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F61"/>
  </w:style>
  <w:style w:type="paragraph" w:styleId="Piedepgina">
    <w:name w:val="footer"/>
    <w:basedOn w:val="Normal"/>
    <w:link w:val="PiedepginaCar"/>
    <w:uiPriority w:val="99"/>
    <w:unhideWhenUsed/>
    <w:rsid w:val="00F23F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3F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F61"/>
  </w:style>
  <w:style w:type="paragraph" w:styleId="Piedepgina">
    <w:name w:val="footer"/>
    <w:basedOn w:val="Normal"/>
    <w:link w:val="PiedepginaCar"/>
    <w:uiPriority w:val="99"/>
    <w:unhideWhenUsed/>
    <w:rsid w:val="00F23F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809F-DF2C-4F6E-B0D9-6FFE4640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2018-10-05T14:38:00Z</cp:lastPrinted>
  <dcterms:created xsi:type="dcterms:W3CDTF">2018-10-05T14:38:00Z</dcterms:created>
  <dcterms:modified xsi:type="dcterms:W3CDTF">2018-10-05T14:38:00Z</dcterms:modified>
</cp:coreProperties>
</file>