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F1" w:rsidRPr="00786EEB" w:rsidRDefault="00833CF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3260/18</w:t>
      </w:r>
    </w:p>
    <w:p w:rsidR="00833CF1" w:rsidRDefault="00833CF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833CF1" w:rsidRPr="00762B34" w:rsidRDefault="00833CF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833CF1" w:rsidRPr="00762B34" w:rsidRDefault="00833CF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33CF1" w:rsidRPr="00762B34" w:rsidRDefault="00833CF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833CF1" w:rsidRPr="00762B34" w:rsidRDefault="00833CF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33CF1" w:rsidRPr="00762B34" w:rsidRDefault="00833CF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18 DE OCTUBRE </w:t>
      </w:r>
      <w:r>
        <w:rPr>
          <w:rFonts w:ascii="Helvetica" w:hAnsi="Helvetica"/>
          <w:b/>
          <w:lang w:val="es-ES_tradnl"/>
        </w:rPr>
        <w:t>DE 2018</w:t>
      </w:r>
    </w:p>
    <w:p w:rsidR="00833CF1" w:rsidRPr="00762B34" w:rsidRDefault="00833CF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33CF1" w:rsidRPr="00762B34" w:rsidRDefault="00833CF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2018-17-1-0004974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>-4471/18</w:t>
      </w:r>
      <w:r w:rsidRPr="00762B34">
        <w:rPr>
          <w:rFonts w:ascii="Arial" w:hAnsi="Arial" w:cs="Arial"/>
          <w:b/>
          <w:lang w:val="en-US"/>
        </w:rPr>
        <w:t>)</w:t>
      </w:r>
    </w:p>
    <w:p w:rsidR="00833CF1" w:rsidRDefault="00833C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5858A0" w:rsidRDefault="005858A0" w:rsidP="00833CF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</w:t>
      </w:r>
      <w:r>
        <w:rPr>
          <w:rFonts w:ascii="Arial" w:hAnsi="Arial" w:cs="Arial"/>
        </w:rPr>
        <w:t xml:space="preserve">: estas actuaciones remitidas por la Agencia Nacional de Vivienda (ANV), relativas a la </w:t>
      </w:r>
      <w:r w:rsidR="00C22BE1">
        <w:rPr>
          <w:rFonts w:ascii="Arial" w:hAnsi="Arial" w:cs="Arial"/>
        </w:rPr>
        <w:t xml:space="preserve">consulta formulada por la Contadora Delegada respecto a la </w:t>
      </w:r>
      <w:r>
        <w:rPr>
          <w:rFonts w:ascii="Arial" w:hAnsi="Arial" w:cs="Arial"/>
        </w:rPr>
        <w:t>contratación</w:t>
      </w:r>
      <w:r w:rsidR="00F15B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 régimen de arrendamientos de servicios</w:t>
      </w:r>
      <w:r w:rsidR="00F15B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</w:t>
      </w:r>
      <w:r w:rsidR="00253321">
        <w:rPr>
          <w:rFonts w:ascii="Arial" w:hAnsi="Arial" w:cs="Arial"/>
        </w:rPr>
        <w:t xml:space="preserve">l </w:t>
      </w:r>
      <w:r w:rsidR="0028647A">
        <w:rPr>
          <w:rFonts w:ascii="Arial" w:hAnsi="Arial" w:cs="Arial"/>
        </w:rPr>
        <w:t>Economista Mario Rogelio Pereira</w:t>
      </w:r>
      <w:r>
        <w:rPr>
          <w:rFonts w:ascii="Arial" w:hAnsi="Arial" w:cs="Arial"/>
        </w:rPr>
        <w:t>;</w:t>
      </w:r>
    </w:p>
    <w:p w:rsidR="00833CF1" w:rsidRDefault="006E34C0" w:rsidP="00833CF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RESULTANDO: </w:t>
      </w:r>
      <w:r w:rsidR="004235FF">
        <w:rPr>
          <w:rFonts w:ascii="Arial" w:hAnsi="Arial" w:cs="Arial"/>
          <w:b/>
          <w:bCs/>
        </w:rPr>
        <w:t xml:space="preserve">1) </w:t>
      </w:r>
      <w:r w:rsidR="00497E6F">
        <w:rPr>
          <w:rFonts w:ascii="Arial" w:hAnsi="Arial" w:cs="Arial"/>
          <w:b/>
          <w:bCs/>
        </w:rPr>
        <w:t xml:space="preserve"> </w:t>
      </w:r>
      <w:r w:rsidR="00497E6F">
        <w:rPr>
          <w:rFonts w:ascii="Arial" w:hAnsi="Arial" w:cs="Arial"/>
        </w:rPr>
        <w:t xml:space="preserve">que </w:t>
      </w:r>
      <w:r w:rsidR="00833CF1">
        <w:rPr>
          <w:rFonts w:ascii="Arial" w:hAnsi="Arial" w:cs="Arial"/>
        </w:rPr>
        <w:t xml:space="preserve">   </w:t>
      </w:r>
      <w:r w:rsidR="00497E6F">
        <w:rPr>
          <w:rFonts w:ascii="Arial" w:hAnsi="Arial" w:cs="Arial"/>
        </w:rPr>
        <w:t>por</w:t>
      </w:r>
      <w:r w:rsidR="00497E6F">
        <w:rPr>
          <w:rFonts w:ascii="Arial" w:hAnsi="Arial" w:cs="Arial"/>
          <w:b/>
          <w:bCs/>
        </w:rPr>
        <w:t xml:space="preserve"> </w:t>
      </w:r>
      <w:r w:rsidR="00833CF1">
        <w:rPr>
          <w:rFonts w:ascii="Arial" w:hAnsi="Arial" w:cs="Arial"/>
          <w:b/>
          <w:bCs/>
        </w:rPr>
        <w:t xml:space="preserve">  </w:t>
      </w:r>
      <w:r w:rsidR="00497E6F">
        <w:rPr>
          <w:rFonts w:ascii="Arial" w:hAnsi="Arial" w:cs="Arial"/>
        </w:rPr>
        <w:t xml:space="preserve">Resolución </w:t>
      </w:r>
      <w:r w:rsidR="00833CF1">
        <w:rPr>
          <w:rFonts w:ascii="Arial" w:hAnsi="Arial" w:cs="Arial"/>
        </w:rPr>
        <w:t xml:space="preserve">    </w:t>
      </w:r>
      <w:r w:rsidR="00497E6F">
        <w:rPr>
          <w:rFonts w:ascii="Arial" w:hAnsi="Arial" w:cs="Arial"/>
        </w:rPr>
        <w:t xml:space="preserve">del </w:t>
      </w:r>
      <w:r w:rsidR="00833CF1">
        <w:rPr>
          <w:rFonts w:ascii="Arial" w:hAnsi="Arial" w:cs="Arial"/>
        </w:rPr>
        <w:t xml:space="preserve">   </w:t>
      </w:r>
      <w:r w:rsidR="00497E6F">
        <w:rPr>
          <w:rFonts w:ascii="Arial" w:hAnsi="Arial" w:cs="Arial"/>
        </w:rPr>
        <w:t xml:space="preserve">Directorio </w:t>
      </w:r>
      <w:r w:rsidR="00833CF1">
        <w:rPr>
          <w:rFonts w:ascii="Arial" w:hAnsi="Arial" w:cs="Arial"/>
        </w:rPr>
        <w:t xml:space="preserve"> </w:t>
      </w:r>
      <w:r w:rsidR="00497E6F">
        <w:rPr>
          <w:rFonts w:ascii="Arial" w:hAnsi="Arial" w:cs="Arial"/>
        </w:rPr>
        <w:t xml:space="preserve">de la ANV </w:t>
      </w:r>
    </w:p>
    <w:p w:rsidR="005F0174" w:rsidRDefault="00497E6F" w:rsidP="00833CF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Nº 0</w:t>
      </w:r>
      <w:r w:rsidR="0028647A">
        <w:rPr>
          <w:rFonts w:ascii="Arial" w:hAnsi="Arial" w:cs="Arial"/>
        </w:rPr>
        <w:t>48</w:t>
      </w:r>
      <w:r w:rsidR="005F0174">
        <w:rPr>
          <w:rFonts w:ascii="Arial" w:hAnsi="Arial" w:cs="Arial"/>
        </w:rPr>
        <w:t>/</w:t>
      </w:r>
      <w:r w:rsidR="0028647A">
        <w:rPr>
          <w:rFonts w:ascii="Arial" w:hAnsi="Arial" w:cs="Arial"/>
        </w:rPr>
        <w:t>13</w:t>
      </w:r>
      <w:r w:rsidR="005F0174">
        <w:rPr>
          <w:rFonts w:ascii="Arial" w:hAnsi="Arial" w:cs="Arial"/>
        </w:rPr>
        <w:t xml:space="preserve"> de 3</w:t>
      </w:r>
      <w:r w:rsidR="0028647A">
        <w:rPr>
          <w:rFonts w:ascii="Arial" w:hAnsi="Arial" w:cs="Arial"/>
        </w:rPr>
        <w:t>0</w:t>
      </w:r>
      <w:r w:rsidR="005F0174">
        <w:rPr>
          <w:rFonts w:ascii="Arial" w:hAnsi="Arial" w:cs="Arial"/>
        </w:rPr>
        <w:t>/0</w:t>
      </w:r>
      <w:r w:rsidR="0028647A">
        <w:rPr>
          <w:rFonts w:ascii="Arial" w:hAnsi="Arial" w:cs="Arial"/>
        </w:rPr>
        <w:t>1</w:t>
      </w:r>
      <w:r w:rsidR="005F0174">
        <w:rPr>
          <w:rFonts w:ascii="Arial" w:hAnsi="Arial" w:cs="Arial"/>
        </w:rPr>
        <w:t>/</w:t>
      </w:r>
      <w:r w:rsidR="0028647A">
        <w:rPr>
          <w:rFonts w:ascii="Arial" w:hAnsi="Arial" w:cs="Arial"/>
        </w:rPr>
        <w:t>13</w:t>
      </w:r>
      <w:r w:rsidR="005F0174">
        <w:rPr>
          <w:rFonts w:ascii="Arial" w:hAnsi="Arial" w:cs="Arial"/>
        </w:rPr>
        <w:t xml:space="preserve"> se dispuso la contratación en régimen de arrendamiento de servicios personales </w:t>
      </w:r>
      <w:r w:rsidR="00F15B68">
        <w:rPr>
          <w:rFonts w:ascii="Arial" w:hAnsi="Arial" w:cs="Arial"/>
        </w:rPr>
        <w:t>del</w:t>
      </w:r>
      <w:r w:rsidR="005F0174">
        <w:rPr>
          <w:rFonts w:ascii="Arial" w:hAnsi="Arial" w:cs="Arial"/>
        </w:rPr>
        <w:t xml:space="preserve"> </w:t>
      </w:r>
      <w:r w:rsidR="0028647A">
        <w:rPr>
          <w:rFonts w:ascii="Arial" w:hAnsi="Arial" w:cs="Arial"/>
        </w:rPr>
        <w:t>Ec. Mario Pereira</w:t>
      </w:r>
      <w:r w:rsidR="00F15B68">
        <w:rPr>
          <w:rFonts w:ascii="Arial" w:hAnsi="Arial" w:cs="Arial"/>
        </w:rPr>
        <w:t>,</w:t>
      </w:r>
      <w:r w:rsidR="0028647A">
        <w:rPr>
          <w:rFonts w:ascii="Arial" w:hAnsi="Arial" w:cs="Arial"/>
        </w:rPr>
        <w:t xml:space="preserve"> </w:t>
      </w:r>
      <w:r w:rsidR="0090302F">
        <w:rPr>
          <w:rFonts w:ascii="Arial" w:hAnsi="Arial" w:cs="Arial"/>
        </w:rPr>
        <w:t>por un monto de $ 50</w:t>
      </w:r>
      <w:r w:rsidR="005F0174">
        <w:rPr>
          <w:rFonts w:ascii="Arial" w:hAnsi="Arial" w:cs="Arial"/>
        </w:rPr>
        <w:t>.000</w:t>
      </w:r>
      <w:r w:rsidR="0090302F">
        <w:rPr>
          <w:rFonts w:ascii="Arial" w:hAnsi="Arial" w:cs="Arial"/>
        </w:rPr>
        <w:t xml:space="preserve"> mensuales </w:t>
      </w:r>
      <w:r w:rsidR="005F0174">
        <w:rPr>
          <w:rFonts w:ascii="Arial" w:hAnsi="Arial" w:cs="Arial"/>
        </w:rPr>
        <w:t>más IVA,</w:t>
      </w:r>
      <w:r w:rsidR="0090302F">
        <w:rPr>
          <w:rFonts w:ascii="Arial" w:hAnsi="Arial" w:cs="Arial"/>
        </w:rPr>
        <w:t xml:space="preserve"> renovable a su vencimiento a </w:t>
      </w:r>
      <w:r w:rsidR="00FF30C0">
        <w:rPr>
          <w:rFonts w:ascii="Arial" w:hAnsi="Arial" w:cs="Arial"/>
        </w:rPr>
        <w:t>criterio de</w:t>
      </w:r>
      <w:r w:rsidR="0090302F">
        <w:rPr>
          <w:rFonts w:ascii="Arial" w:hAnsi="Arial" w:cs="Arial"/>
        </w:rPr>
        <w:t xml:space="preserve"> la ANV, co</w:t>
      </w:r>
      <w:r w:rsidR="000A2E08">
        <w:rPr>
          <w:rFonts w:ascii="Arial" w:hAnsi="Arial" w:cs="Arial"/>
        </w:rPr>
        <w:t>n el objeto de brindar apoyo desde su rol profes</w:t>
      </w:r>
      <w:r w:rsidR="00C75858">
        <w:rPr>
          <w:rFonts w:ascii="Arial" w:hAnsi="Arial" w:cs="Arial"/>
        </w:rPr>
        <w:t>i</w:t>
      </w:r>
      <w:r w:rsidR="000A2E08">
        <w:rPr>
          <w:rFonts w:ascii="Arial" w:hAnsi="Arial" w:cs="Arial"/>
        </w:rPr>
        <w:t xml:space="preserve">onal al </w:t>
      </w:r>
      <w:r w:rsidR="00F15B68">
        <w:rPr>
          <w:rFonts w:ascii="Arial" w:hAnsi="Arial" w:cs="Arial"/>
        </w:rPr>
        <w:t>P</w:t>
      </w:r>
      <w:r w:rsidR="0090302F">
        <w:rPr>
          <w:rFonts w:ascii="Arial" w:hAnsi="Arial" w:cs="Arial"/>
        </w:rPr>
        <w:t xml:space="preserve">royecto Terraza del Palacio “Altos del </w:t>
      </w:r>
      <w:r w:rsidR="00F15B68">
        <w:rPr>
          <w:rFonts w:ascii="Arial" w:hAnsi="Arial" w:cs="Arial"/>
        </w:rPr>
        <w:t>L</w:t>
      </w:r>
      <w:r w:rsidR="0090302F">
        <w:rPr>
          <w:rFonts w:ascii="Arial" w:hAnsi="Arial" w:cs="Arial"/>
        </w:rPr>
        <w:t>ibertador</w:t>
      </w:r>
      <w:r w:rsidR="00F15B68">
        <w:rPr>
          <w:rFonts w:ascii="Arial" w:hAnsi="Arial" w:cs="Arial"/>
        </w:rPr>
        <w:t>”</w:t>
      </w:r>
      <w:r w:rsidR="005F0174">
        <w:rPr>
          <w:rFonts w:ascii="Arial" w:hAnsi="Arial" w:cs="Arial"/>
        </w:rPr>
        <w:t>;</w:t>
      </w:r>
    </w:p>
    <w:p w:rsidR="00497E6F" w:rsidRDefault="005F0174" w:rsidP="00497E6F">
      <w:pPr>
        <w:spacing w:line="360" w:lineRule="auto"/>
        <w:jc w:val="both"/>
        <w:rPr>
          <w:rFonts w:ascii="Arial" w:hAnsi="Arial" w:cs="Arial"/>
        </w:rPr>
      </w:pPr>
      <w:r w:rsidRPr="005F0174">
        <w:rPr>
          <w:rFonts w:ascii="Arial" w:hAnsi="Arial" w:cs="Arial"/>
          <w:b/>
        </w:rPr>
        <w:t xml:space="preserve">                            </w:t>
      </w:r>
      <w:r w:rsidR="00833CF1">
        <w:rPr>
          <w:rFonts w:ascii="Arial" w:hAnsi="Arial" w:cs="Arial"/>
          <w:b/>
        </w:rPr>
        <w:t xml:space="preserve">        </w:t>
      </w:r>
      <w:r w:rsidRPr="005F0174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</w:t>
      </w:r>
      <w:r w:rsidR="00DC361D">
        <w:rPr>
          <w:rFonts w:ascii="Arial" w:hAnsi="Arial" w:cs="Arial"/>
        </w:rPr>
        <w:t>tras sucesivas renovaciones del contrato referido,</w:t>
      </w:r>
      <w:r>
        <w:rPr>
          <w:rFonts w:ascii="Arial" w:hAnsi="Arial" w:cs="Arial"/>
        </w:rPr>
        <w:t xml:space="preserve"> </w:t>
      </w:r>
      <w:r w:rsidR="00DC361D">
        <w:rPr>
          <w:rFonts w:ascii="Arial" w:hAnsi="Arial" w:cs="Arial"/>
        </w:rPr>
        <w:t xml:space="preserve">por </w:t>
      </w:r>
      <w:r>
        <w:rPr>
          <w:rFonts w:ascii="Arial" w:hAnsi="Arial" w:cs="Arial"/>
        </w:rPr>
        <w:t xml:space="preserve">Resolución de Directorio N° </w:t>
      </w:r>
      <w:r w:rsidR="0090302F">
        <w:rPr>
          <w:rFonts w:ascii="Arial" w:hAnsi="Arial" w:cs="Arial"/>
        </w:rPr>
        <w:t>108</w:t>
      </w:r>
      <w:r w:rsidR="00497E6F">
        <w:rPr>
          <w:rFonts w:ascii="Arial" w:hAnsi="Arial" w:cs="Arial"/>
        </w:rPr>
        <w:t>/1</w:t>
      </w:r>
      <w:r w:rsidR="0090302F">
        <w:rPr>
          <w:rFonts w:ascii="Arial" w:hAnsi="Arial" w:cs="Arial"/>
        </w:rPr>
        <w:t>8</w:t>
      </w:r>
      <w:r w:rsidR="00497E6F">
        <w:rPr>
          <w:rFonts w:ascii="Arial" w:hAnsi="Arial" w:cs="Arial"/>
        </w:rPr>
        <w:t xml:space="preserve"> (Acta Nº </w:t>
      </w:r>
      <w:r w:rsidR="0090302F">
        <w:rPr>
          <w:rFonts w:ascii="Arial" w:hAnsi="Arial" w:cs="Arial"/>
        </w:rPr>
        <w:t>539</w:t>
      </w:r>
      <w:r w:rsidR="00497E6F">
        <w:rPr>
          <w:rFonts w:ascii="Arial" w:hAnsi="Arial" w:cs="Arial"/>
        </w:rPr>
        <w:t xml:space="preserve">) del </w:t>
      </w:r>
      <w:r w:rsidR="0090302F">
        <w:rPr>
          <w:rFonts w:ascii="Arial" w:hAnsi="Arial" w:cs="Arial"/>
        </w:rPr>
        <w:t>21</w:t>
      </w:r>
      <w:r w:rsidR="00497E6F">
        <w:rPr>
          <w:rFonts w:ascii="Arial" w:hAnsi="Arial" w:cs="Arial"/>
        </w:rPr>
        <w:t>/</w:t>
      </w:r>
      <w:r w:rsidR="0090302F">
        <w:rPr>
          <w:rFonts w:ascii="Arial" w:hAnsi="Arial" w:cs="Arial"/>
        </w:rPr>
        <w:t>3</w:t>
      </w:r>
      <w:r w:rsidR="00497E6F">
        <w:rPr>
          <w:rFonts w:ascii="Arial" w:hAnsi="Arial" w:cs="Arial"/>
        </w:rPr>
        <w:t>/1</w:t>
      </w:r>
      <w:r w:rsidR="0090302F">
        <w:rPr>
          <w:rFonts w:ascii="Arial" w:hAnsi="Arial" w:cs="Arial"/>
        </w:rPr>
        <w:t>8</w:t>
      </w:r>
      <w:r w:rsidR="00497E6F">
        <w:rPr>
          <w:rFonts w:ascii="Arial" w:hAnsi="Arial" w:cs="Arial"/>
        </w:rPr>
        <w:t>, se  dispuso</w:t>
      </w:r>
      <w:r w:rsidR="000A2E08">
        <w:rPr>
          <w:rFonts w:ascii="Arial" w:hAnsi="Arial" w:cs="Arial"/>
        </w:rPr>
        <w:t xml:space="preserve"> nuevamente</w:t>
      </w:r>
      <w:r w:rsidR="00497E6F">
        <w:rPr>
          <w:rFonts w:ascii="Arial" w:hAnsi="Arial" w:cs="Arial"/>
        </w:rPr>
        <w:t xml:space="preserve"> la contratación</w:t>
      </w:r>
      <w:r w:rsidR="000A2E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dicho profesional </w:t>
      </w:r>
      <w:r w:rsidR="00497E6F">
        <w:rPr>
          <w:rFonts w:ascii="Arial" w:hAnsi="Arial" w:cs="Arial"/>
        </w:rPr>
        <w:t>en régimen de arrendamiento de servicios</w:t>
      </w:r>
      <w:r>
        <w:rPr>
          <w:rFonts w:ascii="Arial" w:hAnsi="Arial" w:cs="Arial"/>
        </w:rPr>
        <w:t xml:space="preserve">, </w:t>
      </w:r>
      <w:r w:rsidR="00497E6F">
        <w:rPr>
          <w:rFonts w:ascii="Arial" w:hAnsi="Arial" w:cs="Arial"/>
        </w:rPr>
        <w:t xml:space="preserve">por un monto de $ </w:t>
      </w:r>
      <w:r w:rsidR="0090302F">
        <w:rPr>
          <w:rFonts w:ascii="Arial" w:hAnsi="Arial" w:cs="Arial"/>
        </w:rPr>
        <w:t>7</w:t>
      </w:r>
      <w:r w:rsidR="00497E6F">
        <w:rPr>
          <w:rFonts w:ascii="Arial" w:hAnsi="Arial" w:cs="Arial"/>
        </w:rPr>
        <w:t>5.</w:t>
      </w:r>
      <w:r w:rsidR="0090302F">
        <w:rPr>
          <w:rFonts w:ascii="Arial" w:hAnsi="Arial" w:cs="Arial"/>
        </w:rPr>
        <w:t>785</w:t>
      </w:r>
      <w:r w:rsidR="00497E6F">
        <w:rPr>
          <w:rFonts w:ascii="Arial" w:hAnsi="Arial" w:cs="Arial"/>
        </w:rPr>
        <w:t xml:space="preserve"> mensuales más IVA, </w:t>
      </w:r>
      <w:r w:rsidR="00DC361D">
        <w:rPr>
          <w:rFonts w:ascii="Arial" w:hAnsi="Arial" w:cs="Arial"/>
        </w:rPr>
        <w:t xml:space="preserve">reajustables en la </w:t>
      </w:r>
      <w:r w:rsidR="000A2E08">
        <w:rPr>
          <w:rFonts w:ascii="Arial" w:hAnsi="Arial" w:cs="Arial"/>
        </w:rPr>
        <w:t xml:space="preserve">misma </w:t>
      </w:r>
      <w:r w:rsidR="00DC361D">
        <w:rPr>
          <w:rFonts w:ascii="Arial" w:hAnsi="Arial" w:cs="Arial"/>
        </w:rPr>
        <w:t xml:space="preserve">oportunidad y porcentaje </w:t>
      </w:r>
      <w:r w:rsidR="000A2E08">
        <w:rPr>
          <w:rFonts w:ascii="Arial" w:hAnsi="Arial" w:cs="Arial"/>
        </w:rPr>
        <w:t xml:space="preserve">que el sueldo </w:t>
      </w:r>
      <w:r w:rsidR="00DC361D">
        <w:rPr>
          <w:rFonts w:ascii="Arial" w:hAnsi="Arial" w:cs="Arial"/>
        </w:rPr>
        <w:t xml:space="preserve">de los funcionarios de los servicios descentralizados, y </w:t>
      </w:r>
      <w:r w:rsidR="00497E6F">
        <w:rPr>
          <w:rFonts w:ascii="Arial" w:hAnsi="Arial" w:cs="Arial"/>
        </w:rPr>
        <w:t xml:space="preserve">por el plazo de </w:t>
      </w:r>
      <w:r w:rsidR="0090302F">
        <w:rPr>
          <w:rFonts w:ascii="Arial" w:hAnsi="Arial" w:cs="Arial"/>
        </w:rPr>
        <w:t xml:space="preserve">nueve </w:t>
      </w:r>
      <w:r w:rsidR="00497E6F">
        <w:rPr>
          <w:rFonts w:ascii="Arial" w:hAnsi="Arial" w:cs="Arial"/>
        </w:rPr>
        <w:t>meses a partir de</w:t>
      </w:r>
      <w:r w:rsidR="0090302F">
        <w:rPr>
          <w:rFonts w:ascii="Arial" w:hAnsi="Arial" w:cs="Arial"/>
        </w:rPr>
        <w:t>l 1/4/18</w:t>
      </w:r>
      <w:r w:rsidR="00497E6F">
        <w:rPr>
          <w:rFonts w:ascii="Arial" w:hAnsi="Arial" w:cs="Arial"/>
        </w:rPr>
        <w:t>;</w:t>
      </w:r>
    </w:p>
    <w:p w:rsidR="00497E6F" w:rsidRPr="00C22BE1" w:rsidRDefault="00497E6F" w:rsidP="005858A0">
      <w:pPr>
        <w:spacing w:line="360" w:lineRule="auto"/>
        <w:jc w:val="both"/>
        <w:rPr>
          <w:rFonts w:ascii="Arial" w:hAnsi="Arial" w:cs="Arial"/>
        </w:rPr>
      </w:pPr>
      <w:r w:rsidRPr="00D07045">
        <w:rPr>
          <w:rFonts w:ascii="Arial" w:hAnsi="Arial" w:cs="Arial"/>
          <w:b/>
        </w:rPr>
        <w:t xml:space="preserve">                            </w:t>
      </w:r>
      <w:r w:rsidR="00DC361D">
        <w:rPr>
          <w:rFonts w:ascii="Arial" w:hAnsi="Arial" w:cs="Arial"/>
          <w:b/>
        </w:rPr>
        <w:t xml:space="preserve">  </w:t>
      </w:r>
      <w:r w:rsidR="00833CF1">
        <w:rPr>
          <w:rFonts w:ascii="Arial" w:hAnsi="Arial" w:cs="Arial"/>
          <w:b/>
        </w:rPr>
        <w:t xml:space="preserve">        </w:t>
      </w:r>
      <w:r w:rsidR="00D07045" w:rsidRPr="00D07045">
        <w:rPr>
          <w:rFonts w:ascii="Arial" w:hAnsi="Arial" w:cs="Arial"/>
          <w:b/>
        </w:rPr>
        <w:t>3</w:t>
      </w:r>
      <w:r w:rsidRPr="00D07045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 </w:t>
      </w:r>
      <w:r w:rsidR="00C22BE1">
        <w:rPr>
          <w:rFonts w:ascii="Arial" w:hAnsi="Arial" w:cs="Arial"/>
        </w:rPr>
        <w:t>este Tribunal</w:t>
      </w:r>
      <w:r w:rsidR="00F15B68">
        <w:rPr>
          <w:rFonts w:ascii="Arial" w:hAnsi="Arial" w:cs="Arial"/>
        </w:rPr>
        <w:t>,</w:t>
      </w:r>
      <w:r w:rsidR="00C22BE1">
        <w:rPr>
          <w:rFonts w:ascii="Arial" w:hAnsi="Arial" w:cs="Arial"/>
        </w:rPr>
        <w:t xml:space="preserve"> </w:t>
      </w:r>
      <w:r w:rsidR="004235FF">
        <w:rPr>
          <w:rFonts w:ascii="Arial" w:hAnsi="Arial" w:cs="Arial"/>
          <w:bCs/>
        </w:rPr>
        <w:t xml:space="preserve">por Resolución N° </w:t>
      </w:r>
      <w:r w:rsidR="00253321">
        <w:rPr>
          <w:rFonts w:ascii="Arial" w:hAnsi="Arial" w:cs="Arial"/>
          <w:bCs/>
        </w:rPr>
        <w:t>255</w:t>
      </w:r>
      <w:r w:rsidR="00DC361D">
        <w:rPr>
          <w:rFonts w:ascii="Arial" w:hAnsi="Arial" w:cs="Arial"/>
          <w:bCs/>
        </w:rPr>
        <w:t>0</w:t>
      </w:r>
      <w:r w:rsidR="00253321">
        <w:rPr>
          <w:rFonts w:ascii="Arial" w:hAnsi="Arial" w:cs="Arial"/>
          <w:bCs/>
        </w:rPr>
        <w:t>/18</w:t>
      </w:r>
      <w:r w:rsidR="00EA0CFB">
        <w:rPr>
          <w:rFonts w:ascii="Arial" w:hAnsi="Arial" w:cs="Arial"/>
          <w:bCs/>
        </w:rPr>
        <w:t xml:space="preserve"> de </w:t>
      </w:r>
      <w:r w:rsidR="00253321">
        <w:rPr>
          <w:rFonts w:ascii="Arial" w:hAnsi="Arial" w:cs="Arial"/>
          <w:bCs/>
        </w:rPr>
        <w:t>8 de agosto de 2018</w:t>
      </w:r>
      <w:r w:rsidR="004235FF">
        <w:rPr>
          <w:rFonts w:ascii="Arial" w:hAnsi="Arial" w:cs="Arial"/>
          <w:bCs/>
        </w:rPr>
        <w:t xml:space="preserve">, </w:t>
      </w:r>
      <w:r w:rsidR="00FF30C0">
        <w:rPr>
          <w:rFonts w:ascii="Arial" w:hAnsi="Arial" w:cs="Arial"/>
          <w:bCs/>
        </w:rPr>
        <w:t xml:space="preserve">acordó </w:t>
      </w:r>
      <w:r w:rsidR="00253321">
        <w:rPr>
          <w:rFonts w:ascii="Arial" w:hAnsi="Arial" w:cs="Arial"/>
          <w:bCs/>
        </w:rPr>
        <w:t>devolver los antecedentes a la administración actuante a los efectos de que el Contador</w:t>
      </w:r>
      <w:r w:rsidR="00D54909">
        <w:rPr>
          <w:rFonts w:ascii="Arial" w:hAnsi="Arial" w:cs="Arial"/>
          <w:bCs/>
        </w:rPr>
        <w:t xml:space="preserve"> Delegado c</w:t>
      </w:r>
      <w:r w:rsidR="00253321">
        <w:rPr>
          <w:rFonts w:ascii="Arial" w:hAnsi="Arial" w:cs="Arial"/>
          <w:bCs/>
        </w:rPr>
        <w:t>ontrole la legalidad del gasto</w:t>
      </w:r>
      <w:r w:rsidR="00AC2D63">
        <w:rPr>
          <w:rFonts w:ascii="Arial" w:hAnsi="Arial" w:cs="Arial"/>
          <w:bCs/>
        </w:rPr>
        <w:t>, en atención al monto del mismo</w:t>
      </w:r>
      <w:r>
        <w:rPr>
          <w:rFonts w:ascii="Arial" w:hAnsi="Arial" w:cs="Arial"/>
          <w:bCs/>
        </w:rPr>
        <w:t>;</w:t>
      </w:r>
    </w:p>
    <w:p w:rsidR="00CB719F" w:rsidRDefault="00497E6F" w:rsidP="00CB71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                          </w:t>
      </w:r>
      <w:r w:rsidR="00DC361D">
        <w:rPr>
          <w:rFonts w:ascii="Arial" w:hAnsi="Arial" w:cs="Arial"/>
          <w:b/>
          <w:bCs/>
        </w:rPr>
        <w:t xml:space="preserve">    </w:t>
      </w:r>
      <w:r w:rsidR="00833CF1">
        <w:rPr>
          <w:rFonts w:ascii="Arial" w:hAnsi="Arial" w:cs="Arial"/>
          <w:b/>
          <w:bCs/>
        </w:rPr>
        <w:t xml:space="preserve">        </w:t>
      </w:r>
      <w:r w:rsidR="00D07045">
        <w:rPr>
          <w:rFonts w:ascii="Arial" w:hAnsi="Arial" w:cs="Arial"/>
          <w:b/>
          <w:bCs/>
        </w:rPr>
        <w:t>4</w:t>
      </w:r>
      <w:r w:rsidRPr="00497E6F">
        <w:rPr>
          <w:rFonts w:ascii="Arial" w:hAnsi="Arial" w:cs="Arial"/>
          <w:b/>
          <w:bCs/>
        </w:rPr>
        <w:t>)</w:t>
      </w:r>
      <w:r w:rsidR="00253321">
        <w:rPr>
          <w:rFonts w:ascii="Arial" w:hAnsi="Arial" w:cs="Arial"/>
          <w:bCs/>
        </w:rPr>
        <w:t xml:space="preserve"> </w:t>
      </w:r>
      <w:r w:rsidR="00CB719F">
        <w:rPr>
          <w:rFonts w:ascii="Arial" w:hAnsi="Arial" w:cs="Arial"/>
          <w:bCs/>
        </w:rPr>
        <w:t>que en esta oportunidad,</w:t>
      </w:r>
      <w:r w:rsidR="000A2E08">
        <w:rPr>
          <w:rFonts w:ascii="Arial" w:hAnsi="Arial" w:cs="Arial"/>
        </w:rPr>
        <w:t xml:space="preserve"> la Contadora remite nuevamente los </w:t>
      </w:r>
      <w:r w:rsidR="00CB719F">
        <w:rPr>
          <w:rFonts w:ascii="Arial" w:hAnsi="Arial" w:cs="Arial"/>
        </w:rPr>
        <w:t>antecedentes a los efectos de consultar sobre los siguientes aspectos de la contratación:</w:t>
      </w:r>
    </w:p>
    <w:p w:rsidR="00CB719F" w:rsidRDefault="00CB719F" w:rsidP="00CB71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33CF1"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Naturaleza jurídica del contrato;</w:t>
      </w:r>
    </w:p>
    <w:p w:rsidR="00CB719F" w:rsidRDefault="00CB719F" w:rsidP="00CB71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33CF1"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Hasta cuándo puede implementarse la renovación;</w:t>
      </w:r>
    </w:p>
    <w:p w:rsidR="00CB719F" w:rsidRDefault="00CB719F" w:rsidP="00CB71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833CF1">
        <w:rPr>
          <w:rFonts w:ascii="Arial" w:hAnsi="Arial" w:cs="Arial"/>
          <w:b/>
        </w:rPr>
        <w:t>c)</w:t>
      </w:r>
      <w:r>
        <w:rPr>
          <w:rFonts w:ascii="Arial" w:hAnsi="Arial" w:cs="Arial"/>
        </w:rPr>
        <w:t xml:space="preserve"> </w:t>
      </w:r>
      <w:r w:rsidR="00F15B68">
        <w:rPr>
          <w:rFonts w:ascii="Arial" w:hAnsi="Arial" w:cs="Arial"/>
        </w:rPr>
        <w:t>Si e</w:t>
      </w:r>
      <w:r>
        <w:rPr>
          <w:rFonts w:ascii="Arial" w:hAnsi="Arial" w:cs="Arial"/>
        </w:rPr>
        <w:t>l monto de la contratación es el de cada contrato individual o de la totalidad de las renovaciones a los efectos de determinar el procedimiento que debe seguirse para efectuar la contratación;</w:t>
      </w:r>
      <w:r w:rsidR="00F15B68">
        <w:rPr>
          <w:rFonts w:ascii="Arial" w:hAnsi="Arial" w:cs="Arial"/>
        </w:rPr>
        <w:t xml:space="preserve"> y</w:t>
      </w:r>
    </w:p>
    <w:p w:rsidR="00CB719F" w:rsidRDefault="00CB719F" w:rsidP="00CB71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833CF1">
        <w:rPr>
          <w:rFonts w:ascii="Arial" w:hAnsi="Arial" w:cs="Arial"/>
          <w:b/>
        </w:rPr>
        <w:t>d)</w:t>
      </w:r>
      <w:r>
        <w:rPr>
          <w:rFonts w:ascii="Arial" w:hAnsi="Arial" w:cs="Arial"/>
        </w:rPr>
        <w:t xml:space="preserve"> </w:t>
      </w:r>
      <w:r w:rsidR="00F15B68">
        <w:rPr>
          <w:rFonts w:ascii="Arial" w:hAnsi="Arial" w:cs="Arial"/>
        </w:rPr>
        <w:t>En tal</w:t>
      </w:r>
      <w:r>
        <w:rPr>
          <w:rFonts w:ascii="Arial" w:hAnsi="Arial" w:cs="Arial"/>
        </w:rPr>
        <w:t xml:space="preserve"> caso, cuál sería el procedimiento de contratación que debe efectuarse;                         </w:t>
      </w:r>
    </w:p>
    <w:p w:rsidR="000A2E08" w:rsidRPr="000A2E08" w:rsidRDefault="005858A0" w:rsidP="00833CF1">
      <w:pPr>
        <w:spacing w:line="360" w:lineRule="auto"/>
        <w:ind w:firstLine="709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bCs/>
        </w:rPr>
        <w:t xml:space="preserve">CONSIDERANDO: </w:t>
      </w:r>
      <w:r w:rsidR="000A2E08" w:rsidRPr="00833CF1">
        <w:rPr>
          <w:rFonts w:ascii="Arial" w:hAnsi="Arial" w:cs="Arial"/>
          <w:b/>
          <w:bCs/>
        </w:rPr>
        <w:t>1)</w:t>
      </w:r>
      <w:r w:rsidR="000A2E08" w:rsidRPr="000A2E08">
        <w:rPr>
          <w:rFonts w:ascii="Arial" w:hAnsi="Arial" w:cs="Arial"/>
          <w:bCs/>
          <w:lang w:val="es-MX"/>
        </w:rPr>
        <w:t xml:space="preserve"> que el contrato remitido  a la intervención del Contadora Delegada en la oportunidad, individualmente considerado, encuadra en la categoría de arrendamiento de servicios,  por cuanto  tiene por objeto el cumplimiento de obligaciones de medio</w:t>
      </w:r>
      <w:r w:rsidR="00C75858">
        <w:rPr>
          <w:rFonts w:ascii="Arial" w:hAnsi="Arial" w:cs="Arial"/>
          <w:bCs/>
          <w:lang w:val="es-MX"/>
        </w:rPr>
        <w:t xml:space="preserve">, como es </w:t>
      </w:r>
      <w:r w:rsidR="000A2E08" w:rsidRPr="000A2E08">
        <w:rPr>
          <w:rFonts w:ascii="Arial" w:hAnsi="Arial" w:cs="Arial"/>
          <w:bCs/>
          <w:lang w:val="es-MX"/>
        </w:rPr>
        <w:t>el asesoramiento</w:t>
      </w:r>
      <w:r w:rsidR="00AC2D63">
        <w:rPr>
          <w:rFonts w:ascii="Arial" w:hAnsi="Arial" w:cs="Arial"/>
          <w:bCs/>
          <w:lang w:val="es-MX"/>
        </w:rPr>
        <w:t xml:space="preserve"> en temas de su especialidad profesional</w:t>
      </w:r>
      <w:r w:rsidR="000A2E08" w:rsidRPr="000A2E08">
        <w:rPr>
          <w:rFonts w:ascii="Arial" w:hAnsi="Arial" w:cs="Arial"/>
          <w:bCs/>
          <w:lang w:val="es-MX"/>
        </w:rPr>
        <w:t xml:space="preserve">, por un plazo determinado y percibiendo una contraprestación mensual en dinero; </w:t>
      </w:r>
    </w:p>
    <w:p w:rsidR="000A2E08" w:rsidRPr="000A2E08" w:rsidRDefault="000A2E08" w:rsidP="000A2E08">
      <w:pPr>
        <w:spacing w:line="360" w:lineRule="auto"/>
        <w:jc w:val="both"/>
        <w:rPr>
          <w:rFonts w:ascii="Arial" w:hAnsi="Arial" w:cs="Arial"/>
          <w:bCs/>
          <w:lang w:val="es-MX"/>
        </w:rPr>
      </w:pPr>
      <w:r w:rsidRPr="00833CF1">
        <w:rPr>
          <w:rFonts w:ascii="Arial" w:hAnsi="Arial" w:cs="Arial"/>
          <w:b/>
          <w:bCs/>
          <w:lang w:val="es-MX"/>
        </w:rPr>
        <w:t xml:space="preserve">                                </w:t>
      </w:r>
      <w:r w:rsidR="00833CF1" w:rsidRPr="00833CF1">
        <w:rPr>
          <w:rFonts w:ascii="Arial" w:hAnsi="Arial" w:cs="Arial"/>
          <w:b/>
          <w:bCs/>
          <w:lang w:val="es-MX"/>
        </w:rPr>
        <w:t xml:space="preserve">        </w:t>
      </w:r>
      <w:r w:rsidRPr="00833CF1">
        <w:rPr>
          <w:rFonts w:ascii="Arial" w:hAnsi="Arial" w:cs="Arial"/>
          <w:b/>
          <w:bCs/>
          <w:lang w:val="es-MX"/>
        </w:rPr>
        <w:t>2)</w:t>
      </w:r>
      <w:r w:rsidRPr="000A2E08">
        <w:rPr>
          <w:rFonts w:ascii="Arial" w:hAnsi="Arial" w:cs="Arial"/>
          <w:bCs/>
          <w:lang w:val="es-MX"/>
        </w:rPr>
        <w:t xml:space="preserve"> que los contratos celebrados des</w:t>
      </w:r>
      <w:r>
        <w:rPr>
          <w:rFonts w:ascii="Arial" w:hAnsi="Arial" w:cs="Arial"/>
          <w:bCs/>
          <w:lang w:val="es-MX"/>
        </w:rPr>
        <w:t>de 2013</w:t>
      </w:r>
      <w:r w:rsidRPr="000A2E08">
        <w:rPr>
          <w:rFonts w:ascii="Arial" w:hAnsi="Arial" w:cs="Arial"/>
          <w:bCs/>
          <w:lang w:val="es-MX"/>
        </w:rPr>
        <w:t>, se han venido renovando desde el vencimiento del contrato anterior;</w:t>
      </w:r>
    </w:p>
    <w:p w:rsidR="000A2E08" w:rsidRPr="000A2E08" w:rsidRDefault="000A2E08" w:rsidP="000A2E08">
      <w:pPr>
        <w:spacing w:line="360" w:lineRule="auto"/>
        <w:jc w:val="both"/>
        <w:rPr>
          <w:rFonts w:ascii="Arial" w:hAnsi="Arial" w:cs="Arial"/>
          <w:bCs/>
          <w:lang w:val="es-MX"/>
        </w:rPr>
      </w:pPr>
      <w:r w:rsidRPr="000A2E08">
        <w:rPr>
          <w:rFonts w:ascii="Arial" w:hAnsi="Arial" w:cs="Arial"/>
          <w:bCs/>
          <w:lang w:val="es-MX"/>
        </w:rPr>
        <w:tab/>
      </w:r>
      <w:r w:rsidRPr="000A2E08">
        <w:rPr>
          <w:rFonts w:ascii="Arial" w:hAnsi="Arial" w:cs="Arial"/>
          <w:bCs/>
          <w:lang w:val="es-MX"/>
        </w:rPr>
        <w:tab/>
        <w:t xml:space="preserve">         </w:t>
      </w:r>
      <w:r w:rsidR="00833CF1">
        <w:rPr>
          <w:rFonts w:ascii="Arial" w:hAnsi="Arial" w:cs="Arial"/>
          <w:bCs/>
          <w:lang w:val="es-MX"/>
        </w:rPr>
        <w:t xml:space="preserve">           </w:t>
      </w:r>
      <w:r w:rsidRPr="00833CF1">
        <w:rPr>
          <w:rFonts w:ascii="Arial" w:hAnsi="Arial" w:cs="Arial"/>
          <w:b/>
          <w:bCs/>
          <w:lang w:val="es-MX"/>
        </w:rPr>
        <w:t>3)</w:t>
      </w:r>
      <w:r w:rsidRPr="000A2E08">
        <w:rPr>
          <w:rFonts w:ascii="Arial" w:hAnsi="Arial" w:cs="Arial"/>
          <w:bCs/>
          <w:lang w:val="es-MX"/>
        </w:rPr>
        <w:t xml:space="preserve"> que, en consecuencia,  las citadas renovaciones  sucesivas suponen una desnaturalización del vínculo y un ingreso indirecto a la Administración Pública por una vía contraria a derecho, extremo que deberá tener presente la ANV para futuras contrataciones;</w:t>
      </w:r>
    </w:p>
    <w:p w:rsidR="000A2E08" w:rsidRPr="000A2E08" w:rsidRDefault="000A2E08" w:rsidP="000A2E08">
      <w:pPr>
        <w:spacing w:line="360" w:lineRule="auto"/>
        <w:jc w:val="both"/>
        <w:rPr>
          <w:rFonts w:ascii="Arial" w:hAnsi="Arial" w:cs="Arial"/>
          <w:bCs/>
          <w:lang w:val="es-MX"/>
        </w:rPr>
      </w:pPr>
      <w:r w:rsidRPr="000A2E08">
        <w:rPr>
          <w:rFonts w:ascii="Arial" w:hAnsi="Arial" w:cs="Arial"/>
          <w:bCs/>
          <w:lang w:val="es-MX"/>
        </w:rPr>
        <w:tab/>
      </w:r>
      <w:r w:rsidRPr="000A2E08">
        <w:rPr>
          <w:rFonts w:ascii="Arial" w:hAnsi="Arial" w:cs="Arial"/>
          <w:bCs/>
          <w:lang w:val="es-MX"/>
        </w:rPr>
        <w:tab/>
        <w:t xml:space="preserve">       </w:t>
      </w:r>
      <w:r w:rsidR="00833CF1">
        <w:rPr>
          <w:rFonts w:ascii="Arial" w:hAnsi="Arial" w:cs="Arial"/>
          <w:bCs/>
          <w:lang w:val="es-MX"/>
        </w:rPr>
        <w:t xml:space="preserve">          </w:t>
      </w:r>
      <w:r w:rsidRPr="000A2E08">
        <w:rPr>
          <w:rFonts w:ascii="Arial" w:hAnsi="Arial" w:cs="Arial"/>
          <w:bCs/>
          <w:lang w:val="es-MX"/>
        </w:rPr>
        <w:t xml:space="preserve"> </w:t>
      </w:r>
      <w:r w:rsidRPr="00833CF1">
        <w:rPr>
          <w:rFonts w:ascii="Arial" w:hAnsi="Arial" w:cs="Arial"/>
          <w:b/>
          <w:bCs/>
          <w:lang w:val="es-MX"/>
        </w:rPr>
        <w:t>4)</w:t>
      </w:r>
      <w:r w:rsidRPr="000A2E08">
        <w:rPr>
          <w:rFonts w:ascii="Arial" w:hAnsi="Arial" w:cs="Arial"/>
          <w:bCs/>
          <w:lang w:val="es-MX"/>
        </w:rPr>
        <w:t xml:space="preserve"> que en tanto la Administración actuante persista en la contratación del referido profesional en nuevas instancias, en las mismas condiciones, los gastos emergentes de dichos contratos deberán ser observados;</w:t>
      </w:r>
    </w:p>
    <w:p w:rsidR="000A2E08" w:rsidRPr="000A2E08" w:rsidRDefault="000A2E08" w:rsidP="000A2E08">
      <w:pPr>
        <w:spacing w:line="360" w:lineRule="auto"/>
        <w:jc w:val="both"/>
        <w:rPr>
          <w:rFonts w:ascii="Arial" w:hAnsi="Arial" w:cs="Arial"/>
          <w:bCs/>
          <w:lang w:val="es-MX"/>
        </w:rPr>
      </w:pPr>
      <w:r w:rsidRPr="000A2E08">
        <w:rPr>
          <w:rFonts w:ascii="Arial" w:hAnsi="Arial" w:cs="Arial"/>
          <w:bCs/>
        </w:rPr>
        <w:tab/>
        <w:t xml:space="preserve">                </w:t>
      </w:r>
      <w:r w:rsidRPr="000A2E08">
        <w:rPr>
          <w:rFonts w:ascii="Arial" w:hAnsi="Arial" w:cs="Arial"/>
          <w:bCs/>
          <w:lang w:val="es-MX"/>
        </w:rPr>
        <w:t xml:space="preserve">   </w:t>
      </w:r>
      <w:r w:rsidR="00833CF1">
        <w:rPr>
          <w:rFonts w:ascii="Arial" w:hAnsi="Arial" w:cs="Arial"/>
          <w:bCs/>
          <w:lang w:val="es-MX"/>
        </w:rPr>
        <w:t xml:space="preserve">          </w:t>
      </w:r>
      <w:r w:rsidRPr="00833CF1">
        <w:rPr>
          <w:rFonts w:ascii="Arial" w:hAnsi="Arial" w:cs="Arial"/>
          <w:b/>
          <w:bCs/>
          <w:lang w:val="es-MX"/>
        </w:rPr>
        <w:t>5)</w:t>
      </w:r>
      <w:r w:rsidRPr="000A2E08">
        <w:rPr>
          <w:rFonts w:ascii="Arial" w:hAnsi="Arial" w:cs="Arial"/>
          <w:bCs/>
          <w:lang w:val="es-MX"/>
        </w:rPr>
        <w:t xml:space="preserve"> que el procedimiento a aplicar para la selección de las contrapartes en los contratos de arrendamiento de servicios, es el general de contratación que se determina en función del monto del contrato, conforme </w:t>
      </w:r>
      <w:r w:rsidRPr="000A2E08">
        <w:rPr>
          <w:rFonts w:ascii="Arial" w:hAnsi="Arial" w:cs="Arial"/>
          <w:bCs/>
          <w:lang w:val="es-MX"/>
        </w:rPr>
        <w:lastRenderedPageBreak/>
        <w:t xml:space="preserve">lo dispone el </w:t>
      </w:r>
      <w:r w:rsidR="00833CF1">
        <w:rPr>
          <w:rFonts w:ascii="Arial" w:hAnsi="Arial" w:cs="Arial"/>
          <w:bCs/>
          <w:lang w:val="es-MX"/>
        </w:rPr>
        <w:t>A</w:t>
      </w:r>
      <w:r w:rsidRPr="000A2E08">
        <w:rPr>
          <w:rFonts w:ascii="Arial" w:hAnsi="Arial" w:cs="Arial"/>
          <w:bCs/>
          <w:lang w:val="es-MX"/>
        </w:rPr>
        <w:t>rtículo 33 del TOCAF. En este sentido, dicho monto debe incluir el de las potenciales renovaciones del vínculo, que deberán estar previstas en el procedimiento de contratación  efectuado y en el contrato respectivo;</w:t>
      </w:r>
      <w:r w:rsidRPr="000A2E08">
        <w:rPr>
          <w:rFonts w:ascii="Arial" w:hAnsi="Arial" w:cs="Arial"/>
          <w:b/>
          <w:bCs/>
          <w:lang w:val="es-MX"/>
        </w:rPr>
        <w:t xml:space="preserve">                                              </w:t>
      </w:r>
    </w:p>
    <w:p w:rsidR="005858A0" w:rsidRDefault="00E954EC" w:rsidP="005858A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5858A0" w:rsidRPr="00887DAF">
        <w:rPr>
          <w:rFonts w:ascii="Arial" w:hAnsi="Arial" w:cs="Arial"/>
          <w:b/>
        </w:rPr>
        <w:t xml:space="preserve">ATENTO </w:t>
      </w:r>
      <w:r w:rsidR="005858A0" w:rsidRPr="00887DAF">
        <w:rPr>
          <w:rFonts w:ascii="Arial" w:hAnsi="Arial" w:cs="Arial"/>
          <w:lang w:val="es-MX"/>
        </w:rPr>
        <w:t xml:space="preserve">a lo precedentemente expuesto y </w:t>
      </w:r>
      <w:r w:rsidR="005858A0">
        <w:rPr>
          <w:rFonts w:ascii="Arial" w:hAnsi="Arial" w:cs="Arial"/>
          <w:lang w:val="es-MX"/>
        </w:rPr>
        <w:t xml:space="preserve">a lo dispuesto por el </w:t>
      </w:r>
      <w:r w:rsidR="00833CF1">
        <w:rPr>
          <w:rFonts w:ascii="Arial" w:hAnsi="Arial" w:cs="Arial"/>
          <w:lang w:val="es-MX"/>
        </w:rPr>
        <w:t>Literal B) del A</w:t>
      </w:r>
      <w:r w:rsidR="005858A0">
        <w:rPr>
          <w:rFonts w:ascii="Arial" w:hAnsi="Arial" w:cs="Arial"/>
          <w:lang w:val="es-MX"/>
        </w:rPr>
        <w:t>rtículo 211 de la Constitución de la República y las Ordenanza N° 64 y Nº 72 de este Tribunal</w:t>
      </w:r>
      <w:r w:rsidR="005858A0">
        <w:rPr>
          <w:rFonts w:ascii="Arial" w:hAnsi="Arial" w:cs="Arial"/>
        </w:rPr>
        <w:t>;</w:t>
      </w:r>
    </w:p>
    <w:p w:rsidR="005858A0" w:rsidRDefault="005858A0" w:rsidP="005858A0">
      <w:pPr>
        <w:pStyle w:val="Ttulo2"/>
        <w:jc w:val="center"/>
        <w:rPr>
          <w:rFonts w:cs="Arial"/>
        </w:rPr>
      </w:pPr>
      <w:r>
        <w:rPr>
          <w:rFonts w:cs="Arial"/>
        </w:rPr>
        <w:t>EL TRIBUNAL ACUERDA</w:t>
      </w:r>
    </w:p>
    <w:p w:rsidR="00887DAF" w:rsidRDefault="00E9295C" w:rsidP="00E9295C">
      <w:pPr>
        <w:pStyle w:val="Prrafodelista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lang w:val="es-MX"/>
        </w:rPr>
      </w:pPr>
      <w:r w:rsidRPr="00E9295C">
        <w:rPr>
          <w:rFonts w:ascii="Arial" w:hAnsi="Arial" w:cs="Arial"/>
          <w:lang w:val="es-MX"/>
        </w:rPr>
        <w:t>Evacuar la c</w:t>
      </w:r>
      <w:r w:rsidR="00765C72">
        <w:rPr>
          <w:rFonts w:ascii="Arial" w:hAnsi="Arial" w:cs="Arial"/>
          <w:lang w:val="es-MX"/>
        </w:rPr>
        <w:t>onsulta en los términos de los C</w:t>
      </w:r>
      <w:r w:rsidRPr="00E9295C">
        <w:rPr>
          <w:rFonts w:ascii="Arial" w:hAnsi="Arial" w:cs="Arial"/>
          <w:lang w:val="es-MX"/>
        </w:rPr>
        <w:t>onsiderandos</w:t>
      </w:r>
      <w:r w:rsidR="00765C72">
        <w:rPr>
          <w:rFonts w:ascii="Arial" w:hAnsi="Arial" w:cs="Arial"/>
          <w:lang w:val="es-MX"/>
        </w:rPr>
        <w:t xml:space="preserve"> de la presente R</w:t>
      </w:r>
      <w:r w:rsidRPr="00E9295C">
        <w:rPr>
          <w:rFonts w:ascii="Arial" w:hAnsi="Arial" w:cs="Arial"/>
          <w:lang w:val="es-MX"/>
        </w:rPr>
        <w:t xml:space="preserve">esolución; </w:t>
      </w:r>
    </w:p>
    <w:p w:rsidR="00E9295C" w:rsidRPr="00E9295C" w:rsidRDefault="00887DAF" w:rsidP="00E9295C">
      <w:pPr>
        <w:pStyle w:val="Prrafodelista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Té</w:t>
      </w:r>
      <w:r w:rsidR="00C75858">
        <w:rPr>
          <w:rFonts w:ascii="Arial" w:hAnsi="Arial" w:cs="Arial"/>
          <w:lang w:val="es-MX"/>
        </w:rPr>
        <w:t>ngase presente lo señalado en los</w:t>
      </w:r>
      <w:r>
        <w:rPr>
          <w:rFonts w:ascii="Arial" w:hAnsi="Arial" w:cs="Arial"/>
          <w:lang w:val="es-MX"/>
        </w:rPr>
        <w:t xml:space="preserve"> Considerando</w:t>
      </w:r>
      <w:r w:rsidR="00C75858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</w:t>
      </w:r>
      <w:r w:rsidR="00F15B68">
        <w:rPr>
          <w:rFonts w:ascii="Arial" w:hAnsi="Arial" w:cs="Arial"/>
          <w:lang w:val="es-MX"/>
        </w:rPr>
        <w:t xml:space="preserve">4º y </w:t>
      </w:r>
      <w:r>
        <w:rPr>
          <w:rFonts w:ascii="Arial" w:hAnsi="Arial" w:cs="Arial"/>
          <w:lang w:val="es-MX"/>
        </w:rPr>
        <w:t>5</w:t>
      </w:r>
      <w:r w:rsidR="00F15B68">
        <w:rPr>
          <w:rFonts w:ascii="Arial" w:hAnsi="Arial" w:cs="Arial"/>
          <w:lang w:val="es-MX"/>
        </w:rPr>
        <w:t>º</w:t>
      </w:r>
      <w:r>
        <w:rPr>
          <w:rFonts w:ascii="Arial" w:hAnsi="Arial" w:cs="Arial"/>
          <w:lang w:val="es-MX"/>
        </w:rPr>
        <w:t>;</w:t>
      </w:r>
    </w:p>
    <w:p w:rsidR="005858A0" w:rsidRDefault="005858A0" w:rsidP="005858A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Comunicar a</w:t>
      </w:r>
      <w:r w:rsidR="009815C5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l</w:t>
      </w:r>
      <w:r w:rsidR="009815C5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 Contador</w:t>
      </w:r>
      <w:r w:rsidR="009815C5">
        <w:rPr>
          <w:rFonts w:ascii="Arial" w:hAnsi="Arial" w:cs="Arial"/>
          <w:lang w:val="es-MX"/>
        </w:rPr>
        <w:t>a Delegada</w:t>
      </w:r>
      <w:r w:rsidR="00E50392">
        <w:rPr>
          <w:rFonts w:ascii="Arial" w:hAnsi="Arial" w:cs="Arial"/>
          <w:lang w:val="es-MX"/>
        </w:rPr>
        <w:t>; y</w:t>
      </w:r>
    </w:p>
    <w:p w:rsidR="00E50392" w:rsidRDefault="00E50392" w:rsidP="005858A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Devolve</w:t>
      </w:r>
      <w:bookmarkStart w:id="0" w:name="_GoBack"/>
      <w:bookmarkEnd w:id="0"/>
      <w:r>
        <w:rPr>
          <w:rFonts w:ascii="Arial" w:hAnsi="Arial" w:cs="Arial"/>
          <w:lang w:val="es-MX"/>
        </w:rPr>
        <w:t>r las actuaciones.</w:t>
      </w:r>
    </w:p>
    <w:p w:rsidR="005858A0" w:rsidRDefault="005858A0" w:rsidP="005858A0">
      <w:pPr>
        <w:spacing w:line="360" w:lineRule="auto"/>
        <w:jc w:val="both"/>
        <w:rPr>
          <w:rFonts w:ascii="Arial" w:hAnsi="Arial" w:cs="Arial"/>
          <w:lang w:val="es-MX"/>
        </w:rPr>
      </w:pPr>
    </w:p>
    <w:p w:rsidR="005858A0" w:rsidRDefault="005858A0" w:rsidP="005858A0">
      <w:pPr>
        <w:spacing w:line="360" w:lineRule="auto"/>
        <w:jc w:val="right"/>
        <w:rPr>
          <w:rFonts w:ascii="Arial" w:hAnsi="Arial" w:cs="Arial"/>
          <w:lang w:val="es-MX"/>
        </w:rPr>
      </w:pPr>
    </w:p>
    <w:p w:rsidR="005858A0" w:rsidRDefault="005858A0" w:rsidP="005858A0">
      <w:pPr>
        <w:spacing w:line="360" w:lineRule="auto"/>
        <w:jc w:val="right"/>
        <w:rPr>
          <w:rFonts w:ascii="Arial" w:hAnsi="Arial" w:cs="Arial"/>
          <w:lang w:val="es-MX"/>
        </w:rPr>
      </w:pPr>
    </w:p>
    <w:p w:rsidR="005858A0" w:rsidRDefault="005858A0" w:rsidP="005858A0">
      <w:pPr>
        <w:spacing w:line="360" w:lineRule="auto"/>
        <w:jc w:val="right"/>
        <w:rPr>
          <w:rFonts w:ascii="Arial" w:hAnsi="Arial" w:cs="Arial"/>
          <w:lang w:val="es-MX"/>
        </w:rPr>
      </w:pPr>
    </w:p>
    <w:p w:rsidR="005858A0" w:rsidRPr="00833CF1" w:rsidRDefault="00833CF1" w:rsidP="005858A0">
      <w:pPr>
        <w:rPr>
          <w:rFonts w:ascii="Arial" w:hAnsi="Arial" w:cs="Arial"/>
        </w:rPr>
      </w:pPr>
      <w:proofErr w:type="spellStart"/>
      <w:proofErr w:type="gramStart"/>
      <w:r w:rsidRPr="00833CF1">
        <w:rPr>
          <w:rFonts w:ascii="Arial" w:hAnsi="Arial" w:cs="Arial"/>
          <w:lang w:val="es-MX"/>
        </w:rPr>
        <w:t>cr</w:t>
      </w:r>
      <w:proofErr w:type="spellEnd"/>
      <w:proofErr w:type="gramEnd"/>
    </w:p>
    <w:p w:rsidR="005858A0" w:rsidRPr="00833CF1" w:rsidRDefault="005858A0" w:rsidP="005858A0"/>
    <w:p w:rsidR="005858A0" w:rsidRDefault="005858A0" w:rsidP="005858A0"/>
    <w:p w:rsidR="00545A99" w:rsidRDefault="00545A99"/>
    <w:sectPr w:rsidR="00545A99" w:rsidSect="00833CF1">
      <w:pgSz w:w="11906" w:h="16838" w:code="9"/>
      <w:pgMar w:top="3402" w:right="1701" w:bottom="1418" w:left="1701" w:header="720" w:footer="720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E3611"/>
    <w:multiLevelType w:val="singleLevel"/>
    <w:tmpl w:val="94D649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A0"/>
    <w:rsid w:val="00006AFC"/>
    <w:rsid w:val="000666C3"/>
    <w:rsid w:val="0008617E"/>
    <w:rsid w:val="00093DB6"/>
    <w:rsid w:val="000A2E08"/>
    <w:rsid w:val="000D18F2"/>
    <w:rsid w:val="001B2BF3"/>
    <w:rsid w:val="001F7CE0"/>
    <w:rsid w:val="00207925"/>
    <w:rsid w:val="002201CF"/>
    <w:rsid w:val="00253321"/>
    <w:rsid w:val="00263C16"/>
    <w:rsid w:val="00284890"/>
    <w:rsid w:val="0028647A"/>
    <w:rsid w:val="002A38C4"/>
    <w:rsid w:val="002E57FB"/>
    <w:rsid w:val="0030510A"/>
    <w:rsid w:val="00342564"/>
    <w:rsid w:val="00346CF2"/>
    <w:rsid w:val="00351576"/>
    <w:rsid w:val="00387A6A"/>
    <w:rsid w:val="00403403"/>
    <w:rsid w:val="00416E56"/>
    <w:rsid w:val="0042217F"/>
    <w:rsid w:val="004235FF"/>
    <w:rsid w:val="00497E6F"/>
    <w:rsid w:val="004C0210"/>
    <w:rsid w:val="004D6CFA"/>
    <w:rsid w:val="0050339B"/>
    <w:rsid w:val="00506E70"/>
    <w:rsid w:val="00511001"/>
    <w:rsid w:val="0053047B"/>
    <w:rsid w:val="00545A99"/>
    <w:rsid w:val="00570C6D"/>
    <w:rsid w:val="005858A0"/>
    <w:rsid w:val="00594CBE"/>
    <w:rsid w:val="005C71DF"/>
    <w:rsid w:val="005E14B0"/>
    <w:rsid w:val="005F0174"/>
    <w:rsid w:val="006C1CE1"/>
    <w:rsid w:val="006E34C0"/>
    <w:rsid w:val="00765C72"/>
    <w:rsid w:val="007A2699"/>
    <w:rsid w:val="007E4C6C"/>
    <w:rsid w:val="00833CF1"/>
    <w:rsid w:val="008517E9"/>
    <w:rsid w:val="00864FA3"/>
    <w:rsid w:val="00887DAF"/>
    <w:rsid w:val="0090302F"/>
    <w:rsid w:val="00915F25"/>
    <w:rsid w:val="00927BC0"/>
    <w:rsid w:val="00965A02"/>
    <w:rsid w:val="009815C5"/>
    <w:rsid w:val="009871B1"/>
    <w:rsid w:val="009A4FFE"/>
    <w:rsid w:val="00A05C5A"/>
    <w:rsid w:val="00A45FFC"/>
    <w:rsid w:val="00AC2D63"/>
    <w:rsid w:val="00B10418"/>
    <w:rsid w:val="00B35EA5"/>
    <w:rsid w:val="00BC6820"/>
    <w:rsid w:val="00BF63E9"/>
    <w:rsid w:val="00C22BE1"/>
    <w:rsid w:val="00C46A98"/>
    <w:rsid w:val="00C54721"/>
    <w:rsid w:val="00C75858"/>
    <w:rsid w:val="00CA1CA2"/>
    <w:rsid w:val="00CB719F"/>
    <w:rsid w:val="00CE02C8"/>
    <w:rsid w:val="00CE0DC5"/>
    <w:rsid w:val="00D05B11"/>
    <w:rsid w:val="00D07045"/>
    <w:rsid w:val="00D11731"/>
    <w:rsid w:val="00D54909"/>
    <w:rsid w:val="00D74399"/>
    <w:rsid w:val="00D83C31"/>
    <w:rsid w:val="00DC361D"/>
    <w:rsid w:val="00DE24A3"/>
    <w:rsid w:val="00E50392"/>
    <w:rsid w:val="00E9295C"/>
    <w:rsid w:val="00E954EC"/>
    <w:rsid w:val="00EA0CFB"/>
    <w:rsid w:val="00F0433C"/>
    <w:rsid w:val="00F063DE"/>
    <w:rsid w:val="00F15B68"/>
    <w:rsid w:val="00F47CEE"/>
    <w:rsid w:val="00FB32C3"/>
    <w:rsid w:val="00FF151C"/>
    <w:rsid w:val="00F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58A0"/>
    <w:pPr>
      <w:keepNext/>
      <w:spacing w:line="360" w:lineRule="auto"/>
      <w:jc w:val="center"/>
      <w:outlineLvl w:val="0"/>
    </w:pPr>
    <w:rPr>
      <w:rFonts w:ascii="Arial" w:hAnsi="Arial"/>
      <w:u w:val="single"/>
    </w:rPr>
  </w:style>
  <w:style w:type="paragraph" w:styleId="Ttulo2">
    <w:name w:val="heading 2"/>
    <w:basedOn w:val="Normal"/>
    <w:next w:val="Normal"/>
    <w:link w:val="Ttulo2Car"/>
    <w:qFormat/>
    <w:rsid w:val="005858A0"/>
    <w:pPr>
      <w:keepNext/>
      <w:spacing w:line="360" w:lineRule="auto"/>
      <w:jc w:val="both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58A0"/>
    <w:rPr>
      <w:rFonts w:ascii="Arial" w:eastAsia="Times New Roman" w:hAnsi="Arial" w:cs="Times New Roman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858A0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A4FF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929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10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001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58A0"/>
    <w:pPr>
      <w:keepNext/>
      <w:spacing w:line="360" w:lineRule="auto"/>
      <w:jc w:val="center"/>
      <w:outlineLvl w:val="0"/>
    </w:pPr>
    <w:rPr>
      <w:rFonts w:ascii="Arial" w:hAnsi="Arial"/>
      <w:u w:val="single"/>
    </w:rPr>
  </w:style>
  <w:style w:type="paragraph" w:styleId="Ttulo2">
    <w:name w:val="heading 2"/>
    <w:basedOn w:val="Normal"/>
    <w:next w:val="Normal"/>
    <w:link w:val="Ttulo2Car"/>
    <w:qFormat/>
    <w:rsid w:val="005858A0"/>
    <w:pPr>
      <w:keepNext/>
      <w:spacing w:line="360" w:lineRule="auto"/>
      <w:jc w:val="both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58A0"/>
    <w:rPr>
      <w:rFonts w:ascii="Arial" w:eastAsia="Times New Roman" w:hAnsi="Arial" w:cs="Times New Roman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858A0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A4FF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929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10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001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2018-10-19T18:37:00Z</cp:lastPrinted>
  <dcterms:created xsi:type="dcterms:W3CDTF">2018-10-19T18:38:00Z</dcterms:created>
  <dcterms:modified xsi:type="dcterms:W3CDTF">2018-10-19T18:38:00Z</dcterms:modified>
</cp:coreProperties>
</file>