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0B3" w:rsidRPr="00786EEB" w:rsidRDefault="009960B3" w:rsidP="009960B3">
      <w:pPr>
        <w:tabs>
          <w:tab w:val="center" w:pos="4253"/>
        </w:tabs>
        <w:suppressAutoHyphens/>
        <w:spacing w:after="0" w:line="360" w:lineRule="auto"/>
        <w:jc w:val="right"/>
        <w:rPr>
          <w:rFonts w:ascii="Arial" w:hAnsi="Arial" w:cs="Arial"/>
          <w:b/>
          <w:sz w:val="28"/>
          <w:szCs w:val="28"/>
          <w:lang w:val="es-ES_tradnl"/>
        </w:rPr>
      </w:pPr>
      <w:bookmarkStart w:id="0" w:name="_GoBack"/>
      <w:bookmarkEnd w:id="0"/>
      <w:r>
        <w:rPr>
          <w:rFonts w:ascii="Arial" w:hAnsi="Arial" w:cs="Arial"/>
          <w:b/>
          <w:sz w:val="28"/>
          <w:szCs w:val="28"/>
          <w:lang w:val="es-ES_tradnl"/>
        </w:rPr>
        <w:t xml:space="preserve">RES. </w:t>
      </w:r>
      <w:r w:rsidR="00C44E2F">
        <w:rPr>
          <w:rFonts w:ascii="Arial" w:hAnsi="Arial" w:cs="Arial"/>
          <w:b/>
          <w:sz w:val="28"/>
          <w:szCs w:val="28"/>
          <w:lang w:val="es-ES_tradnl"/>
        </w:rPr>
        <w:t>3181</w:t>
      </w:r>
      <w:r>
        <w:rPr>
          <w:rFonts w:ascii="Arial" w:hAnsi="Arial" w:cs="Arial"/>
          <w:b/>
          <w:sz w:val="28"/>
          <w:szCs w:val="28"/>
          <w:lang w:val="es-ES_tradnl"/>
        </w:rPr>
        <w:t>/18</w:t>
      </w:r>
    </w:p>
    <w:p w:rsidR="009960B3" w:rsidRDefault="009960B3" w:rsidP="009960B3">
      <w:pPr>
        <w:tabs>
          <w:tab w:val="center" w:pos="4253"/>
        </w:tabs>
        <w:suppressAutoHyphens/>
        <w:spacing w:after="0" w:line="240" w:lineRule="auto"/>
        <w:jc w:val="center"/>
        <w:rPr>
          <w:rFonts w:ascii="Arial" w:hAnsi="Arial" w:cs="Arial"/>
          <w:b/>
          <w:sz w:val="24"/>
          <w:szCs w:val="24"/>
          <w:lang w:val="es-ES_tradnl"/>
        </w:rPr>
      </w:pPr>
    </w:p>
    <w:p w:rsidR="009960B3" w:rsidRPr="009960B3" w:rsidRDefault="009960B3" w:rsidP="009960B3">
      <w:pPr>
        <w:tabs>
          <w:tab w:val="center" w:pos="4253"/>
        </w:tabs>
        <w:suppressAutoHyphens/>
        <w:spacing w:after="0" w:line="240" w:lineRule="auto"/>
        <w:jc w:val="center"/>
        <w:rPr>
          <w:rFonts w:ascii="Arial" w:hAnsi="Arial" w:cs="Arial"/>
          <w:b/>
          <w:sz w:val="24"/>
          <w:szCs w:val="24"/>
          <w:lang w:val="es-ES_tradnl"/>
        </w:rPr>
      </w:pPr>
      <w:r w:rsidRPr="009960B3">
        <w:rPr>
          <w:rFonts w:ascii="Arial" w:hAnsi="Arial" w:cs="Arial"/>
          <w:b/>
          <w:sz w:val="24"/>
          <w:szCs w:val="24"/>
          <w:lang w:val="es-ES_tradnl"/>
        </w:rPr>
        <w:t>RESOLUCION ADOPTADA POR EL</w:t>
      </w:r>
    </w:p>
    <w:p w:rsidR="009960B3" w:rsidRPr="009960B3" w:rsidRDefault="009960B3" w:rsidP="009960B3">
      <w:pPr>
        <w:tabs>
          <w:tab w:val="left" w:pos="-720"/>
        </w:tabs>
        <w:suppressAutoHyphens/>
        <w:spacing w:after="0" w:line="240" w:lineRule="auto"/>
        <w:jc w:val="center"/>
        <w:rPr>
          <w:rFonts w:ascii="Arial" w:hAnsi="Arial" w:cs="Arial"/>
          <w:b/>
          <w:sz w:val="24"/>
          <w:szCs w:val="24"/>
          <w:lang w:val="es-ES_tradnl"/>
        </w:rPr>
      </w:pPr>
    </w:p>
    <w:p w:rsidR="009960B3" w:rsidRPr="009960B3" w:rsidRDefault="009960B3" w:rsidP="009960B3">
      <w:pPr>
        <w:tabs>
          <w:tab w:val="center" w:pos="4253"/>
        </w:tabs>
        <w:suppressAutoHyphens/>
        <w:spacing w:after="0" w:line="240" w:lineRule="auto"/>
        <w:jc w:val="center"/>
        <w:rPr>
          <w:rFonts w:ascii="Arial" w:hAnsi="Arial" w:cs="Arial"/>
          <w:b/>
          <w:sz w:val="24"/>
          <w:szCs w:val="24"/>
          <w:lang w:val="es-ES_tradnl"/>
        </w:rPr>
      </w:pPr>
      <w:r w:rsidRPr="009960B3">
        <w:rPr>
          <w:rFonts w:ascii="Arial" w:hAnsi="Arial" w:cs="Arial"/>
          <w:b/>
          <w:sz w:val="24"/>
          <w:szCs w:val="24"/>
          <w:lang w:val="es-ES_tradnl"/>
        </w:rPr>
        <w:t>TRIBUNAL DE CUENTAS</w:t>
      </w:r>
    </w:p>
    <w:p w:rsidR="009960B3" w:rsidRPr="009960B3" w:rsidRDefault="009960B3" w:rsidP="009960B3">
      <w:pPr>
        <w:tabs>
          <w:tab w:val="left" w:pos="-720"/>
        </w:tabs>
        <w:suppressAutoHyphens/>
        <w:spacing w:after="0" w:line="240" w:lineRule="auto"/>
        <w:jc w:val="center"/>
        <w:rPr>
          <w:rFonts w:ascii="Arial" w:hAnsi="Arial" w:cs="Arial"/>
          <w:b/>
          <w:sz w:val="24"/>
          <w:szCs w:val="24"/>
          <w:lang w:val="es-ES_tradnl"/>
        </w:rPr>
      </w:pPr>
    </w:p>
    <w:p w:rsidR="009960B3" w:rsidRPr="009960B3" w:rsidRDefault="009960B3" w:rsidP="009960B3">
      <w:pPr>
        <w:tabs>
          <w:tab w:val="center" w:pos="4253"/>
        </w:tabs>
        <w:suppressAutoHyphens/>
        <w:spacing w:after="0" w:line="240" w:lineRule="auto"/>
        <w:jc w:val="center"/>
        <w:rPr>
          <w:rFonts w:ascii="Arial" w:hAnsi="Arial" w:cs="Arial"/>
          <w:b/>
          <w:sz w:val="24"/>
          <w:szCs w:val="24"/>
          <w:lang w:val="es-ES_tradnl"/>
        </w:rPr>
      </w:pPr>
      <w:r w:rsidRPr="009960B3">
        <w:rPr>
          <w:rFonts w:ascii="Arial" w:hAnsi="Arial" w:cs="Arial"/>
          <w:b/>
          <w:sz w:val="24"/>
          <w:szCs w:val="24"/>
          <w:lang w:val="es-ES_tradnl"/>
        </w:rPr>
        <w:t xml:space="preserve">EN SESION DE FECHA 10 DE OCTUBRE </w:t>
      </w:r>
      <w:r w:rsidRPr="009960B3">
        <w:rPr>
          <w:rFonts w:ascii="Helvetica" w:hAnsi="Helvetica"/>
          <w:b/>
          <w:sz w:val="24"/>
          <w:szCs w:val="24"/>
          <w:lang w:val="es-ES_tradnl"/>
        </w:rPr>
        <w:t>DE 2018</w:t>
      </w:r>
    </w:p>
    <w:p w:rsidR="009960B3" w:rsidRPr="009960B3" w:rsidRDefault="009960B3" w:rsidP="009960B3">
      <w:pPr>
        <w:tabs>
          <w:tab w:val="center" w:pos="4253"/>
        </w:tabs>
        <w:suppressAutoHyphens/>
        <w:spacing w:after="0" w:line="240" w:lineRule="auto"/>
        <w:jc w:val="center"/>
        <w:rPr>
          <w:rFonts w:ascii="Arial" w:hAnsi="Arial" w:cs="Arial"/>
          <w:b/>
          <w:sz w:val="24"/>
          <w:szCs w:val="24"/>
          <w:lang w:val="es-ES_tradnl"/>
        </w:rPr>
      </w:pPr>
    </w:p>
    <w:p w:rsidR="009960B3" w:rsidRPr="003A5E55" w:rsidRDefault="009960B3" w:rsidP="009960B3">
      <w:pPr>
        <w:tabs>
          <w:tab w:val="center" w:pos="4253"/>
        </w:tabs>
        <w:suppressAutoHyphens/>
        <w:spacing w:after="0" w:line="240" w:lineRule="auto"/>
        <w:jc w:val="center"/>
        <w:rPr>
          <w:rFonts w:ascii="Arial" w:hAnsi="Arial" w:cs="Arial"/>
          <w:b/>
          <w:sz w:val="24"/>
          <w:szCs w:val="24"/>
        </w:rPr>
      </w:pPr>
      <w:r w:rsidRPr="003A5E55">
        <w:rPr>
          <w:rFonts w:ascii="Arial" w:hAnsi="Arial" w:cs="Arial"/>
          <w:b/>
          <w:sz w:val="24"/>
          <w:szCs w:val="24"/>
        </w:rPr>
        <w:t xml:space="preserve">(E. E. Nº 2018-17-1-0002035, </w:t>
      </w:r>
      <w:proofErr w:type="spellStart"/>
      <w:r w:rsidRPr="003A5E55">
        <w:rPr>
          <w:rFonts w:ascii="Arial" w:hAnsi="Arial" w:cs="Arial"/>
          <w:b/>
          <w:sz w:val="24"/>
          <w:szCs w:val="24"/>
        </w:rPr>
        <w:t>Ent</w:t>
      </w:r>
      <w:proofErr w:type="spellEnd"/>
      <w:r w:rsidRPr="003A5E55">
        <w:rPr>
          <w:rFonts w:ascii="Arial" w:hAnsi="Arial" w:cs="Arial"/>
          <w:b/>
          <w:sz w:val="24"/>
          <w:szCs w:val="24"/>
        </w:rPr>
        <w:t>. N° 1508 y 1509/18)</w:t>
      </w:r>
    </w:p>
    <w:p w:rsidR="009960B3" w:rsidRPr="003A5E55" w:rsidRDefault="009960B3" w:rsidP="009960B3">
      <w:pPr>
        <w:tabs>
          <w:tab w:val="center" w:pos="4253"/>
        </w:tabs>
        <w:suppressAutoHyphens/>
        <w:spacing w:after="0" w:line="240" w:lineRule="auto"/>
        <w:jc w:val="center"/>
        <w:rPr>
          <w:rFonts w:ascii="Helvetica" w:hAnsi="Helvetica"/>
          <w:b/>
          <w:sz w:val="24"/>
          <w:szCs w:val="24"/>
        </w:rPr>
      </w:pPr>
    </w:p>
    <w:p w:rsidR="00D141D8" w:rsidRPr="00243761" w:rsidRDefault="00D141D8" w:rsidP="00200768">
      <w:pPr>
        <w:spacing w:after="0" w:line="360" w:lineRule="auto"/>
        <w:ind w:firstLine="851"/>
        <w:jc w:val="both"/>
        <w:rPr>
          <w:rFonts w:ascii="Arial" w:eastAsia="Times New Roman" w:hAnsi="Arial" w:cs="Arial"/>
          <w:spacing w:val="-3"/>
          <w:sz w:val="24"/>
          <w:szCs w:val="24"/>
          <w:lang w:val="es-ES_tradnl" w:eastAsia="es-ES"/>
        </w:rPr>
      </w:pPr>
      <w:r w:rsidRPr="00243761">
        <w:rPr>
          <w:rFonts w:ascii="Arial" w:eastAsia="Times New Roman" w:hAnsi="Arial" w:cs="Arial"/>
          <w:b/>
          <w:spacing w:val="-3"/>
          <w:sz w:val="24"/>
          <w:szCs w:val="24"/>
          <w:lang w:val="es-ES_tradnl" w:eastAsia="es-ES"/>
        </w:rPr>
        <w:t>VISTO</w:t>
      </w:r>
      <w:r w:rsidRPr="00243761">
        <w:rPr>
          <w:rFonts w:ascii="Arial" w:eastAsia="Times New Roman" w:hAnsi="Arial" w:cs="Arial"/>
          <w:b/>
          <w:bCs/>
          <w:spacing w:val="-3"/>
          <w:sz w:val="24"/>
          <w:szCs w:val="24"/>
          <w:lang w:val="es-ES_tradnl" w:eastAsia="es-ES"/>
        </w:rPr>
        <w:t>:</w:t>
      </w:r>
      <w:r w:rsidRPr="00243761">
        <w:rPr>
          <w:rFonts w:ascii="Arial" w:eastAsia="Times New Roman" w:hAnsi="Arial" w:cs="Arial"/>
          <w:b/>
          <w:spacing w:val="-3"/>
          <w:sz w:val="24"/>
          <w:szCs w:val="24"/>
          <w:lang w:val="es-ES_tradnl" w:eastAsia="es-ES"/>
        </w:rPr>
        <w:t xml:space="preserve"> </w:t>
      </w:r>
      <w:r w:rsidRPr="00243761">
        <w:rPr>
          <w:rFonts w:ascii="Arial" w:eastAsia="Times New Roman" w:hAnsi="Arial" w:cs="Arial"/>
          <w:spacing w:val="-3"/>
          <w:sz w:val="24"/>
          <w:szCs w:val="24"/>
          <w:lang w:val="es-ES_tradnl" w:eastAsia="es-ES"/>
        </w:rPr>
        <w:t>que este Tribunal ha examinado los estados financieros del Banco de Seguros del Estado (BSE) que comprenden el Estado de Situación Patri</w:t>
      </w:r>
      <w:r w:rsidRPr="00243761">
        <w:rPr>
          <w:rFonts w:ascii="Arial" w:eastAsia="Times New Roman" w:hAnsi="Arial" w:cs="Arial"/>
          <w:spacing w:val="-3"/>
          <w:sz w:val="24"/>
          <w:szCs w:val="24"/>
          <w:lang w:val="es-ES_tradnl" w:eastAsia="es-ES"/>
        </w:rPr>
        <w:softHyphen/>
        <w:t>monial al 31/12/201</w:t>
      </w:r>
      <w:r w:rsidR="00E102AC" w:rsidRPr="00243761">
        <w:rPr>
          <w:rFonts w:ascii="Arial" w:eastAsia="Times New Roman" w:hAnsi="Arial" w:cs="Arial"/>
          <w:spacing w:val="-3"/>
          <w:sz w:val="24"/>
          <w:szCs w:val="24"/>
          <w:lang w:val="es-ES_tradnl" w:eastAsia="es-ES"/>
        </w:rPr>
        <w:t>7</w:t>
      </w:r>
      <w:r w:rsidRPr="00243761">
        <w:rPr>
          <w:rFonts w:ascii="Arial" w:eastAsia="Times New Roman" w:hAnsi="Arial" w:cs="Arial"/>
          <w:spacing w:val="-3"/>
          <w:sz w:val="24"/>
          <w:szCs w:val="24"/>
          <w:lang w:val="es-ES_tradnl" w:eastAsia="es-ES"/>
        </w:rPr>
        <w:t>, los correspondientes Estado de Resultados, de Flujos de Efectivo y de Evolución del Patrimonio por el ejercicio finalizado en esa fecha, los Anexos y las Notas de políticas contables significativas y otras notas explica</w:t>
      </w:r>
      <w:r w:rsidR="00E102AC" w:rsidRPr="00243761">
        <w:rPr>
          <w:rFonts w:ascii="Arial" w:eastAsia="Times New Roman" w:hAnsi="Arial" w:cs="Arial"/>
          <w:spacing w:val="-3"/>
          <w:sz w:val="24"/>
          <w:szCs w:val="24"/>
          <w:lang w:val="es-ES_tradnl" w:eastAsia="es-ES"/>
        </w:rPr>
        <w:t>tivas y el Balance de Ejecución Presupuestal por el ejercicio finalizado el 31/12/2017</w:t>
      </w:r>
      <w:r w:rsidR="009F7AF6" w:rsidRPr="00243761">
        <w:rPr>
          <w:rFonts w:ascii="Arial" w:eastAsia="Times New Roman" w:hAnsi="Arial" w:cs="Arial"/>
          <w:spacing w:val="-3"/>
          <w:sz w:val="24"/>
          <w:szCs w:val="24"/>
          <w:lang w:val="es-ES_tradnl" w:eastAsia="es-ES"/>
        </w:rPr>
        <w:t>, los Anexos y las notas explicativas</w:t>
      </w:r>
      <w:r w:rsidR="00E102AC" w:rsidRPr="00243761">
        <w:rPr>
          <w:rFonts w:ascii="Arial" w:eastAsia="Times New Roman" w:hAnsi="Arial" w:cs="Arial"/>
          <w:spacing w:val="-3"/>
          <w:sz w:val="24"/>
          <w:szCs w:val="24"/>
          <w:lang w:val="es-ES_tradnl" w:eastAsia="es-ES"/>
        </w:rPr>
        <w:t>;</w:t>
      </w:r>
    </w:p>
    <w:p w:rsidR="00D141D8" w:rsidRPr="00243761" w:rsidRDefault="00D141D8" w:rsidP="00200768">
      <w:pPr>
        <w:spacing w:after="0" w:line="360" w:lineRule="auto"/>
        <w:ind w:firstLine="851"/>
        <w:jc w:val="both"/>
        <w:rPr>
          <w:rFonts w:ascii="Arial" w:eastAsia="Times New Roman" w:hAnsi="Arial" w:cs="Arial"/>
          <w:b/>
          <w:spacing w:val="-3"/>
          <w:sz w:val="24"/>
          <w:szCs w:val="24"/>
          <w:lang w:val="es-ES_tradnl" w:eastAsia="es-ES"/>
        </w:rPr>
      </w:pPr>
      <w:r w:rsidRPr="00243761">
        <w:rPr>
          <w:rFonts w:ascii="Arial" w:eastAsia="Times New Roman" w:hAnsi="Arial" w:cs="Arial"/>
          <w:b/>
          <w:spacing w:val="-3"/>
          <w:sz w:val="24"/>
          <w:szCs w:val="24"/>
          <w:lang w:val="es-ES_tradnl" w:eastAsia="es-ES"/>
        </w:rPr>
        <w:t>RESULTANDO:</w:t>
      </w:r>
      <w:r w:rsidRPr="00243761">
        <w:rPr>
          <w:rFonts w:ascii="Arial" w:eastAsia="Times New Roman" w:hAnsi="Arial" w:cs="Arial"/>
          <w:spacing w:val="-3"/>
          <w:sz w:val="24"/>
          <w:szCs w:val="24"/>
          <w:lang w:val="es-ES_tradnl" w:eastAsia="es-ES"/>
        </w:rPr>
        <w:t xml:space="preserve"> que el examen se efectuó de acuerdo con los Principios Fundamentales de Auditoría </w:t>
      </w:r>
      <w:r w:rsidRPr="00243761">
        <w:rPr>
          <w:rFonts w:ascii="Arial" w:eastAsia="Times New Roman" w:hAnsi="Arial" w:cs="Arial"/>
          <w:sz w:val="24"/>
          <w:szCs w:val="24"/>
          <w:lang w:val="es-ES" w:eastAsia="es-ES"/>
        </w:rPr>
        <w:t>(ISSAI 100 y 200) y las Directrices de Auditoría Financiera (ISSAI 1000 a 1810) de la Organización Internacional de Entidades Fiscalizadoras Superiores (INTOSAI);</w:t>
      </w:r>
    </w:p>
    <w:p w:rsidR="00D141D8" w:rsidRPr="00243761" w:rsidRDefault="00D141D8" w:rsidP="00200768">
      <w:pPr>
        <w:spacing w:after="0" w:line="360" w:lineRule="auto"/>
        <w:ind w:firstLine="851"/>
        <w:jc w:val="both"/>
        <w:rPr>
          <w:rFonts w:ascii="Arial" w:eastAsia="Times New Roman" w:hAnsi="Arial" w:cs="Arial"/>
          <w:spacing w:val="-3"/>
          <w:sz w:val="24"/>
          <w:szCs w:val="24"/>
          <w:lang w:val="es-ES_tradnl" w:eastAsia="es-ES"/>
        </w:rPr>
      </w:pPr>
      <w:r w:rsidRPr="00243761">
        <w:rPr>
          <w:rFonts w:ascii="Arial" w:eastAsia="Times New Roman" w:hAnsi="Arial" w:cs="Arial"/>
          <w:b/>
          <w:spacing w:val="-3"/>
          <w:sz w:val="24"/>
          <w:szCs w:val="24"/>
          <w:lang w:val="es-ES_tradnl" w:eastAsia="es-ES"/>
        </w:rPr>
        <w:t>CONSIDERANDO</w:t>
      </w:r>
      <w:r w:rsidRPr="00243761">
        <w:rPr>
          <w:rFonts w:ascii="Arial" w:eastAsia="Times New Roman" w:hAnsi="Arial" w:cs="Arial"/>
          <w:b/>
          <w:bCs/>
          <w:spacing w:val="-3"/>
          <w:sz w:val="24"/>
          <w:szCs w:val="24"/>
          <w:lang w:val="es-ES_tradnl" w:eastAsia="es-ES"/>
        </w:rPr>
        <w:t xml:space="preserve">: </w:t>
      </w:r>
      <w:r w:rsidRPr="00243761">
        <w:rPr>
          <w:rFonts w:ascii="Arial" w:eastAsia="Times New Roman" w:hAnsi="Arial" w:cs="Arial"/>
          <w:spacing w:val="-3"/>
          <w:sz w:val="24"/>
          <w:szCs w:val="24"/>
          <w:lang w:val="es-ES_tradnl" w:eastAsia="es-ES"/>
        </w:rPr>
        <w:t>que las conclusiones y evidencias obtenidas son las que se expresan en el Informe de Auditoría, que incluye Dict</w:t>
      </w:r>
      <w:r w:rsidR="009F7AF6" w:rsidRPr="00243761">
        <w:rPr>
          <w:rFonts w:ascii="Arial" w:eastAsia="Times New Roman" w:hAnsi="Arial" w:cs="Arial"/>
          <w:spacing w:val="-3"/>
          <w:sz w:val="24"/>
          <w:szCs w:val="24"/>
          <w:lang w:val="es-ES_tradnl" w:eastAsia="es-ES"/>
        </w:rPr>
        <w:t>á</w:t>
      </w:r>
      <w:r w:rsidRPr="00243761">
        <w:rPr>
          <w:rFonts w:ascii="Arial" w:eastAsia="Times New Roman" w:hAnsi="Arial" w:cs="Arial"/>
          <w:spacing w:val="-3"/>
          <w:sz w:val="24"/>
          <w:szCs w:val="24"/>
          <w:lang w:val="es-ES_tradnl" w:eastAsia="es-ES"/>
        </w:rPr>
        <w:t>men</w:t>
      </w:r>
      <w:r w:rsidR="009F7AF6" w:rsidRPr="00243761">
        <w:rPr>
          <w:rFonts w:ascii="Arial" w:eastAsia="Times New Roman" w:hAnsi="Arial" w:cs="Arial"/>
          <w:spacing w:val="-3"/>
          <w:sz w:val="24"/>
          <w:szCs w:val="24"/>
          <w:lang w:val="es-ES_tradnl" w:eastAsia="es-ES"/>
        </w:rPr>
        <w:t>es</w:t>
      </w:r>
      <w:r w:rsidRPr="00243761">
        <w:rPr>
          <w:rFonts w:ascii="Arial" w:eastAsia="Times New Roman" w:hAnsi="Arial" w:cs="Arial"/>
          <w:spacing w:val="-3"/>
          <w:sz w:val="24"/>
          <w:szCs w:val="24"/>
          <w:lang w:val="es-ES_tradnl" w:eastAsia="es-ES"/>
        </w:rPr>
        <w:t xml:space="preserve"> e Informe a la Administración;</w:t>
      </w:r>
    </w:p>
    <w:p w:rsidR="00D141D8" w:rsidRPr="00243761" w:rsidRDefault="00D141D8" w:rsidP="00200768">
      <w:pPr>
        <w:tabs>
          <w:tab w:val="left" w:pos="-720"/>
        </w:tabs>
        <w:suppressAutoHyphens/>
        <w:spacing w:after="0" w:line="360" w:lineRule="auto"/>
        <w:ind w:firstLine="851"/>
        <w:jc w:val="both"/>
        <w:rPr>
          <w:rFonts w:ascii="Arial" w:eastAsia="Times New Roman" w:hAnsi="Arial" w:cs="Arial"/>
          <w:spacing w:val="-3"/>
          <w:sz w:val="24"/>
          <w:szCs w:val="24"/>
          <w:lang w:val="es-ES_tradnl" w:eastAsia="es-ES"/>
        </w:rPr>
      </w:pPr>
      <w:r w:rsidRPr="00243761">
        <w:rPr>
          <w:rFonts w:ascii="Arial" w:eastAsia="Times New Roman" w:hAnsi="Arial" w:cs="Arial"/>
          <w:b/>
          <w:spacing w:val="-3"/>
          <w:sz w:val="24"/>
          <w:szCs w:val="24"/>
          <w:lang w:val="es-ES_tradnl" w:eastAsia="es-ES"/>
        </w:rPr>
        <w:t>ATENTO</w:t>
      </w:r>
      <w:r w:rsidRPr="00243761">
        <w:rPr>
          <w:rFonts w:ascii="Arial" w:eastAsia="Times New Roman" w:hAnsi="Arial" w:cs="Arial"/>
          <w:b/>
          <w:bCs/>
          <w:spacing w:val="-3"/>
          <w:sz w:val="24"/>
          <w:szCs w:val="24"/>
          <w:lang w:val="es-ES_tradnl" w:eastAsia="es-ES"/>
        </w:rPr>
        <w:t>:</w:t>
      </w:r>
      <w:r w:rsidRPr="00243761">
        <w:rPr>
          <w:rFonts w:ascii="Arial" w:eastAsia="Times New Roman" w:hAnsi="Arial" w:cs="Arial"/>
          <w:spacing w:val="-3"/>
          <w:sz w:val="24"/>
          <w:szCs w:val="24"/>
          <w:lang w:val="es-ES_tradnl" w:eastAsia="es-ES"/>
        </w:rPr>
        <w:t xml:space="preserve"> a lo dispuesto por los Artículos 191 y  211 Literal</w:t>
      </w:r>
      <w:r w:rsidR="009F7AF6" w:rsidRPr="00243761">
        <w:rPr>
          <w:rFonts w:ascii="Arial" w:eastAsia="Times New Roman" w:hAnsi="Arial" w:cs="Arial"/>
          <w:spacing w:val="-3"/>
          <w:sz w:val="24"/>
          <w:szCs w:val="24"/>
          <w:lang w:val="es-ES_tradnl" w:eastAsia="es-ES"/>
        </w:rPr>
        <w:t>es</w:t>
      </w:r>
      <w:r w:rsidRPr="00243761">
        <w:rPr>
          <w:rFonts w:ascii="Arial" w:eastAsia="Times New Roman" w:hAnsi="Arial" w:cs="Arial"/>
          <w:spacing w:val="-3"/>
          <w:sz w:val="24"/>
          <w:szCs w:val="24"/>
          <w:lang w:val="es-ES_tradnl" w:eastAsia="es-ES"/>
        </w:rPr>
        <w:t xml:space="preserve"> C)</w:t>
      </w:r>
      <w:r w:rsidR="009F7AF6" w:rsidRPr="00243761">
        <w:rPr>
          <w:rFonts w:ascii="Arial" w:eastAsia="Times New Roman" w:hAnsi="Arial" w:cs="Arial"/>
          <w:spacing w:val="-3"/>
          <w:sz w:val="24"/>
          <w:szCs w:val="24"/>
          <w:lang w:val="es-ES_tradnl" w:eastAsia="es-ES"/>
        </w:rPr>
        <w:t xml:space="preserve"> y E)</w:t>
      </w:r>
      <w:r w:rsidRPr="00243761">
        <w:rPr>
          <w:rFonts w:ascii="Arial" w:eastAsia="Times New Roman" w:hAnsi="Arial" w:cs="Arial"/>
          <w:spacing w:val="-3"/>
          <w:sz w:val="24"/>
          <w:szCs w:val="24"/>
          <w:lang w:val="es-ES_tradnl" w:eastAsia="es-ES"/>
        </w:rPr>
        <w:t xml:space="preserve"> de la Constitución de la República;</w:t>
      </w:r>
    </w:p>
    <w:p w:rsidR="00D141D8" w:rsidRPr="00243761" w:rsidRDefault="00D141D8" w:rsidP="00D141D8">
      <w:pPr>
        <w:keepNext/>
        <w:tabs>
          <w:tab w:val="left" w:pos="-720"/>
        </w:tabs>
        <w:spacing w:after="260" w:line="200" w:lineRule="atLeast"/>
        <w:jc w:val="center"/>
        <w:outlineLvl w:val="0"/>
        <w:rPr>
          <w:rFonts w:ascii="Arial" w:eastAsia="Times New Roman" w:hAnsi="Arial" w:cs="Arial"/>
          <w:b/>
          <w:sz w:val="24"/>
          <w:szCs w:val="24"/>
          <w:lang w:val="es-ES" w:eastAsia="es-ES"/>
        </w:rPr>
      </w:pPr>
      <w:r w:rsidRPr="00243761">
        <w:rPr>
          <w:rFonts w:ascii="Arial" w:eastAsia="Times New Roman" w:hAnsi="Arial" w:cs="Arial"/>
          <w:b/>
          <w:sz w:val="24"/>
          <w:szCs w:val="24"/>
          <w:lang w:val="es-ES" w:eastAsia="es-ES"/>
        </w:rPr>
        <w:t>EL TRIBUNAL ACUERDA</w:t>
      </w:r>
    </w:p>
    <w:p w:rsidR="00D141D8" w:rsidRPr="00243761" w:rsidRDefault="00D141D8" w:rsidP="00D141D8">
      <w:pPr>
        <w:widowControl w:val="0"/>
        <w:tabs>
          <w:tab w:val="left" w:pos="-720"/>
        </w:tabs>
        <w:suppressAutoHyphens/>
        <w:spacing w:after="0" w:line="360" w:lineRule="auto"/>
        <w:jc w:val="both"/>
        <w:rPr>
          <w:rFonts w:ascii="Arial" w:eastAsia="Times New Roman" w:hAnsi="Arial" w:cs="Arial"/>
          <w:snapToGrid w:val="0"/>
          <w:spacing w:val="-3"/>
          <w:sz w:val="24"/>
          <w:szCs w:val="20"/>
          <w:lang w:val="es-ES_tradnl" w:eastAsia="es-ES"/>
        </w:rPr>
      </w:pPr>
      <w:r w:rsidRPr="00243761">
        <w:rPr>
          <w:rFonts w:ascii="Arial" w:eastAsia="Times New Roman" w:hAnsi="Arial" w:cs="Arial"/>
          <w:b/>
          <w:bCs/>
          <w:snapToGrid w:val="0"/>
          <w:spacing w:val="-3"/>
          <w:sz w:val="24"/>
          <w:szCs w:val="20"/>
          <w:lang w:val="es-ES" w:eastAsia="es-ES"/>
        </w:rPr>
        <w:t xml:space="preserve">1) </w:t>
      </w:r>
      <w:r w:rsidRPr="00243761">
        <w:rPr>
          <w:rFonts w:ascii="Arial" w:eastAsia="Times New Roman" w:hAnsi="Arial" w:cs="Arial"/>
          <w:snapToGrid w:val="0"/>
          <w:spacing w:val="-3"/>
          <w:sz w:val="24"/>
          <w:szCs w:val="20"/>
          <w:lang w:val="es-ES_tradnl" w:eastAsia="es-ES"/>
        </w:rPr>
        <w:t xml:space="preserve">Emitir su Dictamen respecto a los </w:t>
      </w:r>
      <w:r w:rsidR="00DE218C" w:rsidRPr="00243761">
        <w:rPr>
          <w:rFonts w:ascii="Arial" w:eastAsia="Times New Roman" w:hAnsi="Arial" w:cs="Arial"/>
          <w:snapToGrid w:val="0"/>
          <w:spacing w:val="-3"/>
          <w:sz w:val="24"/>
          <w:szCs w:val="20"/>
          <w:lang w:val="es-ES_tradnl" w:eastAsia="es-ES"/>
        </w:rPr>
        <w:t>e</w:t>
      </w:r>
      <w:r w:rsidRPr="00243761">
        <w:rPr>
          <w:rFonts w:ascii="Arial" w:eastAsia="Times New Roman" w:hAnsi="Arial" w:cs="Arial"/>
          <w:snapToGrid w:val="0"/>
          <w:spacing w:val="-3"/>
          <w:sz w:val="24"/>
          <w:szCs w:val="20"/>
          <w:lang w:val="es-ES_tradnl" w:eastAsia="es-ES"/>
        </w:rPr>
        <w:t xml:space="preserve">stados </w:t>
      </w:r>
      <w:r w:rsidR="00194201" w:rsidRPr="00243761">
        <w:rPr>
          <w:rFonts w:ascii="Arial" w:eastAsia="Times New Roman" w:hAnsi="Arial" w:cs="Arial"/>
          <w:snapToGrid w:val="0"/>
          <w:spacing w:val="-3"/>
          <w:sz w:val="24"/>
          <w:szCs w:val="20"/>
          <w:lang w:val="es-ES_tradnl" w:eastAsia="es-ES"/>
        </w:rPr>
        <w:t>f</w:t>
      </w:r>
      <w:r w:rsidRPr="00243761">
        <w:rPr>
          <w:rFonts w:ascii="Arial" w:eastAsia="Times New Roman" w:hAnsi="Arial" w:cs="Arial"/>
          <w:snapToGrid w:val="0"/>
          <w:spacing w:val="-3"/>
          <w:sz w:val="24"/>
          <w:szCs w:val="20"/>
          <w:lang w:val="es-ES_tradnl" w:eastAsia="es-ES"/>
        </w:rPr>
        <w:t>inancieros citados</w:t>
      </w:r>
      <w:r w:rsidR="001B25BE" w:rsidRPr="00243761">
        <w:rPr>
          <w:rFonts w:ascii="Arial" w:eastAsia="Times New Roman" w:hAnsi="Arial" w:cs="Arial"/>
          <w:snapToGrid w:val="0"/>
          <w:spacing w:val="-3"/>
          <w:sz w:val="24"/>
          <w:szCs w:val="20"/>
          <w:lang w:val="es-ES_tradnl" w:eastAsia="es-ES"/>
        </w:rPr>
        <w:t xml:space="preserve"> precedentemente y al Balance de Ejecución Presupuestal </w:t>
      </w:r>
      <w:r w:rsidR="00140E0A" w:rsidRPr="00243761">
        <w:rPr>
          <w:rFonts w:ascii="Arial" w:eastAsia="Times New Roman" w:hAnsi="Arial" w:cs="Arial"/>
          <w:snapToGrid w:val="0"/>
          <w:spacing w:val="-3"/>
          <w:sz w:val="24"/>
          <w:szCs w:val="20"/>
          <w:lang w:val="es-ES_tradnl" w:eastAsia="es-ES"/>
        </w:rPr>
        <w:t xml:space="preserve">del Banco de Seguros del Estado </w:t>
      </w:r>
      <w:r w:rsidR="001B25BE" w:rsidRPr="00243761">
        <w:rPr>
          <w:rFonts w:ascii="Arial" w:eastAsia="Times New Roman" w:hAnsi="Arial" w:cs="Arial"/>
          <w:snapToGrid w:val="0"/>
          <w:spacing w:val="-3"/>
          <w:sz w:val="24"/>
          <w:szCs w:val="20"/>
          <w:lang w:val="es-ES_tradnl" w:eastAsia="es-ES"/>
        </w:rPr>
        <w:t>por el ejercicio finalizado el 31/12/2017</w:t>
      </w:r>
      <w:r w:rsidRPr="00243761">
        <w:rPr>
          <w:rFonts w:ascii="Arial" w:eastAsia="Times New Roman" w:hAnsi="Arial" w:cs="Arial"/>
          <w:snapToGrid w:val="0"/>
          <w:spacing w:val="-3"/>
          <w:sz w:val="24"/>
          <w:szCs w:val="20"/>
          <w:lang w:val="es-ES_tradnl" w:eastAsia="es-ES"/>
        </w:rPr>
        <w:t>, en los términos del Infor</w:t>
      </w:r>
      <w:r w:rsidR="00200768">
        <w:rPr>
          <w:rFonts w:ascii="Arial" w:eastAsia="Times New Roman" w:hAnsi="Arial" w:cs="Arial"/>
          <w:snapToGrid w:val="0"/>
          <w:spacing w:val="-3"/>
          <w:sz w:val="24"/>
          <w:szCs w:val="20"/>
          <w:lang w:val="es-ES_tradnl" w:eastAsia="es-ES"/>
        </w:rPr>
        <w:t>me de Auditoría que se adjunta;</w:t>
      </w:r>
    </w:p>
    <w:p w:rsidR="00D141D8" w:rsidRPr="00243761" w:rsidRDefault="00D141D8" w:rsidP="00D141D8">
      <w:pPr>
        <w:widowControl w:val="0"/>
        <w:tabs>
          <w:tab w:val="left" w:pos="-720"/>
        </w:tabs>
        <w:suppressAutoHyphens/>
        <w:spacing w:after="0" w:line="360" w:lineRule="auto"/>
        <w:jc w:val="both"/>
        <w:rPr>
          <w:rFonts w:ascii="Arial" w:eastAsia="Times New Roman" w:hAnsi="Arial" w:cs="Arial"/>
          <w:snapToGrid w:val="0"/>
          <w:spacing w:val="-3"/>
          <w:sz w:val="24"/>
          <w:szCs w:val="20"/>
          <w:lang w:val="es-ES_tradnl" w:eastAsia="es-ES"/>
        </w:rPr>
      </w:pPr>
      <w:r w:rsidRPr="00243761">
        <w:rPr>
          <w:rFonts w:ascii="Arial" w:eastAsia="Times New Roman" w:hAnsi="Arial" w:cs="Arial"/>
          <w:b/>
          <w:bCs/>
          <w:snapToGrid w:val="0"/>
          <w:spacing w:val="-3"/>
          <w:sz w:val="24"/>
          <w:szCs w:val="20"/>
          <w:lang w:val="es-ES_tradnl" w:eastAsia="es-ES"/>
        </w:rPr>
        <w:lastRenderedPageBreak/>
        <w:t xml:space="preserve">2) </w:t>
      </w:r>
      <w:r w:rsidR="001B25BE" w:rsidRPr="00243761">
        <w:rPr>
          <w:rFonts w:ascii="Arial" w:eastAsia="Times New Roman" w:hAnsi="Arial" w:cs="Arial"/>
          <w:bCs/>
          <w:snapToGrid w:val="0"/>
          <w:spacing w:val="-3"/>
          <w:sz w:val="24"/>
          <w:szCs w:val="20"/>
          <w:lang w:val="es-ES_tradnl" w:eastAsia="es-ES"/>
        </w:rPr>
        <w:t>Comunicar la presente Resolución al Ministerio de Economía y Finanzas, a la Oficina de Planeamiento y Presupuesto,</w:t>
      </w:r>
      <w:r w:rsidR="00140E0A" w:rsidRPr="00243761">
        <w:rPr>
          <w:rFonts w:ascii="Arial" w:eastAsia="Times New Roman" w:hAnsi="Arial" w:cs="Arial"/>
          <w:bCs/>
          <w:snapToGrid w:val="0"/>
          <w:spacing w:val="-3"/>
          <w:sz w:val="24"/>
          <w:szCs w:val="20"/>
          <w:lang w:val="es-ES_tradnl" w:eastAsia="es-ES"/>
        </w:rPr>
        <w:t xml:space="preserve"> a la Auditoría Interna de la Nación, </w:t>
      </w:r>
      <w:r w:rsidR="001B25BE" w:rsidRPr="00243761">
        <w:rPr>
          <w:rFonts w:ascii="Arial" w:eastAsia="Times New Roman" w:hAnsi="Arial" w:cs="Arial"/>
          <w:bCs/>
          <w:snapToGrid w:val="0"/>
          <w:spacing w:val="-3"/>
          <w:sz w:val="24"/>
          <w:szCs w:val="20"/>
          <w:lang w:val="es-ES_tradnl" w:eastAsia="es-ES"/>
        </w:rPr>
        <w:t>a los Contadores Delegados y al Organismo; y</w:t>
      </w:r>
    </w:p>
    <w:p w:rsidR="00D141D8" w:rsidRPr="00243761" w:rsidRDefault="00D141D8" w:rsidP="001B25BE">
      <w:pPr>
        <w:widowControl w:val="0"/>
        <w:tabs>
          <w:tab w:val="left" w:pos="-720"/>
        </w:tabs>
        <w:suppressAutoHyphens/>
        <w:spacing w:after="0" w:line="360" w:lineRule="auto"/>
        <w:jc w:val="both"/>
        <w:rPr>
          <w:rFonts w:ascii="Arial" w:eastAsia="Times New Roman" w:hAnsi="Arial" w:cs="Arial"/>
          <w:snapToGrid w:val="0"/>
          <w:spacing w:val="-3"/>
          <w:sz w:val="24"/>
          <w:szCs w:val="20"/>
          <w:lang w:val="es-ES_tradnl" w:eastAsia="es-ES"/>
        </w:rPr>
      </w:pPr>
      <w:r w:rsidRPr="00243761">
        <w:rPr>
          <w:rFonts w:ascii="Arial" w:eastAsia="Times New Roman" w:hAnsi="Arial" w:cs="Arial"/>
          <w:b/>
          <w:bCs/>
          <w:snapToGrid w:val="0"/>
          <w:spacing w:val="-3"/>
          <w:sz w:val="24"/>
          <w:szCs w:val="20"/>
          <w:lang w:val="es-ES_tradnl" w:eastAsia="es-ES"/>
        </w:rPr>
        <w:t xml:space="preserve">3) </w:t>
      </w:r>
      <w:r w:rsidRPr="00243761">
        <w:rPr>
          <w:rFonts w:ascii="Arial" w:eastAsia="Times New Roman" w:hAnsi="Arial" w:cs="Arial"/>
          <w:b/>
          <w:bCs/>
          <w:sz w:val="24"/>
          <w:szCs w:val="24"/>
          <w:lang w:val="es-ES" w:eastAsia="es-ES"/>
        </w:rPr>
        <w:t xml:space="preserve"> </w:t>
      </w:r>
      <w:r w:rsidRPr="00243761">
        <w:rPr>
          <w:rFonts w:ascii="Arial" w:eastAsia="Times New Roman" w:hAnsi="Arial" w:cs="Arial"/>
          <w:sz w:val="24"/>
          <w:szCs w:val="24"/>
          <w:lang w:val="es-ES" w:eastAsia="es-ES"/>
        </w:rPr>
        <w:t>Dar cuenta a la Asamblea General.</w:t>
      </w:r>
    </w:p>
    <w:p w:rsidR="00D141D8" w:rsidRPr="00243761" w:rsidRDefault="00D141D8" w:rsidP="00D141D8">
      <w:pPr>
        <w:tabs>
          <w:tab w:val="left" w:pos="-720"/>
        </w:tabs>
        <w:suppressAutoHyphens/>
        <w:spacing w:after="0" w:line="360" w:lineRule="auto"/>
        <w:jc w:val="both"/>
        <w:rPr>
          <w:rFonts w:ascii="Arial" w:eastAsia="Times New Roman" w:hAnsi="Arial" w:cs="Times New Roman"/>
          <w:sz w:val="24"/>
          <w:szCs w:val="24"/>
          <w:lang w:val="es-ES_tradnl" w:eastAsia="es-ES"/>
        </w:rPr>
      </w:pPr>
    </w:p>
    <w:p w:rsidR="00D141D8" w:rsidRPr="00243761" w:rsidRDefault="00D141D8" w:rsidP="00D141D8">
      <w:pPr>
        <w:tabs>
          <w:tab w:val="left" w:pos="-720"/>
        </w:tabs>
        <w:suppressAutoHyphens/>
        <w:spacing w:after="0" w:line="360" w:lineRule="auto"/>
        <w:jc w:val="both"/>
        <w:rPr>
          <w:rFonts w:ascii="Arial" w:eastAsia="Times New Roman" w:hAnsi="Arial" w:cs="Times New Roman"/>
          <w:sz w:val="24"/>
          <w:szCs w:val="24"/>
          <w:lang w:val="es-ES_tradnl" w:eastAsia="es-ES"/>
        </w:rPr>
      </w:pPr>
    </w:p>
    <w:p w:rsidR="00D141D8" w:rsidRPr="00243761" w:rsidRDefault="009960B3" w:rsidP="00D141D8">
      <w:pPr>
        <w:tabs>
          <w:tab w:val="left" w:pos="-720"/>
        </w:tabs>
        <w:suppressAutoHyphens/>
        <w:spacing w:after="0" w:line="360" w:lineRule="auto"/>
        <w:jc w:val="both"/>
        <w:rPr>
          <w:rFonts w:ascii="Arial" w:eastAsia="Times New Roman" w:hAnsi="Arial" w:cs="Times New Roman"/>
          <w:sz w:val="24"/>
          <w:szCs w:val="24"/>
          <w:lang w:val="es-ES_tradnl" w:eastAsia="es-ES"/>
        </w:rPr>
      </w:pPr>
      <w:proofErr w:type="spellStart"/>
      <w:proofErr w:type="gramStart"/>
      <w:r>
        <w:rPr>
          <w:rFonts w:ascii="Arial" w:eastAsia="Times New Roman" w:hAnsi="Arial" w:cs="Times New Roman"/>
          <w:sz w:val="24"/>
          <w:szCs w:val="24"/>
          <w:lang w:val="es-ES_tradnl" w:eastAsia="es-ES"/>
        </w:rPr>
        <w:t>cr</w:t>
      </w:r>
      <w:proofErr w:type="spellEnd"/>
      <w:proofErr w:type="gramEnd"/>
    </w:p>
    <w:p w:rsidR="00D141D8" w:rsidRPr="00243761" w:rsidRDefault="00D141D8" w:rsidP="00D141D8">
      <w:pPr>
        <w:tabs>
          <w:tab w:val="left" w:pos="-720"/>
        </w:tabs>
        <w:suppressAutoHyphens/>
        <w:spacing w:after="0" w:line="360" w:lineRule="auto"/>
        <w:jc w:val="both"/>
        <w:rPr>
          <w:rFonts w:ascii="Arial" w:eastAsia="Times New Roman" w:hAnsi="Arial" w:cs="Times New Roman"/>
          <w:sz w:val="24"/>
          <w:szCs w:val="24"/>
          <w:lang w:val="es-ES_tradnl" w:eastAsia="es-ES"/>
        </w:rPr>
      </w:pPr>
    </w:p>
    <w:p w:rsidR="00D141D8" w:rsidRPr="00243761" w:rsidRDefault="00D141D8" w:rsidP="00D141D8">
      <w:pPr>
        <w:tabs>
          <w:tab w:val="left" w:pos="-720"/>
        </w:tabs>
        <w:suppressAutoHyphens/>
        <w:spacing w:after="0" w:line="360" w:lineRule="auto"/>
        <w:jc w:val="both"/>
        <w:rPr>
          <w:rFonts w:ascii="Arial" w:eastAsia="Times New Roman" w:hAnsi="Arial" w:cs="Times New Roman"/>
          <w:sz w:val="24"/>
          <w:szCs w:val="24"/>
          <w:lang w:val="es-ES_tradnl" w:eastAsia="es-ES"/>
        </w:rPr>
      </w:pPr>
    </w:p>
    <w:p w:rsidR="00D141D8" w:rsidRPr="00243761" w:rsidRDefault="00D141D8" w:rsidP="00D141D8">
      <w:pPr>
        <w:tabs>
          <w:tab w:val="left" w:pos="-720"/>
        </w:tabs>
        <w:suppressAutoHyphens/>
        <w:spacing w:after="0" w:line="360" w:lineRule="auto"/>
        <w:jc w:val="both"/>
        <w:rPr>
          <w:rFonts w:ascii="Arial" w:eastAsia="Times New Roman" w:hAnsi="Arial" w:cs="Times New Roman"/>
          <w:sz w:val="24"/>
          <w:szCs w:val="24"/>
          <w:lang w:val="es-ES_tradnl" w:eastAsia="es-ES"/>
        </w:rPr>
      </w:pPr>
    </w:p>
    <w:p w:rsidR="00D141D8" w:rsidRPr="00243761" w:rsidRDefault="00D141D8" w:rsidP="00D141D8">
      <w:pPr>
        <w:tabs>
          <w:tab w:val="left" w:pos="-720"/>
        </w:tabs>
        <w:suppressAutoHyphens/>
        <w:spacing w:after="0" w:line="360" w:lineRule="auto"/>
        <w:jc w:val="both"/>
        <w:rPr>
          <w:rFonts w:ascii="Arial" w:eastAsia="Times New Roman" w:hAnsi="Arial" w:cs="Times New Roman"/>
          <w:sz w:val="24"/>
          <w:szCs w:val="24"/>
          <w:lang w:val="es-ES_tradnl" w:eastAsia="es-ES"/>
        </w:rPr>
      </w:pPr>
    </w:p>
    <w:p w:rsidR="00D141D8" w:rsidRPr="00243761" w:rsidRDefault="00D141D8" w:rsidP="00D141D8">
      <w:pPr>
        <w:tabs>
          <w:tab w:val="left" w:pos="-720"/>
        </w:tabs>
        <w:suppressAutoHyphens/>
        <w:spacing w:after="0" w:line="360" w:lineRule="auto"/>
        <w:jc w:val="both"/>
        <w:rPr>
          <w:rFonts w:ascii="Arial" w:eastAsia="Times New Roman" w:hAnsi="Arial" w:cs="Times New Roman"/>
          <w:sz w:val="24"/>
          <w:szCs w:val="24"/>
          <w:lang w:val="es-ES_tradnl" w:eastAsia="es-ES"/>
        </w:rPr>
      </w:pPr>
    </w:p>
    <w:p w:rsidR="00D141D8" w:rsidRPr="00243761" w:rsidRDefault="00D141D8" w:rsidP="00D141D8">
      <w:pPr>
        <w:tabs>
          <w:tab w:val="left" w:pos="-720"/>
        </w:tabs>
        <w:suppressAutoHyphens/>
        <w:spacing w:after="0" w:line="360" w:lineRule="auto"/>
        <w:jc w:val="both"/>
        <w:rPr>
          <w:rFonts w:ascii="Arial" w:eastAsia="Times New Roman" w:hAnsi="Arial" w:cs="Times New Roman"/>
          <w:sz w:val="24"/>
          <w:szCs w:val="24"/>
          <w:lang w:val="es-ES_tradnl" w:eastAsia="es-ES"/>
        </w:rPr>
      </w:pPr>
    </w:p>
    <w:p w:rsidR="00D141D8" w:rsidRPr="00243761" w:rsidRDefault="00D141D8" w:rsidP="00D141D8">
      <w:pPr>
        <w:spacing w:after="0" w:line="240" w:lineRule="auto"/>
        <w:rPr>
          <w:rFonts w:ascii="Arial" w:eastAsia="Times New Roman" w:hAnsi="Arial" w:cs="Times New Roman"/>
          <w:sz w:val="24"/>
          <w:szCs w:val="24"/>
          <w:lang w:val="es-ES_tradnl" w:eastAsia="es-ES"/>
        </w:rPr>
      </w:pPr>
    </w:p>
    <w:p w:rsidR="00D141D8" w:rsidRPr="00243761" w:rsidRDefault="00D141D8" w:rsidP="00D141D8">
      <w:pPr>
        <w:spacing w:after="0" w:line="240" w:lineRule="auto"/>
        <w:rPr>
          <w:rFonts w:ascii="Arial" w:eastAsia="Times New Roman" w:hAnsi="Arial" w:cs="Times New Roman"/>
          <w:sz w:val="24"/>
          <w:szCs w:val="24"/>
          <w:lang w:val="es-ES_tradnl" w:eastAsia="es-ES"/>
        </w:rPr>
      </w:pPr>
    </w:p>
    <w:p w:rsidR="00D141D8" w:rsidRPr="00243761" w:rsidRDefault="00D141D8" w:rsidP="00D141D8">
      <w:pPr>
        <w:spacing w:after="0" w:line="240" w:lineRule="auto"/>
        <w:rPr>
          <w:rFonts w:ascii="Arial" w:eastAsia="Times New Roman" w:hAnsi="Arial" w:cs="Times New Roman"/>
          <w:sz w:val="24"/>
          <w:szCs w:val="24"/>
          <w:lang w:val="es-ES_tradnl" w:eastAsia="es-ES"/>
        </w:rPr>
      </w:pPr>
    </w:p>
    <w:p w:rsidR="00D141D8" w:rsidRPr="00243761" w:rsidRDefault="00D141D8" w:rsidP="00D141D8">
      <w:pPr>
        <w:spacing w:after="0" w:line="240" w:lineRule="auto"/>
        <w:rPr>
          <w:rFonts w:ascii="Arial" w:eastAsia="Times New Roman" w:hAnsi="Arial" w:cs="Times New Roman"/>
          <w:sz w:val="24"/>
          <w:szCs w:val="24"/>
          <w:lang w:val="es-ES_tradnl" w:eastAsia="es-ES"/>
        </w:rPr>
      </w:pPr>
    </w:p>
    <w:p w:rsidR="00D141D8" w:rsidRDefault="00D141D8"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200768" w:rsidRDefault="00200768" w:rsidP="00D141D8">
      <w:pPr>
        <w:spacing w:after="0" w:line="240" w:lineRule="auto"/>
        <w:rPr>
          <w:rFonts w:ascii="Arial" w:eastAsia="Times New Roman" w:hAnsi="Arial" w:cs="Times New Roman"/>
          <w:sz w:val="24"/>
          <w:szCs w:val="24"/>
          <w:lang w:val="es-ES_tradnl" w:eastAsia="es-ES"/>
        </w:rPr>
      </w:pPr>
    </w:p>
    <w:p w:rsidR="00200768" w:rsidRDefault="00200768" w:rsidP="00D141D8">
      <w:pPr>
        <w:spacing w:after="0" w:line="240" w:lineRule="auto"/>
        <w:rPr>
          <w:rFonts w:ascii="Arial" w:eastAsia="Times New Roman" w:hAnsi="Arial" w:cs="Times New Roman"/>
          <w:sz w:val="24"/>
          <w:szCs w:val="24"/>
          <w:lang w:val="es-ES_tradnl" w:eastAsia="es-ES"/>
        </w:rPr>
      </w:pPr>
    </w:p>
    <w:p w:rsidR="00200768" w:rsidRDefault="00200768"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Pr="003A5E55" w:rsidRDefault="003A5E55" w:rsidP="009245CD">
      <w:pPr>
        <w:spacing w:line="360" w:lineRule="auto"/>
        <w:jc w:val="center"/>
        <w:rPr>
          <w:rFonts w:ascii="Arial" w:hAnsi="Arial" w:cs="Arial"/>
          <w:b/>
          <w:sz w:val="24"/>
          <w:szCs w:val="24"/>
        </w:rPr>
      </w:pPr>
      <w:r w:rsidRPr="003A5E55">
        <w:rPr>
          <w:rFonts w:ascii="Arial" w:hAnsi="Arial" w:cs="Arial"/>
          <w:b/>
          <w:sz w:val="24"/>
          <w:szCs w:val="24"/>
        </w:rPr>
        <w:t>DICTAMEN</w:t>
      </w:r>
    </w:p>
    <w:p w:rsidR="003A5E55" w:rsidRPr="003A5E55" w:rsidRDefault="003A5E55" w:rsidP="009245CD">
      <w:pPr>
        <w:spacing w:line="360" w:lineRule="auto"/>
        <w:jc w:val="both"/>
        <w:rPr>
          <w:rFonts w:ascii="Arial" w:hAnsi="Arial" w:cs="Arial"/>
          <w:sz w:val="24"/>
          <w:szCs w:val="24"/>
        </w:rPr>
      </w:pPr>
    </w:p>
    <w:p w:rsidR="003A5E55" w:rsidRPr="003A5E55" w:rsidRDefault="003A5E55" w:rsidP="009245CD">
      <w:pPr>
        <w:spacing w:line="360" w:lineRule="auto"/>
        <w:jc w:val="both"/>
        <w:rPr>
          <w:rFonts w:ascii="Arial" w:hAnsi="Arial" w:cs="Arial"/>
          <w:sz w:val="24"/>
          <w:szCs w:val="24"/>
        </w:rPr>
      </w:pPr>
      <w:r w:rsidRPr="003A5E55">
        <w:rPr>
          <w:rFonts w:ascii="Arial" w:hAnsi="Arial" w:cs="Arial"/>
          <w:b/>
          <w:sz w:val="24"/>
          <w:szCs w:val="24"/>
        </w:rPr>
        <w:t>Opinión sin salvedades</w:t>
      </w:r>
    </w:p>
    <w:p w:rsidR="003A5E55" w:rsidRPr="003A5E55" w:rsidRDefault="003A5E55" w:rsidP="009245CD">
      <w:pPr>
        <w:spacing w:line="360" w:lineRule="auto"/>
        <w:jc w:val="both"/>
        <w:rPr>
          <w:rFonts w:ascii="Arial" w:hAnsi="Arial" w:cs="Arial"/>
          <w:sz w:val="24"/>
          <w:szCs w:val="24"/>
        </w:rPr>
      </w:pPr>
      <w:r w:rsidRPr="003A5E55">
        <w:rPr>
          <w:rFonts w:ascii="Arial" w:hAnsi="Arial" w:cs="Arial"/>
          <w:sz w:val="24"/>
          <w:szCs w:val="24"/>
        </w:rPr>
        <w:t>El Tribunal de Cuentas ha auditado los estados financieros del</w:t>
      </w:r>
      <w:r w:rsidRPr="003A5E55">
        <w:rPr>
          <w:rFonts w:ascii="Arial" w:hAnsi="Arial" w:cs="Arial"/>
          <w:i/>
          <w:sz w:val="24"/>
          <w:szCs w:val="24"/>
        </w:rPr>
        <w:t xml:space="preserve"> </w:t>
      </w:r>
      <w:r w:rsidRPr="003A5E55">
        <w:rPr>
          <w:rFonts w:ascii="Arial" w:hAnsi="Arial" w:cs="Arial"/>
          <w:sz w:val="24"/>
          <w:szCs w:val="24"/>
        </w:rPr>
        <w:t>Banco de Seguros del Estado (BSE)</w:t>
      </w:r>
      <w:r w:rsidRPr="003A5E55">
        <w:rPr>
          <w:rFonts w:ascii="Arial" w:hAnsi="Arial" w:cs="Arial"/>
          <w:i/>
          <w:sz w:val="24"/>
          <w:szCs w:val="24"/>
        </w:rPr>
        <w:t xml:space="preserve"> </w:t>
      </w:r>
      <w:r w:rsidRPr="003A5E55">
        <w:rPr>
          <w:rFonts w:ascii="Arial" w:hAnsi="Arial" w:cs="Arial"/>
          <w:sz w:val="24"/>
          <w:szCs w:val="24"/>
        </w:rPr>
        <w:t>los que comprenden el Estado de Situación Patrimonial al 31/12/2017, los correspondientes Estados de Resultados, de Flujos de Efectivo y de Evolución del Patrimonio por el ejercicio anual finalizado en esa fecha, las notas de políticas contables significativas aplicadas, otras n</w:t>
      </w:r>
      <w:r w:rsidR="00200768">
        <w:rPr>
          <w:rFonts w:ascii="Arial" w:hAnsi="Arial" w:cs="Arial"/>
          <w:sz w:val="24"/>
          <w:szCs w:val="24"/>
        </w:rPr>
        <w:t>otas explicativas y los Anexos.</w:t>
      </w:r>
    </w:p>
    <w:p w:rsidR="003A5E55" w:rsidRPr="003A5E55" w:rsidRDefault="003A5E55" w:rsidP="009245CD">
      <w:pPr>
        <w:spacing w:line="360" w:lineRule="auto"/>
        <w:jc w:val="both"/>
        <w:rPr>
          <w:rFonts w:ascii="Arial" w:hAnsi="Arial" w:cs="Arial"/>
          <w:sz w:val="24"/>
          <w:szCs w:val="24"/>
        </w:rPr>
      </w:pPr>
      <w:r w:rsidRPr="003A5E55">
        <w:rPr>
          <w:rFonts w:ascii="Arial" w:hAnsi="Arial" w:cs="Arial"/>
          <w:sz w:val="24"/>
          <w:szCs w:val="24"/>
        </w:rPr>
        <w:t>En opinión del Tribunal de Cuentas los estados financieros referidos precedentemente presentan razonablemente, en todos sus aspectos significativos, la situación financiera del BSE al 31/12/2017, los resultados de sus operaciones y los flujos de efectivo correspondientes al ejercicio anual terminado en esa fecha, de acuerdo con las normas contables y los criterios de valuación y presentación dictados por la Superintendencia de Servicios Financieros del Banco Central del Uruguay (BCU) y la Ordenanza Nº 89 del Tribunal de Cuentas.</w:t>
      </w:r>
    </w:p>
    <w:p w:rsidR="003A5E55" w:rsidRPr="003A5E55" w:rsidRDefault="003A5E55" w:rsidP="009245CD">
      <w:pPr>
        <w:spacing w:line="360" w:lineRule="auto"/>
        <w:jc w:val="both"/>
        <w:rPr>
          <w:rFonts w:ascii="Arial" w:hAnsi="Arial" w:cs="Arial"/>
          <w:b/>
          <w:sz w:val="24"/>
          <w:szCs w:val="24"/>
        </w:rPr>
      </w:pPr>
      <w:r w:rsidRPr="003A5E55">
        <w:rPr>
          <w:rFonts w:ascii="Arial" w:hAnsi="Arial" w:cs="Arial"/>
          <w:b/>
          <w:sz w:val="24"/>
          <w:szCs w:val="24"/>
        </w:rPr>
        <w:t>Opinión respecto al cumplimiento de la normativa aplicable</w:t>
      </w:r>
    </w:p>
    <w:p w:rsidR="003A5E55" w:rsidRPr="003A5E55" w:rsidRDefault="003A5E55" w:rsidP="00E72E26">
      <w:pPr>
        <w:spacing w:line="360" w:lineRule="auto"/>
        <w:jc w:val="both"/>
        <w:rPr>
          <w:rFonts w:ascii="Arial" w:hAnsi="Arial" w:cs="Arial"/>
          <w:sz w:val="24"/>
          <w:szCs w:val="24"/>
        </w:rPr>
      </w:pPr>
      <w:r w:rsidRPr="003A5E55">
        <w:rPr>
          <w:rFonts w:ascii="Arial" w:hAnsi="Arial" w:cs="Arial"/>
          <w:sz w:val="24"/>
          <w:szCs w:val="24"/>
        </w:rPr>
        <w:t>En el curso de la auditoría se han constatado el incumplimiento al Numeral 1.6 de la Ordenanza N°89 del Tribunal de Cuentas.</w:t>
      </w:r>
    </w:p>
    <w:p w:rsidR="003A5E55" w:rsidRPr="003A5E55" w:rsidRDefault="003A5E55" w:rsidP="009245CD">
      <w:pPr>
        <w:spacing w:line="360" w:lineRule="auto"/>
        <w:jc w:val="both"/>
        <w:rPr>
          <w:rFonts w:ascii="Arial" w:hAnsi="Arial" w:cs="Arial"/>
          <w:b/>
          <w:sz w:val="24"/>
          <w:szCs w:val="24"/>
        </w:rPr>
      </w:pPr>
      <w:r w:rsidRPr="003A5E55">
        <w:rPr>
          <w:rFonts w:ascii="Arial" w:hAnsi="Arial" w:cs="Arial"/>
          <w:b/>
          <w:sz w:val="24"/>
          <w:szCs w:val="24"/>
        </w:rPr>
        <w:t>Bases para  la Opinión sin salvedades</w:t>
      </w:r>
    </w:p>
    <w:p w:rsidR="003A5E55" w:rsidRPr="003A5E55" w:rsidRDefault="003A5E55" w:rsidP="009245CD">
      <w:pPr>
        <w:spacing w:line="360" w:lineRule="auto"/>
        <w:jc w:val="both"/>
        <w:rPr>
          <w:rFonts w:ascii="Arial" w:hAnsi="Arial" w:cs="Arial"/>
          <w:sz w:val="24"/>
          <w:szCs w:val="24"/>
        </w:rPr>
      </w:pPr>
      <w:r w:rsidRPr="003A5E55">
        <w:rPr>
          <w:rFonts w:ascii="Arial" w:hAnsi="Arial" w:cs="Arial"/>
          <w:sz w:val="24"/>
          <w:szCs w:val="24"/>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3A5E55">
        <w:rPr>
          <w:rFonts w:ascii="Arial" w:hAnsi="Arial" w:cs="Arial"/>
          <w:i/>
          <w:sz w:val="24"/>
          <w:szCs w:val="24"/>
        </w:rPr>
        <w:t>Responsabilidad del Tribunal de Cuentas por la auditoría de los estados financieros</w:t>
      </w:r>
      <w:r w:rsidRPr="003A5E55">
        <w:rPr>
          <w:rFonts w:ascii="Arial" w:hAnsi="Arial" w:cs="Arial"/>
          <w:sz w:val="24"/>
          <w:szCs w:val="24"/>
        </w:rPr>
        <w:t>. Este Tribunal es independiente del BSE y ha cumplido con las disposiciones de su Código de Ética, elaborado en concordancia con el Código de Ética de la INTOSAI. Se considera que la evidencia de auditoría obtenida es suficiente y adecuada para proporcionar una base razon</w:t>
      </w:r>
      <w:r w:rsidR="00200768">
        <w:rPr>
          <w:rFonts w:ascii="Arial" w:hAnsi="Arial" w:cs="Arial"/>
          <w:sz w:val="24"/>
          <w:szCs w:val="24"/>
        </w:rPr>
        <w:t>able para sustentar la opinión.</w:t>
      </w:r>
    </w:p>
    <w:p w:rsidR="003A5E55" w:rsidRPr="003A5E55" w:rsidRDefault="003A5E55" w:rsidP="009245CD">
      <w:pPr>
        <w:spacing w:line="360" w:lineRule="auto"/>
        <w:jc w:val="both"/>
        <w:rPr>
          <w:rFonts w:ascii="Arial" w:hAnsi="Arial" w:cs="Arial"/>
          <w:b/>
          <w:sz w:val="24"/>
          <w:szCs w:val="24"/>
        </w:rPr>
      </w:pPr>
      <w:r w:rsidRPr="003A5E55">
        <w:rPr>
          <w:rFonts w:ascii="Arial" w:hAnsi="Arial" w:cs="Arial"/>
          <w:b/>
          <w:sz w:val="24"/>
          <w:szCs w:val="24"/>
        </w:rPr>
        <w:t>Otra información</w:t>
      </w:r>
    </w:p>
    <w:p w:rsidR="003A5E55" w:rsidRPr="003A5E55" w:rsidRDefault="003A5E55" w:rsidP="00EB561E">
      <w:pPr>
        <w:spacing w:line="360" w:lineRule="auto"/>
        <w:jc w:val="both"/>
        <w:rPr>
          <w:rFonts w:ascii="Arial" w:hAnsi="Arial" w:cs="Arial"/>
          <w:sz w:val="24"/>
          <w:szCs w:val="24"/>
        </w:rPr>
      </w:pPr>
      <w:r w:rsidRPr="003A5E55">
        <w:rPr>
          <w:rFonts w:ascii="Arial" w:hAnsi="Arial" w:cs="Arial"/>
          <w:sz w:val="24"/>
          <w:szCs w:val="24"/>
        </w:rPr>
        <w:t>La Dirección del BSE es responsable por la otra información anexa a los estados financieros. La otra información comprende la Memoria explicativa.</w:t>
      </w:r>
    </w:p>
    <w:p w:rsidR="003A5E55" w:rsidRPr="003A5E55" w:rsidRDefault="003A5E55" w:rsidP="00EB561E">
      <w:pPr>
        <w:spacing w:line="360" w:lineRule="auto"/>
        <w:jc w:val="both"/>
        <w:rPr>
          <w:rFonts w:ascii="Arial" w:hAnsi="Arial" w:cs="Arial"/>
          <w:sz w:val="24"/>
          <w:szCs w:val="24"/>
        </w:rPr>
      </w:pPr>
      <w:r w:rsidRPr="003A5E55">
        <w:rPr>
          <w:rFonts w:ascii="Arial" w:hAnsi="Arial" w:cs="Arial"/>
          <w:sz w:val="24"/>
          <w:szCs w:val="24"/>
        </w:rPr>
        <w:t>La opinión del Tribunal de Cuentas sobre los estados financieros no contempla la otra información y no se expresa ninguna forma de opinión sobre la misma.</w:t>
      </w:r>
    </w:p>
    <w:p w:rsidR="003A5E55" w:rsidRPr="003A5E55" w:rsidRDefault="003A5E55" w:rsidP="009245CD">
      <w:pPr>
        <w:spacing w:line="360" w:lineRule="auto"/>
        <w:jc w:val="both"/>
        <w:rPr>
          <w:rFonts w:ascii="Arial" w:hAnsi="Arial" w:cs="Arial"/>
          <w:b/>
          <w:sz w:val="24"/>
          <w:szCs w:val="24"/>
        </w:rPr>
      </w:pPr>
      <w:r w:rsidRPr="003A5E55">
        <w:rPr>
          <w:rFonts w:ascii="Arial" w:hAnsi="Arial" w:cs="Arial"/>
          <w:b/>
          <w:sz w:val="24"/>
          <w:szCs w:val="24"/>
        </w:rPr>
        <w:t>Responsabilidad del Directorio en relac</w:t>
      </w:r>
      <w:r w:rsidR="00200768">
        <w:rPr>
          <w:rFonts w:ascii="Arial" w:hAnsi="Arial" w:cs="Arial"/>
          <w:b/>
          <w:sz w:val="24"/>
          <w:szCs w:val="24"/>
        </w:rPr>
        <w:t>ión con los estados financieros</w:t>
      </w:r>
    </w:p>
    <w:p w:rsidR="003A5E55" w:rsidRPr="003A5E55" w:rsidRDefault="003A5E55" w:rsidP="009245CD">
      <w:pPr>
        <w:spacing w:line="360" w:lineRule="auto"/>
        <w:jc w:val="both"/>
        <w:rPr>
          <w:rFonts w:ascii="Arial" w:hAnsi="Arial" w:cs="Arial"/>
          <w:sz w:val="24"/>
          <w:szCs w:val="24"/>
        </w:rPr>
      </w:pPr>
      <w:r w:rsidRPr="003A5E55">
        <w:rPr>
          <w:rFonts w:ascii="Arial" w:hAnsi="Arial" w:cs="Arial"/>
          <w:sz w:val="24"/>
          <w:szCs w:val="24"/>
        </w:rPr>
        <w:t>El Directorio del BSE es responsable por la preparación y presentación razonable de los estados financieros de acuerdo con las normas contables y los criterios de valuación y presentación dictados por la Superintendencia de Servicios Financieros del BCU. En lo pertinente la Dirección del BCU es responsable de aplicar los criterios establecidos en la Ordenanza Nº 89 del Tribunal de Cuentas y del control interno que la administración de la entidad consideró necesario para permitir la preparación de estados financieros libres de errores significativos ya sea debido a fraude o error.</w:t>
      </w:r>
    </w:p>
    <w:p w:rsidR="003A5E55" w:rsidRDefault="003A5E55" w:rsidP="009245CD">
      <w:pPr>
        <w:spacing w:line="360" w:lineRule="auto"/>
        <w:jc w:val="both"/>
        <w:rPr>
          <w:rFonts w:ascii="Arial" w:hAnsi="Arial" w:cs="Arial"/>
          <w:sz w:val="24"/>
          <w:szCs w:val="24"/>
        </w:rPr>
      </w:pPr>
      <w:r w:rsidRPr="003A5E55">
        <w:rPr>
          <w:rFonts w:ascii="Arial" w:hAnsi="Arial" w:cs="Arial"/>
          <w:sz w:val="24"/>
          <w:szCs w:val="24"/>
        </w:rPr>
        <w:t>El Directorio es responsable de supervisar el proceso de preparación de los</w:t>
      </w:r>
      <w:r w:rsidR="00200768">
        <w:rPr>
          <w:rFonts w:ascii="Arial" w:hAnsi="Arial" w:cs="Arial"/>
          <w:sz w:val="24"/>
          <w:szCs w:val="24"/>
        </w:rPr>
        <w:t xml:space="preserve"> estados financieros del BSE.</w:t>
      </w:r>
    </w:p>
    <w:p w:rsidR="00200768" w:rsidRDefault="00200768" w:rsidP="009245CD">
      <w:pPr>
        <w:spacing w:line="360" w:lineRule="auto"/>
        <w:jc w:val="both"/>
        <w:rPr>
          <w:rFonts w:ascii="Arial" w:hAnsi="Arial" w:cs="Arial"/>
          <w:sz w:val="24"/>
          <w:szCs w:val="24"/>
        </w:rPr>
      </w:pPr>
    </w:p>
    <w:p w:rsidR="00200768" w:rsidRPr="003A5E55" w:rsidRDefault="00200768" w:rsidP="009245CD">
      <w:pPr>
        <w:spacing w:line="360" w:lineRule="auto"/>
        <w:jc w:val="both"/>
        <w:rPr>
          <w:rFonts w:ascii="Arial" w:hAnsi="Arial" w:cs="Arial"/>
          <w:sz w:val="24"/>
          <w:szCs w:val="24"/>
        </w:rPr>
      </w:pPr>
    </w:p>
    <w:p w:rsidR="003A5E55" w:rsidRPr="003A5E55" w:rsidRDefault="003A5E55" w:rsidP="009245CD">
      <w:pPr>
        <w:spacing w:line="360" w:lineRule="auto"/>
        <w:jc w:val="both"/>
        <w:rPr>
          <w:rFonts w:ascii="Arial" w:hAnsi="Arial" w:cs="Arial"/>
          <w:b/>
          <w:sz w:val="24"/>
          <w:szCs w:val="24"/>
        </w:rPr>
      </w:pPr>
      <w:r w:rsidRPr="003A5E55">
        <w:rPr>
          <w:rFonts w:ascii="Arial" w:hAnsi="Arial" w:cs="Arial"/>
          <w:b/>
          <w:sz w:val="24"/>
          <w:szCs w:val="24"/>
        </w:rPr>
        <w:t>Responsabilidad del Tribunal de Cuentas por la audit</w:t>
      </w:r>
      <w:r w:rsidR="00200768">
        <w:rPr>
          <w:rFonts w:ascii="Arial" w:hAnsi="Arial" w:cs="Arial"/>
          <w:b/>
          <w:sz w:val="24"/>
          <w:szCs w:val="24"/>
        </w:rPr>
        <w:t>oría de los estados financieros</w:t>
      </w:r>
    </w:p>
    <w:p w:rsidR="003A5E55" w:rsidRPr="003A5E55" w:rsidRDefault="003A5E55" w:rsidP="009245CD">
      <w:pPr>
        <w:spacing w:line="360" w:lineRule="auto"/>
        <w:jc w:val="both"/>
        <w:rPr>
          <w:rFonts w:ascii="Arial" w:hAnsi="Arial" w:cs="Arial"/>
          <w:sz w:val="24"/>
          <w:szCs w:val="24"/>
        </w:rPr>
      </w:pPr>
      <w:r w:rsidRPr="003A5E55">
        <w:rPr>
          <w:rFonts w:ascii="Arial" w:hAnsi="Arial" w:cs="Arial"/>
          <w:sz w:val="24"/>
          <w:szCs w:val="24"/>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3A5E55" w:rsidRPr="003A5E55" w:rsidRDefault="003A5E55" w:rsidP="009245CD">
      <w:pPr>
        <w:spacing w:line="360" w:lineRule="auto"/>
        <w:jc w:val="both"/>
        <w:rPr>
          <w:rFonts w:ascii="Arial" w:hAnsi="Arial" w:cs="Arial"/>
          <w:sz w:val="24"/>
          <w:szCs w:val="24"/>
        </w:rPr>
      </w:pPr>
      <w:r w:rsidRPr="003A5E55">
        <w:rPr>
          <w:rFonts w:ascii="Arial" w:hAnsi="Arial" w:cs="Arial"/>
          <w:sz w:val="24"/>
          <w:szCs w:val="24"/>
        </w:rPr>
        <w:t>Como parte de una auditoría de acuerdo con las ISSAI referidas en la sección Bases para la Opinión sin salvedades, el Tribunal de Cuentas aplica su juicio profesional y mantiene el escepticismo profesional durante el proceso de auditoría. Asimismo:</w:t>
      </w:r>
    </w:p>
    <w:p w:rsidR="003A5E55" w:rsidRPr="003A5E55" w:rsidRDefault="003A5E55" w:rsidP="003A5E55">
      <w:pPr>
        <w:pStyle w:val="Prrafodelista"/>
        <w:numPr>
          <w:ilvl w:val="0"/>
          <w:numId w:val="1"/>
        </w:numPr>
        <w:spacing w:after="200" w:line="360" w:lineRule="auto"/>
        <w:ind w:left="284" w:firstLine="0"/>
        <w:jc w:val="both"/>
        <w:rPr>
          <w:rFonts w:cs="Arial"/>
        </w:rPr>
      </w:pPr>
      <w:r w:rsidRPr="003A5E55">
        <w:rPr>
          <w:rFonts w:cs="Arial"/>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200768">
        <w:rPr>
          <w:rFonts w:cs="Arial"/>
        </w:rPr>
        <w:t>artamientos de control interno.</w:t>
      </w:r>
    </w:p>
    <w:p w:rsidR="003A5E55" w:rsidRPr="003A5E55" w:rsidRDefault="003A5E55" w:rsidP="003A5E55">
      <w:pPr>
        <w:pStyle w:val="Prrafodelista"/>
        <w:numPr>
          <w:ilvl w:val="0"/>
          <w:numId w:val="1"/>
        </w:numPr>
        <w:spacing w:after="200" w:line="360" w:lineRule="auto"/>
        <w:ind w:left="284" w:firstLine="0"/>
        <w:jc w:val="both"/>
        <w:rPr>
          <w:rFonts w:cs="Arial"/>
        </w:rPr>
      </w:pPr>
      <w:r w:rsidRPr="003A5E55">
        <w:rPr>
          <w:rFonts w:cs="Arial"/>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3A5E55" w:rsidRPr="003A5E55" w:rsidRDefault="003A5E55" w:rsidP="003A5E55">
      <w:pPr>
        <w:pStyle w:val="Prrafodelista"/>
        <w:numPr>
          <w:ilvl w:val="0"/>
          <w:numId w:val="1"/>
        </w:numPr>
        <w:spacing w:after="200" w:line="360" w:lineRule="auto"/>
        <w:ind w:left="284" w:firstLine="0"/>
        <w:jc w:val="both"/>
        <w:rPr>
          <w:rFonts w:cs="Arial"/>
        </w:rPr>
      </w:pPr>
      <w:r w:rsidRPr="003A5E55">
        <w:rPr>
          <w:rFonts w:cs="Arial"/>
        </w:rPr>
        <w:t>Evalúa lo adecuado de las políticas contables adoptadas, la razonabilidad de las estimaciones contables y las revelaciones relacionadas realizadas por la Dirección.</w:t>
      </w:r>
    </w:p>
    <w:p w:rsidR="003A5E55" w:rsidRPr="003A5E55" w:rsidRDefault="003A5E55" w:rsidP="003A5E55">
      <w:pPr>
        <w:pStyle w:val="Prrafodelista"/>
        <w:numPr>
          <w:ilvl w:val="0"/>
          <w:numId w:val="1"/>
        </w:numPr>
        <w:spacing w:after="200" w:line="360" w:lineRule="auto"/>
        <w:ind w:left="284" w:firstLine="0"/>
        <w:jc w:val="both"/>
        <w:rPr>
          <w:rFonts w:cs="Arial"/>
        </w:rPr>
      </w:pPr>
      <w:r w:rsidRPr="003A5E55">
        <w:rPr>
          <w:rFonts w:cs="Arial"/>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3A5E55" w:rsidRPr="003A5E55" w:rsidRDefault="003A5E55" w:rsidP="009245CD">
      <w:pPr>
        <w:pStyle w:val="Prrafodelista"/>
        <w:spacing w:line="360" w:lineRule="auto"/>
        <w:ind w:left="0"/>
        <w:jc w:val="both"/>
        <w:rPr>
          <w:rFonts w:cs="Arial"/>
        </w:rPr>
      </w:pPr>
    </w:p>
    <w:p w:rsidR="003A5E55" w:rsidRDefault="003A5E55" w:rsidP="009245CD">
      <w:pPr>
        <w:pStyle w:val="Prrafodelista"/>
        <w:spacing w:line="360" w:lineRule="auto"/>
        <w:ind w:left="0"/>
        <w:jc w:val="both"/>
        <w:rPr>
          <w:rFonts w:cs="Arial"/>
        </w:rPr>
      </w:pPr>
      <w:r w:rsidRPr="003A5E55">
        <w:rPr>
          <w:rFonts w:cs="Arial"/>
        </w:rPr>
        <w:t xml:space="preserve">El Tribunal de Cuentas se comunicó con el Directorio, en relación, entre otros asuntos, al alcance y la oportunidad de los procedimientos de auditoría, los hallazgos significativos de auditoría incluidos, en caso de corresponder, y las deficiencias significativas en el control interno que se identificaron en </w:t>
      </w:r>
      <w:r w:rsidR="00200768">
        <w:rPr>
          <w:rFonts w:cs="Arial"/>
        </w:rPr>
        <w:t>el transcurso de la auditoría.</w:t>
      </w:r>
    </w:p>
    <w:p w:rsidR="00200768" w:rsidRPr="003A5E55" w:rsidRDefault="00200768" w:rsidP="009245CD">
      <w:pPr>
        <w:pStyle w:val="Prrafodelista"/>
        <w:spacing w:line="360" w:lineRule="auto"/>
        <w:ind w:left="0"/>
        <w:jc w:val="both"/>
        <w:rPr>
          <w:rFonts w:cs="Arial"/>
        </w:rPr>
      </w:pPr>
    </w:p>
    <w:p w:rsidR="003A5E55" w:rsidRPr="003A5E55" w:rsidRDefault="003A5E55" w:rsidP="009245CD">
      <w:pPr>
        <w:spacing w:line="360" w:lineRule="auto"/>
        <w:jc w:val="both"/>
        <w:rPr>
          <w:rFonts w:ascii="Arial" w:hAnsi="Arial" w:cs="Arial"/>
          <w:b/>
          <w:sz w:val="24"/>
          <w:szCs w:val="24"/>
        </w:rPr>
      </w:pPr>
      <w:r w:rsidRPr="003A5E55">
        <w:rPr>
          <w:rFonts w:ascii="Arial" w:hAnsi="Arial" w:cs="Arial"/>
          <w:b/>
          <w:sz w:val="24"/>
          <w:szCs w:val="24"/>
        </w:rPr>
        <w:t>Informe de cumpl</w:t>
      </w:r>
      <w:r w:rsidR="00200768">
        <w:rPr>
          <w:rFonts w:ascii="Arial" w:hAnsi="Arial" w:cs="Arial"/>
          <w:b/>
          <w:sz w:val="24"/>
          <w:szCs w:val="24"/>
        </w:rPr>
        <w:t>imiento de la normativa vigente</w:t>
      </w:r>
    </w:p>
    <w:p w:rsidR="003A5E55" w:rsidRPr="003A5E55" w:rsidRDefault="003A5E55" w:rsidP="006D4306">
      <w:pPr>
        <w:spacing w:line="360" w:lineRule="auto"/>
        <w:jc w:val="both"/>
        <w:rPr>
          <w:rFonts w:ascii="Arial" w:hAnsi="Arial" w:cs="Arial"/>
          <w:sz w:val="24"/>
          <w:szCs w:val="24"/>
        </w:rPr>
      </w:pPr>
      <w:r w:rsidRPr="003A5E55">
        <w:rPr>
          <w:rFonts w:ascii="Arial" w:hAnsi="Arial" w:cs="Arial"/>
          <w:sz w:val="24"/>
          <w:szCs w:val="24"/>
        </w:rPr>
        <w:t xml:space="preserve">Respecto a los incumplimientos mencionados en el párrafo </w:t>
      </w:r>
      <w:r w:rsidRPr="003A5E55">
        <w:rPr>
          <w:rFonts w:ascii="Arial" w:hAnsi="Arial" w:cs="Arial"/>
          <w:i/>
          <w:sz w:val="24"/>
          <w:szCs w:val="24"/>
        </w:rPr>
        <w:t>Opinión respecto al cumplimiento de la normativa aplicable</w:t>
      </w:r>
      <w:r w:rsidRPr="003A5E55">
        <w:rPr>
          <w:rFonts w:ascii="Arial" w:hAnsi="Arial" w:cs="Arial"/>
          <w:sz w:val="24"/>
          <w:szCs w:val="24"/>
        </w:rPr>
        <w:t xml:space="preserve"> co</w:t>
      </w:r>
      <w:r w:rsidR="00200768">
        <w:rPr>
          <w:rFonts w:ascii="Arial" w:hAnsi="Arial" w:cs="Arial"/>
          <w:sz w:val="24"/>
          <w:szCs w:val="24"/>
        </w:rPr>
        <w:t>rresponde señalar lo siguiente:</w:t>
      </w:r>
    </w:p>
    <w:p w:rsidR="003A5E55" w:rsidRPr="003A5E55" w:rsidRDefault="003A5E55" w:rsidP="00E72E26">
      <w:pPr>
        <w:spacing w:line="360" w:lineRule="auto"/>
        <w:jc w:val="both"/>
        <w:rPr>
          <w:rFonts w:ascii="Arial" w:hAnsi="Arial" w:cs="Arial"/>
          <w:sz w:val="24"/>
          <w:szCs w:val="24"/>
        </w:rPr>
      </w:pPr>
      <w:r w:rsidRPr="003A5E55">
        <w:rPr>
          <w:rFonts w:ascii="Arial" w:hAnsi="Arial" w:cs="Arial"/>
          <w:sz w:val="24"/>
          <w:szCs w:val="24"/>
        </w:rPr>
        <w:t>-Numeral 1.6 de la Ordenanza N°89: No se presentó el Estado de Resultados Integral.</w:t>
      </w:r>
    </w:p>
    <w:p w:rsidR="003A5E55" w:rsidRPr="003A5E55" w:rsidRDefault="003A5E55" w:rsidP="00D36878">
      <w:pPr>
        <w:spacing w:line="360" w:lineRule="auto"/>
        <w:jc w:val="right"/>
        <w:rPr>
          <w:rFonts w:ascii="Arial" w:hAnsi="Arial" w:cs="Arial"/>
          <w:i/>
          <w:sz w:val="24"/>
          <w:szCs w:val="24"/>
        </w:rPr>
      </w:pPr>
      <w:r w:rsidRPr="003A5E55">
        <w:rPr>
          <w:rFonts w:ascii="Arial" w:hAnsi="Arial" w:cs="Arial"/>
          <w:sz w:val="24"/>
          <w:szCs w:val="24"/>
        </w:rPr>
        <w:t>M</w:t>
      </w:r>
      <w:r w:rsidR="00200768">
        <w:rPr>
          <w:rFonts w:ascii="Arial" w:hAnsi="Arial" w:cs="Arial"/>
          <w:sz w:val="24"/>
          <w:szCs w:val="24"/>
        </w:rPr>
        <w:t>ontevideo, 1 de octubre de 2018</w:t>
      </w:r>
    </w:p>
    <w:p w:rsidR="003A5E55" w:rsidRPr="003A5E55" w:rsidRDefault="003A5E55" w:rsidP="009245CD">
      <w:pPr>
        <w:spacing w:line="360" w:lineRule="auto"/>
        <w:jc w:val="both"/>
        <w:rPr>
          <w:rFonts w:ascii="Arial" w:hAnsi="Arial" w:cs="Arial"/>
          <w:sz w:val="24"/>
          <w:szCs w:val="24"/>
        </w:rPr>
      </w:pPr>
    </w:p>
    <w:p w:rsidR="003A5E55" w:rsidRPr="003A5E55" w:rsidRDefault="003A5E55" w:rsidP="00E06351">
      <w:pPr>
        <w:autoSpaceDE w:val="0"/>
        <w:autoSpaceDN w:val="0"/>
        <w:adjustRightInd w:val="0"/>
        <w:spacing w:line="360" w:lineRule="auto"/>
        <w:jc w:val="right"/>
        <w:rPr>
          <w:rFonts w:ascii="Arial" w:hAnsi="Arial" w:cs="Arial"/>
          <w:sz w:val="24"/>
          <w:szCs w:val="24"/>
        </w:rPr>
      </w:pPr>
    </w:p>
    <w:p w:rsidR="003A5E55" w:rsidRPr="003A5E55" w:rsidRDefault="003A5E55" w:rsidP="00622DE2">
      <w:pPr>
        <w:autoSpaceDE w:val="0"/>
        <w:autoSpaceDN w:val="0"/>
        <w:adjustRightInd w:val="0"/>
        <w:spacing w:line="360" w:lineRule="auto"/>
        <w:rPr>
          <w:rFonts w:ascii="Arial" w:hAnsi="Arial" w:cs="Arial"/>
          <w:sz w:val="24"/>
          <w:szCs w:val="24"/>
        </w:rPr>
      </w:pPr>
      <w:proofErr w:type="spellStart"/>
      <w:proofErr w:type="gramStart"/>
      <w:r w:rsidRPr="003A5E55">
        <w:rPr>
          <w:rFonts w:ascii="Arial" w:hAnsi="Arial" w:cs="Arial"/>
          <w:sz w:val="24"/>
          <w:szCs w:val="24"/>
        </w:rPr>
        <w:t>cr</w:t>
      </w:r>
      <w:proofErr w:type="spellEnd"/>
      <w:proofErr w:type="gramEnd"/>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4E4657">
      <w:pPr>
        <w:spacing w:line="360" w:lineRule="auto"/>
        <w:jc w:val="center"/>
        <w:rPr>
          <w:rFonts w:ascii="Arial" w:hAnsi="Arial" w:cs="Arial"/>
          <w:b/>
          <w:sz w:val="24"/>
          <w:szCs w:val="24"/>
        </w:rPr>
      </w:pPr>
      <w:r w:rsidRPr="003A5E55">
        <w:rPr>
          <w:rFonts w:ascii="Arial" w:hAnsi="Arial" w:cs="Arial"/>
          <w:b/>
          <w:sz w:val="24"/>
          <w:szCs w:val="24"/>
        </w:rPr>
        <w:t>DICTAMEN</w:t>
      </w:r>
    </w:p>
    <w:p w:rsidR="00200768" w:rsidRPr="003A5E55" w:rsidRDefault="00200768" w:rsidP="004E4657">
      <w:pPr>
        <w:spacing w:line="360" w:lineRule="auto"/>
        <w:jc w:val="center"/>
        <w:rPr>
          <w:rFonts w:ascii="Arial" w:hAnsi="Arial" w:cs="Arial"/>
          <w:b/>
          <w:sz w:val="24"/>
          <w:szCs w:val="24"/>
        </w:rPr>
      </w:pPr>
    </w:p>
    <w:p w:rsidR="003A5E55" w:rsidRPr="003A5E55" w:rsidRDefault="003A5E55" w:rsidP="00F33036">
      <w:pPr>
        <w:spacing w:line="360" w:lineRule="auto"/>
        <w:jc w:val="both"/>
        <w:rPr>
          <w:rFonts w:ascii="Arial" w:hAnsi="Arial" w:cs="Arial"/>
          <w:sz w:val="24"/>
          <w:szCs w:val="24"/>
        </w:rPr>
      </w:pPr>
      <w:r w:rsidRPr="003A5E55">
        <w:rPr>
          <w:rFonts w:ascii="Arial" w:hAnsi="Arial" w:cs="Arial"/>
          <w:b/>
          <w:sz w:val="24"/>
          <w:szCs w:val="24"/>
        </w:rPr>
        <w:t>Opinión sin salvedades</w:t>
      </w:r>
    </w:p>
    <w:p w:rsidR="003A5E55" w:rsidRPr="003A5E55" w:rsidRDefault="003A5E55" w:rsidP="00F33036">
      <w:pPr>
        <w:spacing w:line="360" w:lineRule="auto"/>
        <w:jc w:val="both"/>
        <w:rPr>
          <w:rFonts w:ascii="Arial" w:hAnsi="Arial" w:cs="Arial"/>
          <w:sz w:val="24"/>
          <w:szCs w:val="24"/>
        </w:rPr>
      </w:pPr>
      <w:r w:rsidRPr="003A5E55">
        <w:rPr>
          <w:rFonts w:ascii="Arial" w:hAnsi="Arial" w:cs="Arial"/>
          <w:sz w:val="24"/>
          <w:szCs w:val="24"/>
        </w:rPr>
        <w:t>El Tribunal de Cuentas ha auditado el Balance de Ejecución Presupuestal del</w:t>
      </w:r>
      <w:r w:rsidRPr="003A5E55">
        <w:rPr>
          <w:rFonts w:ascii="Arial" w:hAnsi="Arial" w:cs="Arial"/>
          <w:i/>
          <w:sz w:val="24"/>
          <w:szCs w:val="24"/>
        </w:rPr>
        <w:t xml:space="preserve"> </w:t>
      </w:r>
      <w:r w:rsidRPr="003A5E55">
        <w:rPr>
          <w:rFonts w:ascii="Arial" w:hAnsi="Arial" w:cs="Arial"/>
          <w:sz w:val="24"/>
          <w:szCs w:val="24"/>
        </w:rPr>
        <w:t>Banco de Seguros del Estado (BSE)</w:t>
      </w:r>
      <w:r w:rsidRPr="003A5E55">
        <w:rPr>
          <w:rFonts w:ascii="Arial" w:hAnsi="Arial" w:cs="Arial"/>
          <w:i/>
          <w:sz w:val="24"/>
          <w:szCs w:val="24"/>
        </w:rPr>
        <w:t xml:space="preserve"> </w:t>
      </w:r>
      <w:r w:rsidRPr="003A5E55">
        <w:rPr>
          <w:rFonts w:ascii="Arial" w:hAnsi="Arial" w:cs="Arial"/>
          <w:sz w:val="24"/>
          <w:szCs w:val="24"/>
        </w:rPr>
        <w:t>por el ejercicio finalizado el 31/12/2017, los A</w:t>
      </w:r>
      <w:r w:rsidR="00200768">
        <w:rPr>
          <w:rFonts w:ascii="Arial" w:hAnsi="Arial" w:cs="Arial"/>
          <w:sz w:val="24"/>
          <w:szCs w:val="24"/>
        </w:rPr>
        <w:t>nexos y las notas explicativas.</w:t>
      </w:r>
    </w:p>
    <w:p w:rsidR="003A5E55" w:rsidRPr="003A5E55" w:rsidRDefault="003A5E55" w:rsidP="00BD64EC">
      <w:pPr>
        <w:spacing w:line="360" w:lineRule="auto"/>
        <w:jc w:val="both"/>
        <w:rPr>
          <w:rFonts w:ascii="Arial" w:hAnsi="Arial" w:cs="Arial"/>
          <w:sz w:val="24"/>
          <w:szCs w:val="24"/>
        </w:rPr>
      </w:pPr>
      <w:r w:rsidRPr="003A5E55">
        <w:rPr>
          <w:rFonts w:ascii="Arial" w:hAnsi="Arial" w:cs="Arial"/>
          <w:sz w:val="24"/>
          <w:szCs w:val="24"/>
        </w:rPr>
        <w:t>En opinión del Tribunal de Cuentas el estado referido precedentemente presenta razonablemente, en todos sus aspectos significativos, la ejecución presupuestal del BSE correspondiente al ejercicio finalizado el 31/12/2017, de acuerdo con las normas establecidas en el TOCAF, en el Presupuesto vigente para el ejercicio 2017 y en la Ordenanza N° 75 de fecha 16/09/1998 del Tribunal de Cuentas.</w:t>
      </w:r>
    </w:p>
    <w:p w:rsidR="003A5E55" w:rsidRPr="003A5E55" w:rsidRDefault="003A5E55" w:rsidP="00F33036">
      <w:pPr>
        <w:spacing w:line="360" w:lineRule="auto"/>
        <w:jc w:val="both"/>
        <w:rPr>
          <w:rFonts w:ascii="Arial" w:hAnsi="Arial" w:cs="Arial"/>
          <w:b/>
          <w:sz w:val="24"/>
          <w:szCs w:val="24"/>
        </w:rPr>
      </w:pPr>
      <w:r w:rsidRPr="003A5E55">
        <w:rPr>
          <w:rFonts w:ascii="Arial" w:hAnsi="Arial" w:cs="Arial"/>
          <w:b/>
          <w:sz w:val="24"/>
          <w:szCs w:val="24"/>
        </w:rPr>
        <w:t>Opinión respecto al cumplimiento de la normativa legal aplicable</w:t>
      </w:r>
    </w:p>
    <w:p w:rsidR="003A5E55" w:rsidRPr="003A5E55" w:rsidRDefault="003A5E55" w:rsidP="00F33036">
      <w:pPr>
        <w:spacing w:line="360" w:lineRule="auto"/>
        <w:jc w:val="both"/>
        <w:rPr>
          <w:rFonts w:ascii="Arial" w:hAnsi="Arial" w:cs="Arial"/>
          <w:sz w:val="24"/>
          <w:szCs w:val="24"/>
        </w:rPr>
      </w:pPr>
      <w:r w:rsidRPr="003A5E55">
        <w:rPr>
          <w:rFonts w:ascii="Arial" w:hAnsi="Arial" w:cs="Arial"/>
          <w:sz w:val="24"/>
          <w:szCs w:val="24"/>
        </w:rPr>
        <w:t xml:space="preserve">En el curso de la auditoría se han constatado </w:t>
      </w:r>
      <w:r w:rsidR="00BB719B">
        <w:rPr>
          <w:rFonts w:ascii="Arial" w:hAnsi="Arial" w:cs="Arial"/>
          <w:sz w:val="24"/>
          <w:szCs w:val="24"/>
        </w:rPr>
        <w:t>los siguientes incumplimientos:</w:t>
      </w:r>
    </w:p>
    <w:p w:rsidR="003A5E55" w:rsidRPr="003A5E55" w:rsidRDefault="003A5E55" w:rsidP="003A5E55">
      <w:pPr>
        <w:pStyle w:val="Prrafodelista"/>
        <w:numPr>
          <w:ilvl w:val="0"/>
          <w:numId w:val="2"/>
        </w:numPr>
        <w:spacing w:line="360" w:lineRule="auto"/>
        <w:jc w:val="both"/>
        <w:rPr>
          <w:rFonts w:cs="Arial"/>
          <w:i/>
        </w:rPr>
      </w:pPr>
      <w:r w:rsidRPr="003A5E55">
        <w:rPr>
          <w:rFonts w:cs="Arial"/>
        </w:rPr>
        <w:t>Artículos 15, 33, 44 y 46 del TOCAF.</w:t>
      </w:r>
    </w:p>
    <w:p w:rsidR="003A5E55" w:rsidRPr="003A5E55" w:rsidRDefault="003A5E55" w:rsidP="003A5E55">
      <w:pPr>
        <w:pStyle w:val="Prrafodelista"/>
        <w:numPr>
          <w:ilvl w:val="0"/>
          <w:numId w:val="2"/>
        </w:numPr>
        <w:spacing w:line="360" w:lineRule="auto"/>
        <w:jc w:val="both"/>
        <w:rPr>
          <w:rFonts w:cs="Arial"/>
        </w:rPr>
      </w:pPr>
      <w:r w:rsidRPr="003A5E55">
        <w:rPr>
          <w:rFonts w:cs="Arial"/>
        </w:rPr>
        <w:t>Artículo 49 de la Ley N°18.651 de 09/03/2010.</w:t>
      </w:r>
    </w:p>
    <w:p w:rsidR="003A5E55" w:rsidRPr="003A5E55" w:rsidRDefault="003A5E55" w:rsidP="003A5E55">
      <w:pPr>
        <w:pStyle w:val="Prrafodelista"/>
        <w:numPr>
          <w:ilvl w:val="0"/>
          <w:numId w:val="2"/>
        </w:numPr>
        <w:spacing w:line="360" w:lineRule="auto"/>
        <w:jc w:val="both"/>
        <w:rPr>
          <w:rFonts w:cs="Arial"/>
        </w:rPr>
      </w:pPr>
      <w:r w:rsidRPr="003A5E55">
        <w:rPr>
          <w:rFonts w:cs="Arial"/>
        </w:rPr>
        <w:t>Artículo 5 de la Ley Nº 18.381 de 07/11/2008.</w:t>
      </w:r>
    </w:p>
    <w:p w:rsidR="003A5E55" w:rsidRPr="003A5E55" w:rsidRDefault="003A5E55" w:rsidP="003A5E55">
      <w:pPr>
        <w:pStyle w:val="Prrafodelista"/>
        <w:numPr>
          <w:ilvl w:val="0"/>
          <w:numId w:val="2"/>
        </w:numPr>
        <w:spacing w:line="360" w:lineRule="auto"/>
        <w:jc w:val="both"/>
        <w:rPr>
          <w:rFonts w:cs="Arial"/>
        </w:rPr>
      </w:pPr>
      <w:r w:rsidRPr="003A5E55">
        <w:rPr>
          <w:rFonts w:cs="Arial"/>
        </w:rPr>
        <w:t>Artículo 38 del Decreto N°232/2010 de 10/08/2010.</w:t>
      </w:r>
    </w:p>
    <w:p w:rsidR="003A5E55" w:rsidRPr="003A5E55" w:rsidRDefault="003A5E55" w:rsidP="003A5E55">
      <w:pPr>
        <w:pStyle w:val="Prrafodelista"/>
        <w:numPr>
          <w:ilvl w:val="0"/>
          <w:numId w:val="2"/>
        </w:numPr>
        <w:spacing w:line="360" w:lineRule="auto"/>
        <w:jc w:val="both"/>
        <w:rPr>
          <w:rFonts w:cs="Arial"/>
        </w:rPr>
      </w:pPr>
      <w:r w:rsidRPr="003A5E55">
        <w:rPr>
          <w:rFonts w:cs="Arial"/>
        </w:rPr>
        <w:t xml:space="preserve">Artículos 3, 4 y 6 del Convenio N° 30 </w:t>
      </w:r>
      <w:r w:rsidR="00BB719B">
        <w:rPr>
          <w:rFonts w:cs="Arial"/>
        </w:rPr>
        <w:t>de OIT ratificado por la Ley</w:t>
      </w:r>
      <w:r w:rsidR="00200768">
        <w:rPr>
          <w:rFonts w:cs="Arial"/>
        </w:rPr>
        <w:t>Nº</w:t>
      </w:r>
      <w:r w:rsidRPr="003A5E55">
        <w:rPr>
          <w:rFonts w:cs="Arial"/>
        </w:rPr>
        <w:t>8.950 de 05/09/1933 y Ordenanza N° 61.</w:t>
      </w:r>
    </w:p>
    <w:p w:rsidR="003A5E55" w:rsidRDefault="003A5E55" w:rsidP="003A5E55">
      <w:pPr>
        <w:pStyle w:val="Prrafodelista"/>
        <w:numPr>
          <w:ilvl w:val="0"/>
          <w:numId w:val="2"/>
        </w:numPr>
        <w:spacing w:line="360" w:lineRule="auto"/>
        <w:jc w:val="both"/>
        <w:rPr>
          <w:rFonts w:cs="Arial"/>
        </w:rPr>
      </w:pPr>
      <w:r w:rsidRPr="003A5E55">
        <w:rPr>
          <w:rFonts w:cs="Arial"/>
        </w:rPr>
        <w:t>Artículo 643 de la Ley Nº 16.170 de 10/01/1991 y decretos reglamentarios.</w:t>
      </w:r>
    </w:p>
    <w:p w:rsidR="00200768" w:rsidRDefault="00200768" w:rsidP="00200768">
      <w:pPr>
        <w:pStyle w:val="Prrafodelista"/>
        <w:spacing w:line="360" w:lineRule="auto"/>
        <w:jc w:val="both"/>
        <w:rPr>
          <w:rFonts w:cs="Arial"/>
        </w:rPr>
      </w:pPr>
    </w:p>
    <w:p w:rsidR="00200768" w:rsidRDefault="00200768" w:rsidP="00200768">
      <w:pPr>
        <w:pStyle w:val="Prrafodelista"/>
        <w:spacing w:line="360" w:lineRule="auto"/>
        <w:jc w:val="both"/>
        <w:rPr>
          <w:rFonts w:cs="Arial"/>
        </w:rPr>
      </w:pPr>
    </w:p>
    <w:p w:rsidR="00200768" w:rsidRPr="003A5E55" w:rsidRDefault="00200768" w:rsidP="00200768">
      <w:pPr>
        <w:pStyle w:val="Prrafodelista"/>
        <w:spacing w:line="360" w:lineRule="auto"/>
        <w:jc w:val="both"/>
        <w:rPr>
          <w:rFonts w:cs="Arial"/>
        </w:rPr>
      </w:pPr>
    </w:p>
    <w:p w:rsidR="003A5E55" w:rsidRPr="003A5E55" w:rsidRDefault="003A5E55" w:rsidP="00F33036">
      <w:pPr>
        <w:spacing w:line="360" w:lineRule="auto"/>
        <w:jc w:val="both"/>
        <w:rPr>
          <w:rFonts w:ascii="Arial" w:hAnsi="Arial" w:cs="Arial"/>
          <w:b/>
          <w:sz w:val="24"/>
          <w:szCs w:val="24"/>
        </w:rPr>
      </w:pPr>
      <w:r w:rsidRPr="003A5E55">
        <w:rPr>
          <w:rFonts w:ascii="Arial" w:hAnsi="Arial" w:cs="Arial"/>
          <w:b/>
          <w:sz w:val="24"/>
          <w:szCs w:val="24"/>
        </w:rPr>
        <w:t>Bases para  la Opinión sin salvedades</w:t>
      </w:r>
    </w:p>
    <w:p w:rsidR="003A5E55" w:rsidRPr="003A5E55" w:rsidRDefault="003A5E55" w:rsidP="00F33036">
      <w:pPr>
        <w:spacing w:line="360" w:lineRule="auto"/>
        <w:jc w:val="both"/>
        <w:rPr>
          <w:rFonts w:ascii="Arial" w:hAnsi="Arial" w:cs="Arial"/>
          <w:sz w:val="24"/>
          <w:szCs w:val="24"/>
        </w:rPr>
      </w:pPr>
      <w:r w:rsidRPr="003A5E55">
        <w:rPr>
          <w:rFonts w:ascii="Arial" w:hAnsi="Arial" w:cs="Arial"/>
          <w:sz w:val="24"/>
          <w:szCs w:val="24"/>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3A5E55">
        <w:rPr>
          <w:rFonts w:ascii="Arial" w:hAnsi="Arial" w:cs="Arial"/>
          <w:i/>
          <w:sz w:val="24"/>
          <w:szCs w:val="24"/>
        </w:rPr>
        <w:t>Responsabilidad del Tribunal de Cuentas por la auditoría del Balance de Ejecución Presupuestal.</w:t>
      </w:r>
      <w:r w:rsidRPr="003A5E55">
        <w:rPr>
          <w:rFonts w:ascii="Arial" w:hAnsi="Arial" w:cs="Arial"/>
          <w:sz w:val="24"/>
          <w:szCs w:val="24"/>
        </w:rPr>
        <w:t xml:space="preserve"> Este Tribunal es independiente del BSE y ha cumplido con las disposiciones de su Código de Ética, elaborado en concordancia con el Código de Ética de la INTOSAI. Se considera que la evidencia de auditoría obtenida es suficiente y adecuada para proporcionar una base razon</w:t>
      </w:r>
      <w:r w:rsidR="00200768">
        <w:rPr>
          <w:rFonts w:ascii="Arial" w:hAnsi="Arial" w:cs="Arial"/>
          <w:sz w:val="24"/>
          <w:szCs w:val="24"/>
        </w:rPr>
        <w:t>able para sustentar la opinión.</w:t>
      </w:r>
    </w:p>
    <w:p w:rsidR="003A5E55" w:rsidRPr="003A5E55" w:rsidRDefault="003A5E55" w:rsidP="00F33036">
      <w:pPr>
        <w:spacing w:line="360" w:lineRule="auto"/>
        <w:jc w:val="both"/>
        <w:rPr>
          <w:rFonts w:ascii="Arial" w:hAnsi="Arial" w:cs="Arial"/>
          <w:b/>
          <w:sz w:val="24"/>
          <w:szCs w:val="24"/>
        </w:rPr>
      </w:pPr>
      <w:r w:rsidRPr="003A5E55">
        <w:rPr>
          <w:rFonts w:ascii="Arial" w:hAnsi="Arial" w:cs="Arial"/>
          <w:b/>
          <w:sz w:val="24"/>
          <w:szCs w:val="24"/>
        </w:rPr>
        <w:t>Responsabilidad del Directorio en relación con el Balance de Ejecución Presupuestal</w:t>
      </w:r>
    </w:p>
    <w:p w:rsidR="003A5E55" w:rsidRPr="003A5E55" w:rsidRDefault="003A5E55" w:rsidP="00F33036">
      <w:pPr>
        <w:spacing w:line="360" w:lineRule="auto"/>
        <w:jc w:val="both"/>
        <w:rPr>
          <w:rFonts w:ascii="Arial" w:hAnsi="Arial" w:cs="Arial"/>
          <w:sz w:val="24"/>
          <w:szCs w:val="24"/>
        </w:rPr>
      </w:pPr>
      <w:r w:rsidRPr="003A5E55">
        <w:rPr>
          <w:rFonts w:ascii="Arial" w:hAnsi="Arial" w:cs="Arial"/>
          <w:sz w:val="24"/>
          <w:szCs w:val="24"/>
        </w:rPr>
        <w:t>El Directorio del BSE es responsable por la preparación y presentación razonable del Balance de Ejecución Presupuestal de acuerdo con las normas establecidas en el TOCAF, en el Presupuesto vigente para el ejercicio 2017 y en la Ordenanza N° 75, y del control interno que la administración de la entidad consideró necesario para permitir la preparación del estado libre de errores significativos ya sea debido a fraude o error.</w:t>
      </w:r>
    </w:p>
    <w:p w:rsidR="003A5E55" w:rsidRPr="003A5E55" w:rsidRDefault="003A5E55" w:rsidP="00F33036">
      <w:pPr>
        <w:spacing w:line="360" w:lineRule="auto"/>
        <w:jc w:val="both"/>
        <w:rPr>
          <w:rFonts w:ascii="Arial" w:hAnsi="Arial" w:cs="Arial"/>
          <w:sz w:val="24"/>
          <w:szCs w:val="24"/>
        </w:rPr>
      </w:pPr>
      <w:r w:rsidRPr="003A5E55">
        <w:rPr>
          <w:rFonts w:ascii="Arial" w:hAnsi="Arial" w:cs="Arial"/>
          <w:sz w:val="24"/>
          <w:szCs w:val="24"/>
        </w:rPr>
        <w:t>El Directorio es responsable de supervisar el proceso de preparación del Balance de Ejecución Presupuestal del BSE.</w:t>
      </w:r>
    </w:p>
    <w:p w:rsidR="003A5E55" w:rsidRPr="003A5E55" w:rsidRDefault="003A5E55" w:rsidP="00542821">
      <w:pPr>
        <w:spacing w:line="360" w:lineRule="auto"/>
        <w:jc w:val="both"/>
        <w:rPr>
          <w:rFonts w:ascii="Arial" w:hAnsi="Arial" w:cs="Arial"/>
          <w:b/>
          <w:sz w:val="24"/>
          <w:szCs w:val="24"/>
        </w:rPr>
      </w:pPr>
      <w:r w:rsidRPr="003A5E55">
        <w:rPr>
          <w:rFonts w:ascii="Arial" w:hAnsi="Arial" w:cs="Arial"/>
          <w:b/>
          <w:sz w:val="24"/>
          <w:szCs w:val="24"/>
        </w:rPr>
        <w:t>Otra información</w:t>
      </w:r>
    </w:p>
    <w:p w:rsidR="003A5E55" w:rsidRPr="003A5E55" w:rsidRDefault="003A5E55" w:rsidP="00542821">
      <w:pPr>
        <w:spacing w:line="360" w:lineRule="auto"/>
        <w:jc w:val="both"/>
        <w:rPr>
          <w:rFonts w:ascii="Arial" w:hAnsi="Arial" w:cs="Arial"/>
          <w:sz w:val="24"/>
          <w:szCs w:val="24"/>
        </w:rPr>
      </w:pPr>
      <w:r w:rsidRPr="003A5E55">
        <w:rPr>
          <w:rFonts w:ascii="Arial" w:hAnsi="Arial" w:cs="Arial"/>
          <w:sz w:val="24"/>
          <w:szCs w:val="24"/>
        </w:rPr>
        <w:t>La Dirección del BSE es responsable por la otra información anexa al Balance de Ejecución Presupuestal. La otra información comprende los Compromisos de Gestión 2017.</w:t>
      </w:r>
    </w:p>
    <w:p w:rsidR="003A5E55" w:rsidRPr="003A5E55" w:rsidRDefault="003A5E55" w:rsidP="00542821">
      <w:pPr>
        <w:spacing w:line="360" w:lineRule="auto"/>
        <w:jc w:val="both"/>
        <w:rPr>
          <w:rFonts w:ascii="Arial" w:hAnsi="Arial" w:cs="Arial"/>
          <w:sz w:val="24"/>
          <w:szCs w:val="24"/>
        </w:rPr>
      </w:pPr>
      <w:r w:rsidRPr="003A5E55">
        <w:rPr>
          <w:rFonts w:ascii="Arial" w:hAnsi="Arial" w:cs="Arial"/>
          <w:sz w:val="24"/>
          <w:szCs w:val="24"/>
        </w:rPr>
        <w:t>La opinión del Tribunal de Cuentas sobre el Balance de Ejecución Presupuestal no contempla la otra información y no se expresa ninguna forma de opinión sobre la misma.</w:t>
      </w:r>
    </w:p>
    <w:p w:rsidR="003A5E55" w:rsidRPr="003A5E55" w:rsidRDefault="003A5E55" w:rsidP="00F33036">
      <w:pPr>
        <w:spacing w:line="360" w:lineRule="auto"/>
        <w:jc w:val="both"/>
        <w:rPr>
          <w:rFonts w:ascii="Arial" w:hAnsi="Arial" w:cs="Arial"/>
          <w:b/>
          <w:sz w:val="24"/>
          <w:szCs w:val="24"/>
        </w:rPr>
      </w:pPr>
      <w:r w:rsidRPr="003A5E55">
        <w:rPr>
          <w:rFonts w:ascii="Arial" w:hAnsi="Arial" w:cs="Arial"/>
          <w:b/>
          <w:sz w:val="24"/>
          <w:szCs w:val="24"/>
        </w:rPr>
        <w:t>Responsabilidad del Tribunal de Cuentas por la auditoría del Balance de Ejecución Presupuestal</w:t>
      </w:r>
    </w:p>
    <w:p w:rsidR="003A5E55" w:rsidRPr="003A5E55" w:rsidRDefault="003A5E55" w:rsidP="00F33036">
      <w:pPr>
        <w:spacing w:line="360" w:lineRule="auto"/>
        <w:jc w:val="both"/>
        <w:rPr>
          <w:rFonts w:ascii="Arial" w:hAnsi="Arial" w:cs="Arial"/>
          <w:sz w:val="24"/>
          <w:szCs w:val="24"/>
        </w:rPr>
      </w:pPr>
      <w:r w:rsidRPr="003A5E55">
        <w:rPr>
          <w:rFonts w:ascii="Arial" w:hAnsi="Arial" w:cs="Arial"/>
          <w:sz w:val="24"/>
          <w:szCs w:val="24"/>
        </w:rPr>
        <w:t>El objetivo de la auditoría consiste en obtener una seguridad razonable acerca de que el Balance de Ejecución Presupuestal en su conjunto está libre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del estado.</w:t>
      </w:r>
    </w:p>
    <w:p w:rsidR="003A5E55" w:rsidRPr="003A5E55" w:rsidRDefault="003A5E55" w:rsidP="00F33036">
      <w:pPr>
        <w:spacing w:line="360" w:lineRule="auto"/>
        <w:jc w:val="both"/>
        <w:rPr>
          <w:rFonts w:ascii="Arial" w:hAnsi="Arial" w:cs="Arial"/>
          <w:sz w:val="24"/>
          <w:szCs w:val="24"/>
        </w:rPr>
      </w:pPr>
      <w:r w:rsidRPr="003A5E55">
        <w:rPr>
          <w:rFonts w:ascii="Arial" w:hAnsi="Arial" w:cs="Arial"/>
          <w:sz w:val="24"/>
          <w:szCs w:val="24"/>
        </w:rPr>
        <w:t>Como parte de una auditoría de acuerdo con las ISSAI referidas en la sección Bases para la Opinión sin salvedades, el Tribunal de Cuentas aplica su juicio profesional y mantiene el escepticismo profesional durante el proceso de auditoría. Asimismo:</w:t>
      </w:r>
    </w:p>
    <w:p w:rsidR="003A5E55" w:rsidRPr="003A5E55" w:rsidRDefault="003A5E55" w:rsidP="003A5E55">
      <w:pPr>
        <w:pStyle w:val="Prrafodelista"/>
        <w:numPr>
          <w:ilvl w:val="0"/>
          <w:numId w:val="1"/>
        </w:numPr>
        <w:spacing w:after="200" w:line="360" w:lineRule="auto"/>
        <w:ind w:left="284" w:firstLine="0"/>
        <w:jc w:val="both"/>
        <w:rPr>
          <w:rFonts w:cs="Arial"/>
        </w:rPr>
      </w:pPr>
      <w:r w:rsidRPr="003A5E55">
        <w:rPr>
          <w:rFonts w:cs="Arial"/>
        </w:rPr>
        <w:t>Identifica y evalúa el riesgo de que existan errores significativos en el Balance de Ejecución Presupuestal,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200768">
        <w:rPr>
          <w:rFonts w:cs="Arial"/>
        </w:rPr>
        <w:t>artamientos de control interno.</w:t>
      </w:r>
    </w:p>
    <w:p w:rsidR="003A5E55" w:rsidRPr="003A5E55" w:rsidRDefault="003A5E55" w:rsidP="003A5E55">
      <w:pPr>
        <w:pStyle w:val="Prrafodelista"/>
        <w:numPr>
          <w:ilvl w:val="0"/>
          <w:numId w:val="1"/>
        </w:numPr>
        <w:spacing w:after="200" w:line="360" w:lineRule="auto"/>
        <w:ind w:left="284" w:firstLine="0"/>
        <w:jc w:val="both"/>
        <w:rPr>
          <w:rFonts w:cs="Arial"/>
        </w:rPr>
      </w:pPr>
      <w:r w:rsidRPr="003A5E55">
        <w:rPr>
          <w:rFonts w:cs="Arial"/>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3A5E55" w:rsidRPr="003A5E55" w:rsidRDefault="003A5E55" w:rsidP="003A5E55">
      <w:pPr>
        <w:pStyle w:val="Prrafodelista"/>
        <w:numPr>
          <w:ilvl w:val="0"/>
          <w:numId w:val="1"/>
        </w:numPr>
        <w:spacing w:after="200" w:line="360" w:lineRule="auto"/>
        <w:ind w:left="284" w:firstLine="0"/>
        <w:jc w:val="both"/>
        <w:rPr>
          <w:rFonts w:cs="Arial"/>
        </w:rPr>
      </w:pPr>
      <w:r w:rsidRPr="003A5E55">
        <w:rPr>
          <w:rFonts w:cs="Arial"/>
        </w:rPr>
        <w:t>Evalúa la presentación general, la estructura y contenido del estado, incluyendo las revelaciones y si el estado representa las transacciones y eventos subyacentes de un modo que se logre una representación fiel de los mismos.</w:t>
      </w:r>
    </w:p>
    <w:p w:rsidR="003A5E55" w:rsidRPr="003A5E55" w:rsidRDefault="003A5E55" w:rsidP="00F33036">
      <w:pPr>
        <w:pStyle w:val="Prrafodelista"/>
        <w:spacing w:line="360" w:lineRule="auto"/>
        <w:ind w:left="0"/>
        <w:jc w:val="both"/>
        <w:rPr>
          <w:rFonts w:cs="Arial"/>
        </w:rPr>
      </w:pPr>
    </w:p>
    <w:p w:rsidR="003A5E55" w:rsidRDefault="003A5E55" w:rsidP="00F33036">
      <w:pPr>
        <w:pStyle w:val="Prrafodelista"/>
        <w:spacing w:line="360" w:lineRule="auto"/>
        <w:ind w:left="0"/>
        <w:jc w:val="both"/>
        <w:rPr>
          <w:rFonts w:cs="Arial"/>
        </w:rPr>
      </w:pPr>
      <w:r w:rsidRPr="003A5E55">
        <w:rPr>
          <w:rFonts w:cs="Arial"/>
        </w:rPr>
        <w:t xml:space="preserve">El Tribunal de Cuentas se comunicó con el Directorio,  en relación, entre otros asuntos, al alcance y la oportunidad de los procedimientos de auditoría, los hallazgos significativos de auditoría incluidos, en caso de corresponder, y las deficiencias significativas en el control interno que se identificaron en </w:t>
      </w:r>
      <w:r w:rsidR="00200768">
        <w:rPr>
          <w:rFonts w:cs="Arial"/>
        </w:rPr>
        <w:t>el transcurso de la auditoría.</w:t>
      </w:r>
    </w:p>
    <w:p w:rsidR="00200768" w:rsidRPr="003A5E55" w:rsidRDefault="00200768" w:rsidP="00F33036">
      <w:pPr>
        <w:pStyle w:val="Prrafodelista"/>
        <w:spacing w:line="360" w:lineRule="auto"/>
        <w:ind w:left="0"/>
        <w:jc w:val="both"/>
        <w:rPr>
          <w:rFonts w:cs="Arial"/>
        </w:rPr>
      </w:pPr>
    </w:p>
    <w:p w:rsidR="003A5E55" w:rsidRPr="003A5E55" w:rsidRDefault="003A5E55" w:rsidP="00F33036">
      <w:pPr>
        <w:spacing w:line="360" w:lineRule="auto"/>
        <w:jc w:val="both"/>
        <w:rPr>
          <w:rFonts w:ascii="Arial" w:hAnsi="Arial" w:cs="Arial"/>
          <w:b/>
          <w:sz w:val="24"/>
          <w:szCs w:val="24"/>
        </w:rPr>
      </w:pPr>
      <w:r w:rsidRPr="003A5E55">
        <w:rPr>
          <w:rFonts w:ascii="Arial" w:hAnsi="Arial" w:cs="Arial"/>
          <w:b/>
          <w:sz w:val="24"/>
          <w:szCs w:val="24"/>
        </w:rPr>
        <w:t>Informe de cumplimiento de la normativa vigente</w:t>
      </w:r>
    </w:p>
    <w:p w:rsidR="003A5E55" w:rsidRPr="003A5E55" w:rsidRDefault="003A5E55" w:rsidP="00F33036">
      <w:pPr>
        <w:spacing w:line="360" w:lineRule="auto"/>
        <w:jc w:val="both"/>
        <w:rPr>
          <w:rFonts w:ascii="Arial" w:hAnsi="Arial" w:cs="Arial"/>
          <w:sz w:val="24"/>
          <w:szCs w:val="24"/>
        </w:rPr>
      </w:pPr>
      <w:r w:rsidRPr="003A5E55">
        <w:rPr>
          <w:rFonts w:ascii="Arial" w:hAnsi="Arial" w:cs="Arial"/>
          <w:sz w:val="24"/>
          <w:szCs w:val="24"/>
        </w:rPr>
        <w:t xml:space="preserve">Respecto a los incumplimientos mencionados en el párrafo </w:t>
      </w:r>
      <w:r w:rsidRPr="003A5E55">
        <w:rPr>
          <w:rFonts w:ascii="Arial" w:hAnsi="Arial" w:cs="Arial"/>
          <w:i/>
          <w:sz w:val="24"/>
          <w:szCs w:val="24"/>
        </w:rPr>
        <w:t>Opinión respecto al cumplimiento de la normativa legal aplicable</w:t>
      </w:r>
      <w:r w:rsidRPr="003A5E55">
        <w:rPr>
          <w:rFonts w:ascii="Arial" w:hAnsi="Arial" w:cs="Arial"/>
          <w:sz w:val="24"/>
          <w:szCs w:val="24"/>
        </w:rPr>
        <w:t xml:space="preserve"> co</w:t>
      </w:r>
      <w:r w:rsidR="00200768">
        <w:rPr>
          <w:rFonts w:ascii="Arial" w:hAnsi="Arial" w:cs="Arial"/>
          <w:sz w:val="24"/>
          <w:szCs w:val="24"/>
        </w:rPr>
        <w:t>rresponde señalar lo siguiente:</w:t>
      </w:r>
    </w:p>
    <w:p w:rsidR="003A5E55" w:rsidRPr="003A5E55" w:rsidRDefault="003A5E55" w:rsidP="003A5E55">
      <w:pPr>
        <w:pStyle w:val="Prrafodelista"/>
        <w:numPr>
          <w:ilvl w:val="0"/>
          <w:numId w:val="3"/>
        </w:numPr>
        <w:spacing w:line="360" w:lineRule="auto"/>
        <w:jc w:val="both"/>
        <w:rPr>
          <w:rFonts w:cs="Arial"/>
        </w:rPr>
      </w:pPr>
      <w:r w:rsidRPr="003A5E55">
        <w:rPr>
          <w:rFonts w:cs="Arial"/>
        </w:rPr>
        <w:t>Artículo 15 del TOCAF, por haber comprometido gastos sin crédito disponibl</w:t>
      </w:r>
      <w:r w:rsidR="00200768">
        <w:rPr>
          <w:rFonts w:cs="Arial"/>
        </w:rPr>
        <w:t>e por un monto de $ 36:711.812.</w:t>
      </w:r>
    </w:p>
    <w:p w:rsidR="003A5E55" w:rsidRPr="003A5E55" w:rsidRDefault="003A5E55" w:rsidP="003A5E55">
      <w:pPr>
        <w:pStyle w:val="Prrafodelista"/>
        <w:numPr>
          <w:ilvl w:val="0"/>
          <w:numId w:val="3"/>
        </w:numPr>
        <w:spacing w:line="360" w:lineRule="auto"/>
        <w:jc w:val="both"/>
        <w:rPr>
          <w:rFonts w:cs="Arial"/>
        </w:rPr>
      </w:pPr>
      <w:r w:rsidRPr="003A5E55">
        <w:rPr>
          <w:rFonts w:cs="Arial"/>
        </w:rPr>
        <w:t>Artículo 33 del TOCAF, por no haber cumplido las formalidades en la contratación de profesionales por un importe</w:t>
      </w:r>
      <w:r w:rsidR="00200768">
        <w:rPr>
          <w:rFonts w:cs="Arial"/>
        </w:rPr>
        <w:t xml:space="preserve"> de $ 108:741.121.</w:t>
      </w:r>
    </w:p>
    <w:p w:rsidR="003A5E55" w:rsidRPr="003A5E55" w:rsidRDefault="003A5E55" w:rsidP="003A5E55">
      <w:pPr>
        <w:pStyle w:val="Prrafodelista"/>
        <w:numPr>
          <w:ilvl w:val="0"/>
          <w:numId w:val="3"/>
        </w:numPr>
        <w:spacing w:line="360" w:lineRule="auto"/>
        <w:jc w:val="both"/>
        <w:rPr>
          <w:rFonts w:cs="Arial"/>
        </w:rPr>
      </w:pPr>
      <w:r w:rsidRPr="003A5E55">
        <w:rPr>
          <w:rFonts w:cs="Arial"/>
        </w:rPr>
        <w:t>Artículo  44 del TOCAF, por haber comprometido gastos que excedieron el tope de la compra directa por un total de $1:040.801 más IVA.</w:t>
      </w:r>
    </w:p>
    <w:p w:rsidR="003A5E55" w:rsidRPr="003A5E55" w:rsidRDefault="003A5E55" w:rsidP="003A5E55">
      <w:pPr>
        <w:pStyle w:val="Prrafodelista"/>
        <w:numPr>
          <w:ilvl w:val="0"/>
          <w:numId w:val="3"/>
        </w:numPr>
        <w:spacing w:line="360" w:lineRule="auto"/>
        <w:jc w:val="both"/>
        <w:rPr>
          <w:rFonts w:cs="Arial"/>
        </w:rPr>
      </w:pPr>
      <w:r w:rsidRPr="003A5E55">
        <w:rPr>
          <w:rFonts w:cs="Arial"/>
        </w:rPr>
        <w:t>Artículo 46 Numeral 1) del TOCAF por realizar contrataciones por un importe de  $ 207.613, sin considerar los requisi</w:t>
      </w:r>
      <w:r w:rsidR="00200768">
        <w:rPr>
          <w:rFonts w:cs="Arial"/>
        </w:rPr>
        <w:t>tos estipulados en dicha norma.</w:t>
      </w:r>
    </w:p>
    <w:p w:rsidR="003A5E55" w:rsidRPr="003A5E55" w:rsidRDefault="003A5E55" w:rsidP="003A5E55">
      <w:pPr>
        <w:pStyle w:val="Prrafodelista"/>
        <w:numPr>
          <w:ilvl w:val="0"/>
          <w:numId w:val="3"/>
        </w:numPr>
        <w:spacing w:line="360" w:lineRule="auto"/>
        <w:jc w:val="both"/>
        <w:rPr>
          <w:rFonts w:cs="Arial"/>
        </w:rPr>
      </w:pPr>
      <w:r w:rsidRPr="003A5E55">
        <w:rPr>
          <w:rFonts w:cs="Arial"/>
        </w:rPr>
        <w:t>Artículos 15 y 44 del TOCAF por realizar contrataciones por un importe de $ 7:378.870, sin considerar los requisito</w:t>
      </w:r>
      <w:r w:rsidR="00200768">
        <w:rPr>
          <w:rFonts w:cs="Arial"/>
        </w:rPr>
        <w:t>s estipulados en dichas normas.</w:t>
      </w:r>
    </w:p>
    <w:p w:rsidR="003A5E55" w:rsidRPr="003A5E55" w:rsidRDefault="003A5E55" w:rsidP="003A5E55">
      <w:pPr>
        <w:pStyle w:val="Prrafodelista"/>
        <w:numPr>
          <w:ilvl w:val="0"/>
          <w:numId w:val="3"/>
        </w:numPr>
        <w:spacing w:line="360" w:lineRule="auto"/>
        <w:jc w:val="both"/>
        <w:rPr>
          <w:rFonts w:cs="Arial"/>
        </w:rPr>
      </w:pPr>
      <w:r w:rsidRPr="003A5E55">
        <w:rPr>
          <w:rFonts w:cs="Arial"/>
        </w:rPr>
        <w:t xml:space="preserve">Artículo 49 de la Ley N°18.651 de 09/03/2010, debido a que no se consideró el porcentaje de personas con discapacidad </w:t>
      </w:r>
      <w:r w:rsidR="00200768">
        <w:rPr>
          <w:rFonts w:cs="Arial"/>
        </w:rPr>
        <w:t>que requiere dicha disposición.</w:t>
      </w:r>
    </w:p>
    <w:p w:rsidR="003A5E55" w:rsidRPr="003A5E55" w:rsidRDefault="003A5E55" w:rsidP="003A5E55">
      <w:pPr>
        <w:pStyle w:val="Prrafodelista"/>
        <w:numPr>
          <w:ilvl w:val="0"/>
          <w:numId w:val="3"/>
        </w:numPr>
        <w:spacing w:line="360" w:lineRule="auto"/>
        <w:jc w:val="both"/>
        <w:rPr>
          <w:rFonts w:cs="Arial"/>
        </w:rPr>
      </w:pPr>
      <w:r w:rsidRPr="003A5E55">
        <w:rPr>
          <w:rFonts w:cs="Arial"/>
        </w:rPr>
        <w:t>Artículo 5 de la Ley N° 18.381 de 07/11/2008 y artículos 18 y 38 del Decreto N° 232/2010 de 10/08/2010, al no publicar la totalidad de la información requerida por dichas disposiciones en el sitio web del Organismo.</w:t>
      </w:r>
    </w:p>
    <w:p w:rsidR="003A5E55" w:rsidRPr="003A5E55" w:rsidRDefault="003A5E55" w:rsidP="003A5E55">
      <w:pPr>
        <w:pStyle w:val="Prrafodelista"/>
        <w:numPr>
          <w:ilvl w:val="0"/>
          <w:numId w:val="3"/>
        </w:numPr>
        <w:spacing w:line="360" w:lineRule="auto"/>
        <w:jc w:val="both"/>
        <w:rPr>
          <w:rFonts w:cs="Arial"/>
        </w:rPr>
      </w:pPr>
      <w:r w:rsidRPr="003A5E55">
        <w:rPr>
          <w:rFonts w:cs="Arial"/>
        </w:rPr>
        <w:t xml:space="preserve">Artículos 3, 4 y 6 del Convenio N° 30 </w:t>
      </w:r>
      <w:r w:rsidR="00200768">
        <w:rPr>
          <w:rFonts w:cs="Arial"/>
        </w:rPr>
        <w:t>de OIT ratificado por la ley Nº</w:t>
      </w:r>
      <w:r w:rsidRPr="003A5E55">
        <w:rPr>
          <w:rFonts w:cs="Arial"/>
        </w:rPr>
        <w:t>8.950 de 05/09/1933 y Ordenanza N°61 del Tribunal de Cuentas, por realizar algunos funcionarios un número de horas extras mayor al permitido por dichas normas.</w:t>
      </w:r>
    </w:p>
    <w:p w:rsidR="003A5E55" w:rsidRPr="003A5E55" w:rsidRDefault="003A5E55" w:rsidP="003A5E55">
      <w:pPr>
        <w:pStyle w:val="Prrafodelista"/>
        <w:numPr>
          <w:ilvl w:val="0"/>
          <w:numId w:val="3"/>
        </w:numPr>
        <w:spacing w:line="360" w:lineRule="auto"/>
        <w:jc w:val="both"/>
        <w:rPr>
          <w:rFonts w:cs="Arial"/>
        </w:rPr>
      </w:pPr>
      <w:r w:rsidRPr="003A5E55">
        <w:rPr>
          <w:rFonts w:cs="Arial"/>
        </w:rPr>
        <w:t xml:space="preserve">Artículo 643 de la Ley Nº 16.170 de 10/01/1991 y decretos reglamentarios, debido a que no se vertió el Resultado del Banco a la </w:t>
      </w:r>
      <w:r w:rsidR="00200768">
        <w:rPr>
          <w:rFonts w:cs="Arial"/>
        </w:rPr>
        <w:t>Tesorería General de la Nación.</w:t>
      </w:r>
    </w:p>
    <w:p w:rsidR="003A5E55" w:rsidRPr="003A5E55" w:rsidRDefault="003A5E55" w:rsidP="00AF1951">
      <w:pPr>
        <w:spacing w:line="360" w:lineRule="auto"/>
        <w:jc w:val="right"/>
        <w:rPr>
          <w:rFonts w:ascii="Arial" w:hAnsi="Arial" w:cs="Arial"/>
          <w:sz w:val="24"/>
          <w:szCs w:val="24"/>
        </w:rPr>
      </w:pPr>
      <w:r w:rsidRPr="003A5E55">
        <w:rPr>
          <w:rFonts w:ascii="Arial" w:hAnsi="Arial" w:cs="Arial"/>
          <w:sz w:val="24"/>
          <w:szCs w:val="24"/>
        </w:rPr>
        <w:t>Montevideo, 1 de octubre de 2018</w:t>
      </w:r>
    </w:p>
    <w:p w:rsidR="003A5E55" w:rsidRPr="003A5E55" w:rsidRDefault="003A5E55" w:rsidP="00F33036">
      <w:pPr>
        <w:spacing w:line="360" w:lineRule="auto"/>
        <w:jc w:val="both"/>
        <w:rPr>
          <w:rFonts w:ascii="Arial" w:hAnsi="Arial" w:cs="Arial"/>
          <w:sz w:val="24"/>
          <w:szCs w:val="24"/>
        </w:rPr>
      </w:pPr>
      <w:proofErr w:type="spellStart"/>
      <w:proofErr w:type="gramStart"/>
      <w:r w:rsidRPr="003A5E55">
        <w:rPr>
          <w:rFonts w:ascii="Arial" w:hAnsi="Arial" w:cs="Arial"/>
          <w:sz w:val="24"/>
          <w:szCs w:val="24"/>
        </w:rPr>
        <w:t>cr</w:t>
      </w:r>
      <w:proofErr w:type="spellEnd"/>
      <w:proofErr w:type="gramEnd"/>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Default="003A5E55" w:rsidP="00D141D8">
      <w:pPr>
        <w:spacing w:after="0" w:line="240" w:lineRule="auto"/>
        <w:rPr>
          <w:rFonts w:ascii="Arial" w:eastAsia="Times New Roman" w:hAnsi="Arial" w:cs="Times New Roman"/>
          <w:sz w:val="24"/>
          <w:szCs w:val="24"/>
          <w:lang w:val="es-ES_tradnl" w:eastAsia="es-ES"/>
        </w:rPr>
      </w:pPr>
    </w:p>
    <w:p w:rsidR="003A5E55" w:rsidRPr="00196746" w:rsidRDefault="003A5E55" w:rsidP="00A64F71">
      <w:pPr>
        <w:pStyle w:val="Ttulo3"/>
        <w:tabs>
          <w:tab w:val="left" w:pos="2552"/>
        </w:tabs>
        <w:spacing w:line="360" w:lineRule="auto"/>
        <w:rPr>
          <w:rFonts w:ascii="Arial" w:hAnsi="Arial" w:cs="Arial"/>
          <w:szCs w:val="24"/>
        </w:rPr>
      </w:pPr>
      <w:r w:rsidRPr="00196746">
        <w:rPr>
          <w:rFonts w:ascii="Arial" w:hAnsi="Arial" w:cs="Arial"/>
          <w:szCs w:val="24"/>
        </w:rPr>
        <w:t>INFORME A LA ADMINISTRACIÓN</w:t>
      </w:r>
    </w:p>
    <w:p w:rsidR="003A5E55" w:rsidRPr="00196746" w:rsidRDefault="003A5E55" w:rsidP="00F05EE0">
      <w:pPr>
        <w:pStyle w:val="Textoindependiente"/>
        <w:spacing w:line="360" w:lineRule="auto"/>
        <w:jc w:val="both"/>
        <w:rPr>
          <w:rFonts w:ascii="Arial" w:hAnsi="Arial" w:cs="Arial"/>
          <w:spacing w:val="-3"/>
          <w:sz w:val="24"/>
          <w:szCs w:val="24"/>
          <w:lang w:val="es-MX"/>
        </w:rPr>
      </w:pPr>
    </w:p>
    <w:p w:rsidR="003A5E55" w:rsidRPr="00196746" w:rsidRDefault="003A5E55" w:rsidP="00F05EE0">
      <w:pPr>
        <w:pStyle w:val="Textoindependiente"/>
        <w:spacing w:line="360" w:lineRule="auto"/>
        <w:jc w:val="both"/>
        <w:rPr>
          <w:rFonts w:ascii="Arial" w:hAnsi="Arial" w:cs="Arial"/>
          <w:spacing w:val="-3"/>
          <w:sz w:val="24"/>
          <w:szCs w:val="24"/>
          <w:lang w:val="es-MX"/>
        </w:rPr>
      </w:pPr>
      <w:r w:rsidRPr="00196746">
        <w:rPr>
          <w:rFonts w:ascii="Arial" w:hAnsi="Arial" w:cs="Arial"/>
          <w:spacing w:val="-3"/>
          <w:sz w:val="24"/>
          <w:szCs w:val="24"/>
          <w:lang w:val="es-MX"/>
        </w:rPr>
        <w:t>El Tribunal de Cuentas ha examinado los estados financieros y el Balance de Ejecución Presupuestal del Banco de Seguros del Estado (BSE) por el ejercicio finalizado el 31/12/2017 y ha emitido su Dictamen.</w:t>
      </w:r>
    </w:p>
    <w:p w:rsidR="003A5E55" w:rsidRPr="00196746" w:rsidRDefault="003A5E55" w:rsidP="00704D77">
      <w:pPr>
        <w:pStyle w:val="Textoindependiente"/>
        <w:spacing w:line="360" w:lineRule="auto"/>
        <w:jc w:val="both"/>
        <w:rPr>
          <w:rFonts w:ascii="Arial" w:hAnsi="Arial" w:cs="Arial"/>
          <w:spacing w:val="-3"/>
          <w:sz w:val="24"/>
          <w:szCs w:val="24"/>
          <w:lang w:val="es-MX"/>
        </w:rPr>
      </w:pPr>
      <w:r w:rsidRPr="00196746">
        <w:rPr>
          <w:rFonts w:ascii="Arial" w:hAnsi="Arial" w:cs="Arial"/>
          <w:spacing w:val="-3"/>
          <w:sz w:val="24"/>
          <w:szCs w:val="24"/>
          <w:lang w:val="es-MX"/>
        </w:rPr>
        <w:t xml:space="preserve">Este informe contiene consideraciones relativas a la evaluación del control interno. Se incluyen además, comentarios que se ha entendido pertinente exponer, relacionados a </w:t>
      </w:r>
      <w:r w:rsidR="00200768">
        <w:rPr>
          <w:rFonts w:ascii="Arial" w:hAnsi="Arial" w:cs="Arial"/>
          <w:spacing w:val="-3"/>
          <w:sz w:val="24"/>
          <w:szCs w:val="24"/>
          <w:lang w:val="es-MX"/>
        </w:rPr>
        <w:t>la presentación de los estados.</w:t>
      </w:r>
    </w:p>
    <w:p w:rsidR="003A5E55" w:rsidRDefault="003A5E55" w:rsidP="00704D77">
      <w:pPr>
        <w:pStyle w:val="Textoindependiente"/>
        <w:spacing w:line="360" w:lineRule="auto"/>
        <w:jc w:val="both"/>
        <w:rPr>
          <w:rFonts w:ascii="Arial" w:hAnsi="Arial" w:cs="Arial"/>
          <w:spacing w:val="-3"/>
          <w:sz w:val="24"/>
          <w:szCs w:val="24"/>
          <w:lang w:val="es-MX"/>
        </w:rPr>
      </w:pPr>
      <w:r w:rsidRPr="00196746">
        <w:rPr>
          <w:rFonts w:ascii="Arial" w:hAnsi="Arial" w:cs="Arial"/>
          <w:spacing w:val="-3"/>
          <w:sz w:val="24"/>
          <w:szCs w:val="24"/>
          <w:lang w:val="es-MX"/>
        </w:rPr>
        <w:t xml:space="preserve">También se agregan las principales recomendaciones que </w:t>
      </w:r>
      <w:proofErr w:type="gramStart"/>
      <w:r>
        <w:rPr>
          <w:rFonts w:ascii="Arial" w:hAnsi="Arial" w:cs="Arial"/>
          <w:spacing w:val="-3"/>
          <w:sz w:val="24"/>
          <w:szCs w:val="24"/>
          <w:lang w:val="es-MX"/>
        </w:rPr>
        <w:t>deberá</w:t>
      </w:r>
      <w:proofErr w:type="gramEnd"/>
      <w:r w:rsidRPr="00196746">
        <w:rPr>
          <w:rFonts w:ascii="Arial" w:hAnsi="Arial" w:cs="Arial"/>
          <w:spacing w:val="-3"/>
          <w:sz w:val="24"/>
          <w:szCs w:val="24"/>
          <w:lang w:val="es-MX"/>
        </w:rPr>
        <w:t xml:space="preserve"> atender el Organismo y una evaluación del cumplimiento de las recomendaciones presentadas en </w:t>
      </w:r>
      <w:r>
        <w:rPr>
          <w:rFonts w:ascii="Arial" w:hAnsi="Arial" w:cs="Arial"/>
          <w:spacing w:val="-3"/>
          <w:sz w:val="24"/>
          <w:szCs w:val="24"/>
          <w:lang w:val="es-MX"/>
        </w:rPr>
        <w:t>el informe</w:t>
      </w:r>
      <w:r w:rsidRPr="00196746">
        <w:rPr>
          <w:rFonts w:ascii="Arial" w:hAnsi="Arial" w:cs="Arial"/>
          <w:spacing w:val="-3"/>
          <w:sz w:val="24"/>
          <w:szCs w:val="24"/>
          <w:lang w:val="es-MX"/>
        </w:rPr>
        <w:t xml:space="preserve"> de auditoría del ejercicio anterior.</w:t>
      </w:r>
    </w:p>
    <w:p w:rsidR="00200768" w:rsidRPr="00196746" w:rsidRDefault="00200768" w:rsidP="00704D77">
      <w:pPr>
        <w:pStyle w:val="Textoindependiente"/>
        <w:spacing w:line="360" w:lineRule="auto"/>
        <w:jc w:val="both"/>
        <w:rPr>
          <w:rFonts w:ascii="Arial" w:hAnsi="Arial" w:cs="Arial"/>
          <w:spacing w:val="-3"/>
          <w:sz w:val="24"/>
          <w:szCs w:val="24"/>
          <w:lang w:val="es-MX"/>
        </w:rPr>
      </w:pPr>
    </w:p>
    <w:p w:rsidR="003A5E55" w:rsidRPr="00196746" w:rsidRDefault="00BB719B" w:rsidP="003A5E55">
      <w:pPr>
        <w:pStyle w:val="Textoindependiente"/>
        <w:numPr>
          <w:ilvl w:val="0"/>
          <w:numId w:val="4"/>
        </w:numPr>
        <w:tabs>
          <w:tab w:val="left" w:pos="0"/>
          <w:tab w:val="left" w:pos="567"/>
        </w:tabs>
        <w:spacing w:line="360" w:lineRule="auto"/>
        <w:ind w:hanging="720"/>
        <w:jc w:val="both"/>
        <w:rPr>
          <w:rFonts w:ascii="Arial" w:hAnsi="Arial" w:cs="Arial"/>
          <w:b/>
          <w:spacing w:val="-3"/>
          <w:sz w:val="24"/>
          <w:szCs w:val="24"/>
          <w:lang w:val="es-ES_tradnl"/>
        </w:rPr>
      </w:pPr>
      <w:r>
        <w:rPr>
          <w:rFonts w:ascii="Arial" w:hAnsi="Arial" w:cs="Arial"/>
          <w:b/>
          <w:spacing w:val="-3"/>
          <w:sz w:val="24"/>
          <w:szCs w:val="24"/>
          <w:lang w:val="es-ES_tradnl"/>
        </w:rPr>
        <w:t>Presentación de los Estados</w:t>
      </w:r>
    </w:p>
    <w:p w:rsidR="003A5E55" w:rsidRDefault="003A5E55" w:rsidP="006608F5">
      <w:pPr>
        <w:pStyle w:val="Textoindependiente"/>
        <w:spacing w:line="360" w:lineRule="auto"/>
        <w:jc w:val="both"/>
        <w:rPr>
          <w:rFonts w:ascii="Arial" w:hAnsi="Arial" w:cs="Arial"/>
          <w:spacing w:val="-3"/>
          <w:sz w:val="24"/>
          <w:szCs w:val="24"/>
          <w:lang w:val="es-MX"/>
        </w:rPr>
      </w:pPr>
      <w:r w:rsidRPr="00196746">
        <w:rPr>
          <w:rFonts w:ascii="Arial" w:hAnsi="Arial" w:cs="Arial"/>
          <w:spacing w:val="-3"/>
          <w:sz w:val="24"/>
          <w:szCs w:val="24"/>
          <w:lang w:val="es-MX"/>
        </w:rPr>
        <w:t>Los estados financieros del BSE correspondiente</w:t>
      </w:r>
      <w:r>
        <w:rPr>
          <w:rFonts w:ascii="Arial" w:hAnsi="Arial" w:cs="Arial"/>
          <w:spacing w:val="-3"/>
          <w:sz w:val="24"/>
          <w:szCs w:val="24"/>
          <w:lang w:val="es-MX"/>
        </w:rPr>
        <w:t>s</w:t>
      </w:r>
      <w:r w:rsidRPr="00196746">
        <w:rPr>
          <w:rFonts w:ascii="Arial" w:hAnsi="Arial" w:cs="Arial"/>
          <w:spacing w:val="-3"/>
          <w:sz w:val="24"/>
          <w:szCs w:val="24"/>
          <w:lang w:val="es-MX"/>
        </w:rPr>
        <w:t xml:space="preserve"> al ejercicio finalizado el 31/12/2017, fueron aprobados por Resoluciones de Directorio N° 042/2018 de 29/01/2018 y Nº 170/2018 de 14/03/2018 y remitidos para su examen a este Tribunal con fecha 16/03/2018. </w:t>
      </w:r>
      <w:r>
        <w:rPr>
          <w:rFonts w:ascii="Arial" w:hAnsi="Arial" w:cs="Arial"/>
          <w:spacing w:val="-3"/>
          <w:sz w:val="24"/>
          <w:szCs w:val="24"/>
          <w:lang w:val="es-MX"/>
        </w:rPr>
        <w:t>Dichos estados se presentan razonablemente de acuerdo con las normas contables y los criterios de valuación y presentación dictados por la Superintendencia de Servicios Financieros del Banco Central del Uruguay y la Ordenanza</w:t>
      </w:r>
      <w:r w:rsidR="00200768">
        <w:rPr>
          <w:rFonts w:ascii="Arial" w:hAnsi="Arial" w:cs="Arial"/>
          <w:spacing w:val="-3"/>
          <w:sz w:val="24"/>
          <w:szCs w:val="24"/>
          <w:lang w:val="es-MX"/>
        </w:rPr>
        <w:t xml:space="preserve"> N° 89 del Tribunal de Cuentas.</w:t>
      </w:r>
    </w:p>
    <w:p w:rsidR="003A5E55" w:rsidRDefault="003A5E55" w:rsidP="006608F5">
      <w:pPr>
        <w:pStyle w:val="Textoindependiente"/>
        <w:spacing w:line="360" w:lineRule="auto"/>
        <w:jc w:val="both"/>
        <w:rPr>
          <w:rFonts w:ascii="Arial" w:hAnsi="Arial" w:cs="Arial"/>
          <w:spacing w:val="-3"/>
          <w:sz w:val="24"/>
          <w:szCs w:val="24"/>
          <w:lang w:val="es-MX"/>
        </w:rPr>
      </w:pPr>
      <w:r w:rsidRPr="003C2142">
        <w:rPr>
          <w:rFonts w:ascii="Arial" w:hAnsi="Arial" w:cs="Arial"/>
          <w:spacing w:val="-3"/>
          <w:sz w:val="24"/>
          <w:szCs w:val="24"/>
          <w:lang w:val="es-MX"/>
        </w:rPr>
        <w:t>El Balance de Ejecución Presupuestal del BSE correspondiente al ejercicio finalizado el 31/12/2017, fue aprobado por Resolución de Directorio N°169/18 de 14/03/2018 y remitido para su examen a este Tribunal con fecha 16/03/2018. El mismo se presenta de acuerdo con las normas establecidas en el TOCAF, en el Presupuesto vigente para el ejercicio 2017 y en la Ordenanza N° 75 de fecha 16/09/1998 del Tribunal de Cuentas.</w:t>
      </w:r>
    </w:p>
    <w:p w:rsidR="003A5E55" w:rsidRPr="00196746" w:rsidRDefault="003A5E55" w:rsidP="00E61B97">
      <w:pPr>
        <w:pStyle w:val="Textoindependiente"/>
        <w:spacing w:line="360" w:lineRule="auto"/>
        <w:jc w:val="both"/>
        <w:rPr>
          <w:rFonts w:ascii="Arial" w:hAnsi="Arial" w:cs="Arial"/>
          <w:spacing w:val="-3"/>
          <w:sz w:val="24"/>
          <w:szCs w:val="24"/>
          <w:lang w:val="es-MX"/>
        </w:rPr>
      </w:pPr>
      <w:r>
        <w:rPr>
          <w:rFonts w:ascii="Arial" w:hAnsi="Arial" w:cs="Arial"/>
          <w:spacing w:val="-3"/>
          <w:sz w:val="24"/>
          <w:szCs w:val="24"/>
          <w:lang w:val="es-MX"/>
        </w:rPr>
        <w:t>Se señala que el</w:t>
      </w:r>
      <w:r w:rsidRPr="00196746">
        <w:rPr>
          <w:rFonts w:ascii="Arial" w:hAnsi="Arial" w:cs="Arial"/>
          <w:spacing w:val="-3"/>
          <w:sz w:val="24"/>
          <w:szCs w:val="24"/>
          <w:lang w:val="es-MX"/>
        </w:rPr>
        <w:t xml:space="preserve"> BSE no dio cumplimiento a</w:t>
      </w:r>
      <w:r>
        <w:rPr>
          <w:rFonts w:ascii="Arial" w:hAnsi="Arial" w:cs="Arial"/>
          <w:spacing w:val="-3"/>
          <w:sz w:val="24"/>
          <w:szCs w:val="24"/>
          <w:lang w:val="es-MX"/>
        </w:rPr>
        <w:t>l</w:t>
      </w:r>
      <w:r w:rsidRPr="00196746">
        <w:rPr>
          <w:rFonts w:ascii="Arial" w:hAnsi="Arial" w:cs="Arial"/>
          <w:spacing w:val="-3"/>
          <w:sz w:val="24"/>
          <w:szCs w:val="24"/>
          <w:lang w:val="es-MX"/>
        </w:rPr>
        <w:t xml:space="preserve"> </w:t>
      </w:r>
      <w:r>
        <w:rPr>
          <w:rFonts w:ascii="Arial" w:hAnsi="Arial" w:cs="Arial"/>
          <w:spacing w:val="-3"/>
          <w:sz w:val="24"/>
          <w:szCs w:val="24"/>
          <w:lang w:val="es-MX"/>
        </w:rPr>
        <w:t>Numeral 1.6 de la Ordenanza N°89 al no presentar</w:t>
      </w:r>
      <w:r w:rsidRPr="00196746">
        <w:rPr>
          <w:rFonts w:ascii="Arial" w:hAnsi="Arial" w:cs="Arial"/>
          <w:spacing w:val="-3"/>
          <w:sz w:val="24"/>
          <w:szCs w:val="24"/>
          <w:lang w:val="es-MX"/>
        </w:rPr>
        <w:t xml:space="preserve"> el Estado de Resultados Integral.</w:t>
      </w:r>
    </w:p>
    <w:p w:rsidR="003A5E55" w:rsidRDefault="003A5E55" w:rsidP="00E61B97">
      <w:pPr>
        <w:pStyle w:val="Textoindependiente"/>
        <w:spacing w:line="360" w:lineRule="auto"/>
        <w:jc w:val="both"/>
        <w:rPr>
          <w:rFonts w:ascii="Arial" w:hAnsi="Arial" w:cs="Arial"/>
          <w:spacing w:val="-3"/>
          <w:sz w:val="24"/>
          <w:szCs w:val="24"/>
          <w:lang w:val="es-MX"/>
        </w:rPr>
      </w:pPr>
      <w:r>
        <w:rPr>
          <w:rFonts w:ascii="Arial" w:hAnsi="Arial" w:cs="Arial"/>
          <w:spacing w:val="-3"/>
          <w:sz w:val="24"/>
          <w:szCs w:val="24"/>
          <w:lang w:val="es-MX"/>
        </w:rPr>
        <w:t>A su vez corresponde señalar lo siguiente:</w:t>
      </w:r>
    </w:p>
    <w:p w:rsidR="003A5E55" w:rsidRPr="00E61B97" w:rsidRDefault="003A5E55" w:rsidP="00E61B97">
      <w:pPr>
        <w:pStyle w:val="Textoindependiente"/>
        <w:spacing w:line="360" w:lineRule="auto"/>
        <w:jc w:val="both"/>
        <w:rPr>
          <w:rFonts w:ascii="Arial" w:hAnsi="Arial" w:cs="Arial"/>
          <w:spacing w:val="-3"/>
          <w:sz w:val="24"/>
          <w:szCs w:val="24"/>
          <w:lang w:val="es-MX"/>
        </w:rPr>
      </w:pPr>
      <w:r>
        <w:rPr>
          <w:rFonts w:ascii="Arial" w:hAnsi="Arial" w:cs="Arial"/>
          <w:spacing w:val="-3"/>
          <w:sz w:val="24"/>
          <w:szCs w:val="24"/>
          <w:lang w:val="es-MX"/>
        </w:rPr>
        <w:t>•</w:t>
      </w:r>
      <w:r>
        <w:rPr>
          <w:rFonts w:ascii="Arial" w:hAnsi="Arial" w:cs="Arial"/>
          <w:spacing w:val="-3"/>
          <w:sz w:val="24"/>
          <w:szCs w:val="24"/>
          <w:lang w:val="es-MX"/>
        </w:rPr>
        <w:tab/>
      </w:r>
      <w:r w:rsidRPr="00E61B97">
        <w:rPr>
          <w:rFonts w:ascii="Arial" w:hAnsi="Arial" w:cs="Arial"/>
          <w:spacing w:val="-3"/>
          <w:sz w:val="24"/>
          <w:szCs w:val="24"/>
          <w:lang w:val="es-MX"/>
        </w:rPr>
        <w:t>No se aplicaron las políticas contables previstas en esta norm</w:t>
      </w:r>
      <w:r>
        <w:rPr>
          <w:rFonts w:ascii="Arial" w:hAnsi="Arial" w:cs="Arial"/>
          <w:spacing w:val="-3"/>
          <w:sz w:val="24"/>
          <w:szCs w:val="24"/>
          <w:lang w:val="es-MX"/>
        </w:rPr>
        <w:t xml:space="preserve">a al compensar  saldos </w:t>
      </w:r>
      <w:r w:rsidRPr="00D36878">
        <w:rPr>
          <w:rFonts w:ascii="Arial" w:hAnsi="Arial" w:cs="Arial"/>
          <w:spacing w:val="-3"/>
          <w:sz w:val="24"/>
          <w:szCs w:val="24"/>
          <w:lang w:val="es-MX"/>
        </w:rPr>
        <w:t xml:space="preserve">deudores  </w:t>
      </w:r>
      <w:r w:rsidRPr="00F37459">
        <w:rPr>
          <w:rFonts w:ascii="Arial" w:hAnsi="Arial" w:cs="Arial"/>
          <w:spacing w:val="-3"/>
          <w:sz w:val="24"/>
          <w:szCs w:val="24"/>
          <w:lang w:val="es-MX"/>
        </w:rPr>
        <w:t>por $ 10:442.600 con</w:t>
      </w:r>
      <w:r w:rsidRPr="00E61B97">
        <w:rPr>
          <w:rFonts w:ascii="Arial" w:hAnsi="Arial" w:cs="Arial"/>
          <w:spacing w:val="-3"/>
          <w:sz w:val="24"/>
          <w:szCs w:val="24"/>
          <w:lang w:val="es-MX"/>
        </w:rPr>
        <w:t xml:space="preserve"> acreedores</w:t>
      </w:r>
      <w:r>
        <w:rPr>
          <w:rFonts w:ascii="Arial" w:hAnsi="Arial" w:cs="Arial"/>
          <w:spacing w:val="-3"/>
          <w:sz w:val="24"/>
          <w:szCs w:val="24"/>
          <w:lang w:val="es-MX"/>
        </w:rPr>
        <w:t>,</w:t>
      </w:r>
      <w:r w:rsidRPr="00E61B97">
        <w:rPr>
          <w:rFonts w:ascii="Arial" w:hAnsi="Arial" w:cs="Arial"/>
          <w:spacing w:val="-3"/>
          <w:sz w:val="24"/>
          <w:szCs w:val="24"/>
          <w:lang w:val="es-MX"/>
        </w:rPr>
        <w:t xml:space="preserve"> en el ca</w:t>
      </w:r>
      <w:r>
        <w:rPr>
          <w:rFonts w:ascii="Arial" w:hAnsi="Arial" w:cs="Arial"/>
          <w:spacing w:val="-3"/>
          <w:sz w:val="24"/>
          <w:szCs w:val="24"/>
          <w:lang w:val="es-MX"/>
        </w:rPr>
        <w:t>so de los “Valores en Tránsito” (NIC 1).</w:t>
      </w:r>
    </w:p>
    <w:p w:rsidR="003A5E55" w:rsidRDefault="003A5E55" w:rsidP="00E61B97">
      <w:pPr>
        <w:pStyle w:val="Textoindependiente"/>
        <w:spacing w:line="360" w:lineRule="auto"/>
        <w:jc w:val="both"/>
        <w:rPr>
          <w:rFonts w:ascii="Arial" w:hAnsi="Arial" w:cs="Arial"/>
          <w:spacing w:val="-3"/>
          <w:sz w:val="24"/>
          <w:szCs w:val="24"/>
          <w:lang w:val="es-MX"/>
        </w:rPr>
      </w:pPr>
      <w:r w:rsidRPr="00E61B97">
        <w:rPr>
          <w:rFonts w:ascii="Arial" w:hAnsi="Arial" w:cs="Arial"/>
          <w:spacing w:val="-3"/>
          <w:sz w:val="24"/>
          <w:szCs w:val="24"/>
          <w:lang w:val="es-MX"/>
        </w:rPr>
        <w:t>•</w:t>
      </w:r>
      <w:r w:rsidRPr="00E61B97">
        <w:rPr>
          <w:rFonts w:ascii="Arial" w:hAnsi="Arial" w:cs="Arial"/>
          <w:spacing w:val="-3"/>
          <w:sz w:val="24"/>
          <w:szCs w:val="24"/>
          <w:lang w:val="es-MX"/>
        </w:rPr>
        <w:tab/>
      </w:r>
      <w:r>
        <w:rPr>
          <w:rFonts w:ascii="Arial" w:hAnsi="Arial" w:cs="Arial"/>
          <w:spacing w:val="-3"/>
          <w:sz w:val="24"/>
          <w:szCs w:val="24"/>
          <w:lang w:val="es-MX"/>
        </w:rPr>
        <w:t>No se expuso</w:t>
      </w:r>
      <w:r w:rsidRPr="00E61B97">
        <w:rPr>
          <w:rFonts w:ascii="Arial" w:hAnsi="Arial" w:cs="Arial"/>
          <w:spacing w:val="-3"/>
          <w:sz w:val="24"/>
          <w:szCs w:val="24"/>
          <w:lang w:val="es-MX"/>
        </w:rPr>
        <w:t xml:space="preserve"> el ingreso por la venta de los bienes de uso en el Estado de Flujos de Efectivo como “Actividad de Inversión”, sino que se revela la baja del valor neto de estos biene</w:t>
      </w:r>
      <w:r>
        <w:rPr>
          <w:rFonts w:ascii="Arial" w:hAnsi="Arial" w:cs="Arial"/>
          <w:spacing w:val="-3"/>
          <w:sz w:val="24"/>
          <w:szCs w:val="24"/>
          <w:lang w:val="es-MX"/>
        </w:rPr>
        <w:t>s en “Act</w:t>
      </w:r>
      <w:r w:rsidR="00200768">
        <w:rPr>
          <w:rFonts w:ascii="Arial" w:hAnsi="Arial" w:cs="Arial"/>
          <w:spacing w:val="-3"/>
          <w:sz w:val="24"/>
          <w:szCs w:val="24"/>
          <w:lang w:val="es-MX"/>
        </w:rPr>
        <w:t>ividades de Operación” (NIC 7).</w:t>
      </w:r>
    </w:p>
    <w:p w:rsidR="003A5E55" w:rsidRDefault="003A5E55" w:rsidP="00E61B97">
      <w:pPr>
        <w:pStyle w:val="Textoindependiente"/>
        <w:spacing w:line="360" w:lineRule="auto"/>
        <w:jc w:val="both"/>
        <w:rPr>
          <w:rFonts w:ascii="Arial" w:hAnsi="Arial" w:cs="Arial"/>
          <w:spacing w:val="-3"/>
          <w:sz w:val="24"/>
          <w:szCs w:val="24"/>
          <w:lang w:val="es-MX"/>
        </w:rPr>
      </w:pPr>
      <w:r w:rsidRPr="00E61B97">
        <w:rPr>
          <w:rFonts w:ascii="Arial" w:hAnsi="Arial" w:cs="Arial"/>
          <w:spacing w:val="-3"/>
          <w:sz w:val="24"/>
          <w:szCs w:val="24"/>
          <w:lang w:val="es-MX"/>
        </w:rPr>
        <w:t>•</w:t>
      </w:r>
      <w:r w:rsidRPr="00E61B97">
        <w:rPr>
          <w:rFonts w:ascii="Arial" w:hAnsi="Arial" w:cs="Arial"/>
          <w:spacing w:val="-3"/>
          <w:sz w:val="24"/>
          <w:szCs w:val="24"/>
          <w:lang w:val="es-MX"/>
        </w:rPr>
        <w:tab/>
        <w:t>No se revel</w:t>
      </w:r>
      <w:r>
        <w:rPr>
          <w:rFonts w:ascii="Arial" w:hAnsi="Arial" w:cs="Arial"/>
          <w:spacing w:val="-3"/>
          <w:sz w:val="24"/>
          <w:szCs w:val="24"/>
          <w:lang w:val="es-MX"/>
        </w:rPr>
        <w:t>ó</w:t>
      </w:r>
      <w:r w:rsidRPr="00E61B97">
        <w:rPr>
          <w:rFonts w:ascii="Arial" w:hAnsi="Arial" w:cs="Arial"/>
          <w:spacing w:val="-3"/>
          <w:sz w:val="24"/>
          <w:szCs w:val="24"/>
          <w:lang w:val="es-MX"/>
        </w:rPr>
        <w:t xml:space="preserve">  la información requerida en esta norma, especialmente en lo referido al riesgo de seguros. En tal sentido, no se informa acerca de la sensibilidad al riesgo de seguros, las concentraciones del riesgo de seguros, y la</w:t>
      </w:r>
      <w:r>
        <w:rPr>
          <w:rFonts w:ascii="Arial" w:hAnsi="Arial" w:cs="Arial"/>
          <w:spacing w:val="-3"/>
          <w:sz w:val="24"/>
          <w:szCs w:val="24"/>
          <w:lang w:val="es-MX"/>
        </w:rPr>
        <w:t xml:space="preserve"> evolución de las reclamaciones (NIIF 4).</w:t>
      </w:r>
    </w:p>
    <w:p w:rsidR="00200768" w:rsidRDefault="00200768" w:rsidP="00E61B97">
      <w:pPr>
        <w:pStyle w:val="Textoindependiente"/>
        <w:spacing w:line="360" w:lineRule="auto"/>
        <w:jc w:val="both"/>
        <w:rPr>
          <w:rFonts w:ascii="Arial" w:hAnsi="Arial" w:cs="Arial"/>
          <w:spacing w:val="-3"/>
          <w:sz w:val="24"/>
          <w:szCs w:val="24"/>
          <w:lang w:val="es-MX"/>
        </w:rPr>
      </w:pPr>
    </w:p>
    <w:p w:rsidR="003A5E55" w:rsidRPr="00196746" w:rsidRDefault="003A5E55" w:rsidP="003A5E55">
      <w:pPr>
        <w:pStyle w:val="Textoindependiente"/>
        <w:numPr>
          <w:ilvl w:val="0"/>
          <w:numId w:val="4"/>
        </w:numPr>
        <w:tabs>
          <w:tab w:val="left" w:pos="0"/>
          <w:tab w:val="left" w:pos="567"/>
        </w:tabs>
        <w:spacing w:line="360" w:lineRule="auto"/>
        <w:ind w:hanging="720"/>
        <w:jc w:val="both"/>
        <w:rPr>
          <w:rFonts w:ascii="Arial" w:hAnsi="Arial" w:cs="Arial"/>
          <w:b/>
          <w:sz w:val="24"/>
          <w:szCs w:val="24"/>
        </w:rPr>
      </w:pPr>
      <w:r w:rsidRPr="00196746">
        <w:rPr>
          <w:rFonts w:ascii="Arial" w:hAnsi="Arial" w:cs="Arial"/>
          <w:b/>
          <w:sz w:val="24"/>
          <w:szCs w:val="24"/>
        </w:rPr>
        <w:t xml:space="preserve">Evaluación </w:t>
      </w:r>
      <w:r>
        <w:rPr>
          <w:rFonts w:ascii="Arial" w:hAnsi="Arial" w:cs="Arial"/>
          <w:b/>
          <w:sz w:val="24"/>
          <w:szCs w:val="24"/>
        </w:rPr>
        <w:t>del</w:t>
      </w:r>
      <w:r w:rsidRPr="00196746">
        <w:rPr>
          <w:rFonts w:ascii="Arial" w:hAnsi="Arial" w:cs="Arial"/>
          <w:b/>
          <w:sz w:val="24"/>
          <w:szCs w:val="24"/>
        </w:rPr>
        <w:t xml:space="preserve"> control interno</w:t>
      </w:r>
    </w:p>
    <w:p w:rsidR="003A5E55" w:rsidRDefault="003A5E55" w:rsidP="00056FA9">
      <w:pPr>
        <w:pStyle w:val="Textoindependiente"/>
        <w:spacing w:line="360" w:lineRule="auto"/>
        <w:jc w:val="both"/>
        <w:rPr>
          <w:rFonts w:ascii="Arial" w:hAnsi="Arial" w:cs="Arial"/>
          <w:bCs/>
          <w:sz w:val="24"/>
        </w:rPr>
      </w:pPr>
      <w:r w:rsidRPr="00196746">
        <w:rPr>
          <w:rFonts w:ascii="Arial" w:hAnsi="Arial" w:cs="Arial"/>
          <w:bCs/>
          <w:sz w:val="24"/>
        </w:rPr>
        <w:t>El examen de los aspectos de control interno relevantes para la preparación y presentación razonable de los estados financieros y el Balance de Ejecución Presupuestal no evidenció debilidades en relació</w:t>
      </w:r>
      <w:r w:rsidR="00200768">
        <w:rPr>
          <w:rFonts w:ascii="Arial" w:hAnsi="Arial" w:cs="Arial"/>
          <w:bCs/>
          <w:sz w:val="24"/>
        </w:rPr>
        <w:t>n a las actividades de control.</w:t>
      </w:r>
    </w:p>
    <w:p w:rsidR="00200768" w:rsidRDefault="00200768" w:rsidP="00056FA9">
      <w:pPr>
        <w:pStyle w:val="Textoindependiente"/>
        <w:spacing w:line="360" w:lineRule="auto"/>
        <w:jc w:val="both"/>
        <w:rPr>
          <w:rFonts w:ascii="Arial" w:hAnsi="Arial" w:cs="Arial"/>
          <w:bCs/>
          <w:sz w:val="24"/>
        </w:rPr>
      </w:pPr>
    </w:p>
    <w:p w:rsidR="003A5E55" w:rsidRPr="00196746" w:rsidRDefault="003A5E55" w:rsidP="003A5E55">
      <w:pPr>
        <w:pStyle w:val="Textoindependiente"/>
        <w:numPr>
          <w:ilvl w:val="0"/>
          <w:numId w:val="4"/>
        </w:numPr>
        <w:tabs>
          <w:tab w:val="left" w:pos="0"/>
          <w:tab w:val="left" w:pos="567"/>
        </w:tabs>
        <w:spacing w:line="360" w:lineRule="auto"/>
        <w:ind w:hanging="720"/>
        <w:jc w:val="both"/>
        <w:rPr>
          <w:rFonts w:ascii="Arial" w:hAnsi="Arial" w:cs="Arial"/>
          <w:b/>
          <w:sz w:val="24"/>
          <w:szCs w:val="24"/>
        </w:rPr>
      </w:pPr>
      <w:r w:rsidRPr="00196746">
        <w:rPr>
          <w:rFonts w:ascii="Arial" w:hAnsi="Arial" w:cs="Arial"/>
          <w:b/>
          <w:sz w:val="24"/>
          <w:szCs w:val="24"/>
        </w:rPr>
        <w:t>Recomendaciones</w:t>
      </w:r>
    </w:p>
    <w:p w:rsidR="003A5E55" w:rsidRDefault="003A5E55" w:rsidP="003A5E55">
      <w:pPr>
        <w:pStyle w:val="Textoindependiente"/>
        <w:numPr>
          <w:ilvl w:val="0"/>
          <w:numId w:val="5"/>
        </w:numPr>
        <w:tabs>
          <w:tab w:val="left" w:pos="0"/>
          <w:tab w:val="left" w:pos="567"/>
        </w:tabs>
        <w:spacing w:line="360" w:lineRule="auto"/>
        <w:ind w:hanging="720"/>
        <w:jc w:val="both"/>
        <w:rPr>
          <w:rFonts w:ascii="Arial" w:hAnsi="Arial" w:cs="Arial"/>
          <w:b/>
          <w:sz w:val="24"/>
          <w:szCs w:val="24"/>
        </w:rPr>
      </w:pPr>
      <w:r w:rsidRPr="00196746">
        <w:rPr>
          <w:rFonts w:ascii="Arial" w:hAnsi="Arial" w:cs="Arial"/>
          <w:b/>
          <w:sz w:val="24"/>
          <w:szCs w:val="24"/>
        </w:rPr>
        <w:t>Recomendaciones de ejercicios anteriores</w:t>
      </w:r>
    </w:p>
    <w:p w:rsidR="003A5E55" w:rsidRPr="00183295" w:rsidRDefault="003A5E55" w:rsidP="003A5E55">
      <w:pPr>
        <w:pStyle w:val="Textoindependiente"/>
        <w:numPr>
          <w:ilvl w:val="1"/>
          <w:numId w:val="5"/>
        </w:numPr>
        <w:tabs>
          <w:tab w:val="left" w:pos="0"/>
          <w:tab w:val="left" w:pos="567"/>
        </w:tabs>
        <w:spacing w:line="360" w:lineRule="auto"/>
        <w:ind w:left="426" w:hanging="426"/>
        <w:jc w:val="both"/>
        <w:rPr>
          <w:rFonts w:ascii="Arial" w:hAnsi="Arial" w:cs="Arial"/>
          <w:b/>
          <w:sz w:val="24"/>
          <w:szCs w:val="24"/>
        </w:rPr>
      </w:pPr>
      <w:r w:rsidRPr="00183295">
        <w:rPr>
          <w:rFonts w:ascii="Arial" w:hAnsi="Arial" w:cs="Arial"/>
          <w:b/>
          <w:spacing w:val="-3"/>
          <w:sz w:val="24"/>
          <w:szCs w:val="24"/>
          <w:lang w:val="es-MX"/>
        </w:rPr>
        <w:t>Cumplidas</w:t>
      </w:r>
    </w:p>
    <w:p w:rsidR="003A5E55" w:rsidRPr="00183295" w:rsidRDefault="003A5E55" w:rsidP="003A5E55">
      <w:pPr>
        <w:pStyle w:val="Textoindependiente"/>
        <w:numPr>
          <w:ilvl w:val="3"/>
          <w:numId w:val="6"/>
        </w:numPr>
        <w:tabs>
          <w:tab w:val="left" w:pos="0"/>
          <w:tab w:val="left" w:pos="567"/>
        </w:tabs>
        <w:spacing w:line="360" w:lineRule="auto"/>
        <w:ind w:left="0" w:firstLine="0"/>
        <w:jc w:val="both"/>
        <w:rPr>
          <w:rFonts w:ascii="Arial" w:hAnsi="Arial" w:cs="Arial"/>
          <w:spacing w:val="-3"/>
          <w:sz w:val="24"/>
          <w:lang w:val="es-MX"/>
        </w:rPr>
      </w:pPr>
      <w:r w:rsidRPr="00183295">
        <w:rPr>
          <w:rFonts w:ascii="Arial" w:hAnsi="Arial" w:cs="Arial"/>
          <w:spacing w:val="-3"/>
          <w:sz w:val="24"/>
          <w:lang w:val="es-MX"/>
        </w:rPr>
        <w:t>La Contaduría del Organismo participó en los arqueos tal como lo establece el Artículo 119 del TOCAF.</w:t>
      </w:r>
    </w:p>
    <w:p w:rsidR="003A5E55" w:rsidRDefault="003A5E55" w:rsidP="003A5E55">
      <w:pPr>
        <w:pStyle w:val="Textoindependiente"/>
        <w:numPr>
          <w:ilvl w:val="3"/>
          <w:numId w:val="6"/>
        </w:numPr>
        <w:tabs>
          <w:tab w:val="left" w:pos="0"/>
          <w:tab w:val="left" w:pos="567"/>
        </w:tabs>
        <w:spacing w:line="360" w:lineRule="auto"/>
        <w:ind w:left="0" w:firstLine="0"/>
        <w:jc w:val="both"/>
        <w:rPr>
          <w:rFonts w:ascii="Arial" w:hAnsi="Arial" w:cs="Arial"/>
          <w:spacing w:val="-3"/>
          <w:sz w:val="24"/>
          <w:lang w:val="es-MX"/>
        </w:rPr>
      </w:pPr>
      <w:r w:rsidRPr="00183295">
        <w:rPr>
          <w:rFonts w:ascii="Arial" w:hAnsi="Arial" w:cs="Arial"/>
          <w:spacing w:val="-3"/>
          <w:sz w:val="24"/>
          <w:lang w:val="es-MX"/>
        </w:rPr>
        <w:t>No se registraron incumplimientos en el marco del Artículo 38 del TOCAF.</w:t>
      </w:r>
    </w:p>
    <w:p w:rsidR="003A5E55" w:rsidRDefault="003A5E55" w:rsidP="003A5E55">
      <w:pPr>
        <w:pStyle w:val="Textoindependiente"/>
        <w:numPr>
          <w:ilvl w:val="3"/>
          <w:numId w:val="6"/>
        </w:numPr>
        <w:tabs>
          <w:tab w:val="left" w:pos="0"/>
          <w:tab w:val="left" w:pos="567"/>
        </w:tabs>
        <w:spacing w:line="360" w:lineRule="auto"/>
        <w:ind w:left="0" w:firstLine="0"/>
        <w:jc w:val="both"/>
        <w:rPr>
          <w:rFonts w:ascii="Arial" w:hAnsi="Arial" w:cs="Arial"/>
          <w:spacing w:val="-3"/>
          <w:sz w:val="24"/>
          <w:lang w:val="es-MX"/>
        </w:rPr>
      </w:pPr>
      <w:r w:rsidRPr="00183295">
        <w:rPr>
          <w:rFonts w:ascii="Arial" w:hAnsi="Arial" w:cs="Arial"/>
          <w:spacing w:val="-3"/>
          <w:sz w:val="24"/>
          <w:lang w:val="es-MX"/>
        </w:rPr>
        <w:t>Se establecieron los mecanismos con el fin de minimizar las deficiencias detectadas en el procedimiento de recuento de insumos de la Central de Servicios Médicos (CSM).</w:t>
      </w:r>
    </w:p>
    <w:p w:rsidR="003A5E55" w:rsidRDefault="003A5E55" w:rsidP="003A5E55">
      <w:pPr>
        <w:pStyle w:val="Textoindependiente"/>
        <w:numPr>
          <w:ilvl w:val="3"/>
          <w:numId w:val="6"/>
        </w:numPr>
        <w:tabs>
          <w:tab w:val="left" w:pos="0"/>
          <w:tab w:val="left" w:pos="567"/>
        </w:tabs>
        <w:spacing w:line="360" w:lineRule="auto"/>
        <w:ind w:left="0" w:firstLine="0"/>
        <w:jc w:val="both"/>
        <w:rPr>
          <w:rFonts w:ascii="Arial" w:hAnsi="Arial" w:cs="Arial"/>
          <w:spacing w:val="-3"/>
          <w:sz w:val="24"/>
          <w:lang w:val="es-MX"/>
        </w:rPr>
      </w:pPr>
      <w:r w:rsidRPr="00183295">
        <w:rPr>
          <w:rFonts w:ascii="Arial" w:hAnsi="Arial" w:cs="Arial"/>
          <w:spacing w:val="-3"/>
          <w:sz w:val="24"/>
          <w:lang w:val="es-MX"/>
        </w:rPr>
        <w:t>Se implementaron los controles pertinentes a efectos de la correcta exposición  del saldo de efectivo y equivalente de efectivo tanto en el Estado de Flujos de Efectivo como en la Nota correspondiente.</w:t>
      </w:r>
    </w:p>
    <w:p w:rsidR="003A5E55" w:rsidRPr="00183295" w:rsidRDefault="003A5E55" w:rsidP="003A5E55">
      <w:pPr>
        <w:pStyle w:val="Textoindependiente"/>
        <w:numPr>
          <w:ilvl w:val="3"/>
          <w:numId w:val="6"/>
        </w:numPr>
        <w:tabs>
          <w:tab w:val="left" w:pos="0"/>
          <w:tab w:val="left" w:pos="567"/>
        </w:tabs>
        <w:spacing w:line="360" w:lineRule="auto"/>
        <w:ind w:left="0" w:firstLine="0"/>
        <w:jc w:val="both"/>
        <w:rPr>
          <w:rFonts w:ascii="Arial" w:hAnsi="Arial" w:cs="Arial"/>
          <w:spacing w:val="-3"/>
          <w:sz w:val="24"/>
          <w:lang w:val="es-MX"/>
        </w:rPr>
      </w:pPr>
      <w:r w:rsidRPr="00183295">
        <w:rPr>
          <w:rFonts w:ascii="Arial" w:hAnsi="Arial" w:cs="Arial"/>
          <w:spacing w:val="-3"/>
          <w:sz w:val="24"/>
          <w:lang w:val="es-MX"/>
        </w:rPr>
        <w:t>Se expusieron la totalidad de las trasposiciones realizadas en el ejercicio en el Balance de Ejecución Presupuestal.</w:t>
      </w:r>
    </w:p>
    <w:p w:rsidR="003A5E55" w:rsidRPr="00196746" w:rsidRDefault="003A5E55" w:rsidP="003A5E55">
      <w:pPr>
        <w:pStyle w:val="Textoindependiente"/>
        <w:numPr>
          <w:ilvl w:val="2"/>
          <w:numId w:val="6"/>
        </w:numPr>
        <w:tabs>
          <w:tab w:val="left" w:pos="0"/>
          <w:tab w:val="left" w:pos="567"/>
        </w:tabs>
        <w:spacing w:line="360" w:lineRule="auto"/>
        <w:jc w:val="both"/>
        <w:rPr>
          <w:rFonts w:ascii="Arial" w:hAnsi="Arial" w:cs="Arial"/>
          <w:b/>
          <w:spacing w:val="-3"/>
          <w:sz w:val="24"/>
          <w:szCs w:val="24"/>
          <w:lang w:val="es-MX"/>
        </w:rPr>
      </w:pPr>
      <w:r w:rsidRPr="00196746">
        <w:rPr>
          <w:rFonts w:ascii="Arial" w:hAnsi="Arial" w:cs="Arial"/>
          <w:b/>
          <w:spacing w:val="-3"/>
          <w:sz w:val="24"/>
          <w:szCs w:val="24"/>
          <w:lang w:val="es-MX"/>
        </w:rPr>
        <w:t xml:space="preserve"> No cumplidas</w:t>
      </w:r>
    </w:p>
    <w:p w:rsidR="003A5E55" w:rsidRDefault="003A5E55" w:rsidP="001E21D6">
      <w:pPr>
        <w:pStyle w:val="Textoindependiente"/>
        <w:tabs>
          <w:tab w:val="left" w:pos="0"/>
        </w:tabs>
        <w:spacing w:line="360" w:lineRule="auto"/>
        <w:jc w:val="both"/>
        <w:rPr>
          <w:rFonts w:ascii="Arial" w:hAnsi="Arial" w:cs="Arial"/>
          <w:spacing w:val="-3"/>
          <w:sz w:val="24"/>
          <w:szCs w:val="24"/>
          <w:lang w:val="es-MX"/>
        </w:rPr>
      </w:pPr>
      <w:r w:rsidRPr="00196746">
        <w:rPr>
          <w:rFonts w:ascii="Arial" w:hAnsi="Arial" w:cs="Arial"/>
          <w:spacing w:val="-3"/>
          <w:sz w:val="24"/>
          <w:szCs w:val="24"/>
          <w:lang w:val="es-MX"/>
        </w:rPr>
        <w:t>El BSE no ha implementado medidas correctivas respecto a los siguientes aspectos:</w:t>
      </w:r>
    </w:p>
    <w:p w:rsidR="003A5E55" w:rsidRPr="00C07675" w:rsidRDefault="003A5E55" w:rsidP="003A5E55">
      <w:pPr>
        <w:pStyle w:val="Textoindependiente"/>
        <w:numPr>
          <w:ilvl w:val="3"/>
          <w:numId w:val="6"/>
        </w:numPr>
        <w:tabs>
          <w:tab w:val="left" w:pos="0"/>
        </w:tabs>
        <w:spacing w:line="360" w:lineRule="auto"/>
        <w:ind w:left="0" w:firstLine="0"/>
        <w:jc w:val="both"/>
        <w:rPr>
          <w:rFonts w:ascii="Arial" w:hAnsi="Arial" w:cs="Arial"/>
          <w:spacing w:val="-3"/>
          <w:sz w:val="24"/>
          <w:lang w:val="es-MX"/>
        </w:rPr>
      </w:pPr>
      <w:r w:rsidRPr="00C07675">
        <w:rPr>
          <w:rFonts w:ascii="Arial" w:hAnsi="Arial" w:cs="Arial"/>
          <w:spacing w:val="-3"/>
          <w:sz w:val="24"/>
          <w:lang w:val="es-MX"/>
        </w:rPr>
        <w:t>No se reveló la información requerida en la NIIF 4 “Contratos de Seguros”, especialmente en lo referido a la información a revelar concerniente al riesgo de seguros. No se informa acerca de la sensibilidad al riesgo de seguros, las concentraciones del riesgo de seguros, y la evolución de las reclamaciones.</w:t>
      </w:r>
    </w:p>
    <w:p w:rsidR="003A5E55" w:rsidRPr="00C07675" w:rsidRDefault="003A5E55" w:rsidP="003A5E55">
      <w:pPr>
        <w:pStyle w:val="Textoindependiente"/>
        <w:numPr>
          <w:ilvl w:val="3"/>
          <w:numId w:val="6"/>
        </w:numPr>
        <w:tabs>
          <w:tab w:val="left" w:pos="0"/>
        </w:tabs>
        <w:spacing w:line="360" w:lineRule="auto"/>
        <w:ind w:left="0" w:firstLine="0"/>
        <w:jc w:val="both"/>
        <w:rPr>
          <w:rFonts w:ascii="Arial" w:hAnsi="Arial" w:cs="Arial"/>
          <w:spacing w:val="-3"/>
          <w:sz w:val="24"/>
          <w:lang w:val="es-MX"/>
        </w:rPr>
      </w:pPr>
      <w:r w:rsidRPr="00C07675">
        <w:rPr>
          <w:rFonts w:ascii="Arial" w:hAnsi="Arial" w:cs="Arial"/>
          <w:spacing w:val="-3"/>
          <w:sz w:val="24"/>
          <w:lang w:val="es-MX"/>
        </w:rPr>
        <w:t>Si bien el Banco ha avanzado en el proceso de adecuación de la reserva de accidentes de trabajo no se ha revelado en Notas el importe que resta actualizar.</w:t>
      </w:r>
    </w:p>
    <w:p w:rsidR="003A5E55" w:rsidRPr="00C07675" w:rsidRDefault="003A5E55" w:rsidP="003A5E55">
      <w:pPr>
        <w:pStyle w:val="Textoindependiente"/>
        <w:numPr>
          <w:ilvl w:val="3"/>
          <w:numId w:val="6"/>
        </w:numPr>
        <w:tabs>
          <w:tab w:val="left" w:pos="0"/>
        </w:tabs>
        <w:spacing w:line="360" w:lineRule="auto"/>
        <w:ind w:left="0" w:firstLine="0"/>
        <w:jc w:val="both"/>
        <w:rPr>
          <w:rFonts w:ascii="Arial" w:hAnsi="Arial" w:cs="Arial"/>
          <w:spacing w:val="-3"/>
          <w:sz w:val="24"/>
          <w:lang w:val="es-MX"/>
        </w:rPr>
      </w:pPr>
      <w:r w:rsidRPr="00C07675">
        <w:rPr>
          <w:rFonts w:ascii="Arial" w:hAnsi="Arial" w:cs="Arial"/>
          <w:spacing w:val="-3"/>
          <w:sz w:val="24"/>
          <w:lang w:val="es-MX"/>
        </w:rPr>
        <w:t>Los “Valores en Tránsito” no fueron expuestos en el Activo, de acuerdo al Plan de Cuentas del BCU y en concordancia con la NIC 1.</w:t>
      </w:r>
    </w:p>
    <w:p w:rsidR="003A5E55" w:rsidRPr="00C07675" w:rsidRDefault="003A5E55" w:rsidP="003A5E55">
      <w:pPr>
        <w:pStyle w:val="Textoindependiente"/>
        <w:numPr>
          <w:ilvl w:val="3"/>
          <w:numId w:val="6"/>
        </w:numPr>
        <w:tabs>
          <w:tab w:val="left" w:pos="0"/>
        </w:tabs>
        <w:spacing w:line="360" w:lineRule="auto"/>
        <w:ind w:left="0" w:firstLine="0"/>
        <w:jc w:val="both"/>
        <w:rPr>
          <w:rFonts w:ascii="Arial" w:hAnsi="Arial" w:cs="Arial"/>
          <w:spacing w:val="-3"/>
          <w:sz w:val="24"/>
          <w:lang w:val="es-MX"/>
        </w:rPr>
      </w:pPr>
      <w:r w:rsidRPr="00C07675">
        <w:rPr>
          <w:rFonts w:ascii="Arial" w:hAnsi="Arial" w:cs="Arial"/>
          <w:spacing w:val="-3"/>
          <w:sz w:val="24"/>
          <w:lang w:val="es-MX"/>
        </w:rPr>
        <w:t>No se implementaron procedimientos a efectos de mejorar las debilidades de control interno de las Sucursales y Agencias.</w:t>
      </w:r>
    </w:p>
    <w:p w:rsidR="003A5E55" w:rsidRPr="00A76EE3" w:rsidRDefault="003A5E55" w:rsidP="003A5E55">
      <w:pPr>
        <w:pStyle w:val="Textoindependiente"/>
        <w:numPr>
          <w:ilvl w:val="3"/>
          <w:numId w:val="6"/>
        </w:numPr>
        <w:tabs>
          <w:tab w:val="left" w:pos="0"/>
        </w:tabs>
        <w:spacing w:line="360" w:lineRule="auto"/>
        <w:ind w:left="0" w:firstLine="0"/>
        <w:jc w:val="both"/>
        <w:rPr>
          <w:rFonts w:ascii="Arial" w:hAnsi="Arial" w:cs="Arial"/>
          <w:spacing w:val="-3"/>
          <w:sz w:val="28"/>
          <w:szCs w:val="24"/>
          <w:lang w:val="es-MX"/>
        </w:rPr>
      </w:pPr>
      <w:r w:rsidRPr="00153BE5">
        <w:rPr>
          <w:rFonts w:ascii="Arial" w:hAnsi="Arial" w:cs="Arial"/>
          <w:spacing w:val="-3"/>
          <w:sz w:val="24"/>
          <w:lang w:val="es-MX"/>
        </w:rPr>
        <w:t xml:space="preserve">No se han expuesto los materiales como un rubro diferenciado en el Estado de Situación Patrimonial, si bien los </w:t>
      </w:r>
      <w:r w:rsidRPr="00A76EE3">
        <w:rPr>
          <w:rFonts w:ascii="Arial" w:hAnsi="Arial" w:cs="Arial"/>
          <w:spacing w:val="-3"/>
          <w:sz w:val="24"/>
          <w:lang w:val="es-MX"/>
        </w:rPr>
        <w:t>mismos son identificados en la No</w:t>
      </w:r>
      <w:r w:rsidR="00200768">
        <w:rPr>
          <w:rFonts w:ascii="Arial" w:hAnsi="Arial" w:cs="Arial"/>
          <w:spacing w:val="-3"/>
          <w:sz w:val="24"/>
          <w:lang w:val="es-MX"/>
        </w:rPr>
        <w:t>ta 6 a los Estados Financieros.</w:t>
      </w:r>
    </w:p>
    <w:p w:rsidR="003A5E55" w:rsidRPr="00A76EE3" w:rsidRDefault="003A5E55" w:rsidP="003A5E55">
      <w:pPr>
        <w:pStyle w:val="Textoindependiente"/>
        <w:numPr>
          <w:ilvl w:val="3"/>
          <w:numId w:val="6"/>
        </w:numPr>
        <w:tabs>
          <w:tab w:val="left" w:pos="0"/>
        </w:tabs>
        <w:spacing w:line="360" w:lineRule="auto"/>
        <w:ind w:left="0" w:firstLine="0"/>
        <w:jc w:val="both"/>
        <w:rPr>
          <w:rFonts w:ascii="Arial" w:hAnsi="Arial" w:cs="Arial"/>
          <w:spacing w:val="-3"/>
          <w:sz w:val="28"/>
          <w:szCs w:val="24"/>
          <w:lang w:val="es-MX"/>
        </w:rPr>
      </w:pPr>
      <w:r w:rsidRPr="00A76EE3">
        <w:rPr>
          <w:rFonts w:ascii="Arial" w:hAnsi="Arial" w:cs="Arial"/>
          <w:spacing w:val="-3"/>
          <w:sz w:val="24"/>
          <w:lang w:val="es-MX"/>
        </w:rPr>
        <w:t xml:space="preserve">No se han implementado los procedimientos a efectos de que el saldo de “Deudores por </w:t>
      </w:r>
      <w:proofErr w:type="spellStart"/>
      <w:r w:rsidRPr="00A76EE3">
        <w:rPr>
          <w:rFonts w:ascii="Arial" w:hAnsi="Arial" w:cs="Arial"/>
          <w:spacing w:val="-3"/>
          <w:sz w:val="24"/>
          <w:lang w:val="es-MX"/>
        </w:rPr>
        <w:t>Recuperos</w:t>
      </w:r>
      <w:proofErr w:type="spellEnd"/>
      <w:r w:rsidRPr="00A76EE3">
        <w:rPr>
          <w:rFonts w:ascii="Arial" w:hAnsi="Arial" w:cs="Arial"/>
          <w:spacing w:val="-3"/>
          <w:sz w:val="24"/>
          <w:lang w:val="es-MX"/>
        </w:rPr>
        <w:t xml:space="preserve"> Accidentes de Trabajo” refleje íntegramente los saldos a cobrar a fin de ejercicio.</w:t>
      </w:r>
    </w:p>
    <w:p w:rsidR="003A5E55" w:rsidRPr="00A76EE3" w:rsidRDefault="003A5E55" w:rsidP="003A5E55">
      <w:pPr>
        <w:pStyle w:val="Textoindependiente"/>
        <w:numPr>
          <w:ilvl w:val="3"/>
          <w:numId w:val="6"/>
        </w:numPr>
        <w:tabs>
          <w:tab w:val="left" w:pos="0"/>
        </w:tabs>
        <w:spacing w:line="360" w:lineRule="auto"/>
        <w:ind w:left="0" w:firstLine="0"/>
        <w:jc w:val="both"/>
        <w:rPr>
          <w:rFonts w:ascii="Arial" w:hAnsi="Arial" w:cs="Arial"/>
          <w:spacing w:val="-3"/>
          <w:sz w:val="28"/>
          <w:szCs w:val="24"/>
          <w:lang w:val="es-MX"/>
        </w:rPr>
      </w:pPr>
      <w:r w:rsidRPr="00A76EE3">
        <w:rPr>
          <w:rFonts w:ascii="Arial" w:hAnsi="Arial" w:cs="Arial"/>
          <w:spacing w:val="-3"/>
          <w:sz w:val="24"/>
          <w:lang w:val="es-MX"/>
        </w:rPr>
        <w:t>No se implementaron los mecanismos necesarios para evitar que se vuelvan a producir los incumplimientos legales señalados en el Dictamen del Balance de Ejecución Presupuestal.</w:t>
      </w:r>
    </w:p>
    <w:p w:rsidR="003A5E55" w:rsidRPr="00A76EE3" w:rsidRDefault="003A5E55" w:rsidP="003A5E55">
      <w:pPr>
        <w:pStyle w:val="Textoindependiente"/>
        <w:numPr>
          <w:ilvl w:val="3"/>
          <w:numId w:val="6"/>
        </w:numPr>
        <w:tabs>
          <w:tab w:val="left" w:pos="0"/>
        </w:tabs>
        <w:spacing w:line="360" w:lineRule="auto"/>
        <w:ind w:left="0" w:firstLine="0"/>
        <w:jc w:val="both"/>
        <w:rPr>
          <w:rFonts w:ascii="Arial" w:hAnsi="Arial" w:cs="Arial"/>
          <w:spacing w:val="-3"/>
          <w:sz w:val="28"/>
          <w:szCs w:val="24"/>
          <w:lang w:val="es-MX"/>
        </w:rPr>
      </w:pPr>
      <w:r>
        <w:rPr>
          <w:rFonts w:ascii="Arial" w:hAnsi="Arial" w:cs="Arial"/>
          <w:spacing w:val="-3"/>
          <w:sz w:val="24"/>
          <w:lang w:val="es-MX"/>
        </w:rPr>
        <w:t>El señalamiento efectuado en el ejercicio anterior,  relativo a que n</w:t>
      </w:r>
      <w:r w:rsidRPr="00A76EE3">
        <w:rPr>
          <w:rFonts w:ascii="Arial" w:hAnsi="Arial" w:cs="Arial"/>
          <w:spacing w:val="-3"/>
          <w:sz w:val="24"/>
          <w:lang w:val="es-MX"/>
        </w:rPr>
        <w:t xml:space="preserve">o </w:t>
      </w:r>
      <w:r>
        <w:rPr>
          <w:rFonts w:ascii="Arial" w:hAnsi="Arial" w:cs="Arial"/>
          <w:spacing w:val="-3"/>
          <w:sz w:val="24"/>
          <w:lang w:val="es-MX"/>
        </w:rPr>
        <w:t>se</w:t>
      </w:r>
      <w:r w:rsidRPr="00A76EE3">
        <w:rPr>
          <w:rFonts w:ascii="Arial" w:hAnsi="Arial" w:cs="Arial"/>
          <w:spacing w:val="-3"/>
          <w:sz w:val="24"/>
          <w:lang w:val="es-MX"/>
        </w:rPr>
        <w:t xml:space="preserve"> segrega</w:t>
      </w:r>
      <w:r>
        <w:rPr>
          <w:rFonts w:ascii="Arial" w:hAnsi="Arial" w:cs="Arial"/>
          <w:spacing w:val="-3"/>
          <w:sz w:val="24"/>
          <w:lang w:val="es-MX"/>
        </w:rPr>
        <w:t>n</w:t>
      </w:r>
      <w:r w:rsidRPr="00A76EE3">
        <w:rPr>
          <w:rFonts w:ascii="Arial" w:hAnsi="Arial" w:cs="Arial"/>
          <w:spacing w:val="-3"/>
          <w:sz w:val="24"/>
          <w:lang w:val="es-MX"/>
        </w:rPr>
        <w:t xml:space="preserve"> las funciones de ingreso y autorización de asientos contables</w:t>
      </w:r>
      <w:r>
        <w:rPr>
          <w:rFonts w:ascii="Arial" w:hAnsi="Arial" w:cs="Arial"/>
          <w:spacing w:val="-3"/>
          <w:sz w:val="24"/>
          <w:lang w:val="es-MX"/>
        </w:rPr>
        <w:t>, será evaluado en la futura auditoria informática que se realice</w:t>
      </w:r>
      <w:r w:rsidR="00200768">
        <w:rPr>
          <w:rFonts w:ascii="Arial" w:hAnsi="Arial" w:cs="Arial"/>
          <w:spacing w:val="-3"/>
          <w:sz w:val="24"/>
          <w:lang w:val="es-MX"/>
        </w:rPr>
        <w:t>.</w:t>
      </w:r>
    </w:p>
    <w:p w:rsidR="003A5E55" w:rsidRPr="008932F6" w:rsidRDefault="003A5E55" w:rsidP="008932F6">
      <w:pPr>
        <w:pStyle w:val="Textoindependiente"/>
        <w:tabs>
          <w:tab w:val="left" w:pos="0"/>
          <w:tab w:val="left" w:pos="567"/>
        </w:tabs>
        <w:spacing w:line="360" w:lineRule="auto"/>
        <w:ind w:left="720"/>
        <w:jc w:val="both"/>
        <w:rPr>
          <w:rFonts w:ascii="Arial" w:hAnsi="Arial" w:cs="Arial"/>
          <w:spacing w:val="-3"/>
          <w:sz w:val="24"/>
          <w:szCs w:val="24"/>
          <w:lang w:val="es-MX"/>
        </w:rPr>
      </w:pPr>
    </w:p>
    <w:p w:rsidR="003A5E55" w:rsidRPr="00196746" w:rsidRDefault="003A5E55" w:rsidP="003A5E55">
      <w:pPr>
        <w:pStyle w:val="Textoindependiente"/>
        <w:numPr>
          <w:ilvl w:val="1"/>
          <w:numId w:val="6"/>
        </w:numPr>
        <w:tabs>
          <w:tab w:val="left" w:pos="0"/>
          <w:tab w:val="left" w:pos="567"/>
        </w:tabs>
        <w:spacing w:line="360" w:lineRule="auto"/>
        <w:jc w:val="both"/>
        <w:rPr>
          <w:rFonts w:ascii="Arial" w:hAnsi="Arial" w:cs="Arial"/>
          <w:spacing w:val="-3"/>
          <w:sz w:val="24"/>
          <w:szCs w:val="24"/>
          <w:lang w:val="es-MX"/>
        </w:rPr>
      </w:pPr>
      <w:r w:rsidRPr="00196746">
        <w:rPr>
          <w:rFonts w:ascii="Arial" w:hAnsi="Arial" w:cs="Arial"/>
          <w:b/>
          <w:sz w:val="24"/>
          <w:szCs w:val="24"/>
        </w:rPr>
        <w:t>Recomendaciones del presente ejercicio</w:t>
      </w:r>
    </w:p>
    <w:p w:rsidR="003A5E55" w:rsidRDefault="003A5E55" w:rsidP="001E21D6">
      <w:pPr>
        <w:pStyle w:val="Textoindependiente"/>
        <w:tabs>
          <w:tab w:val="left" w:pos="0"/>
        </w:tabs>
        <w:spacing w:line="360" w:lineRule="auto"/>
        <w:jc w:val="both"/>
        <w:rPr>
          <w:rFonts w:ascii="Arial" w:hAnsi="Arial" w:cs="Arial"/>
          <w:spacing w:val="-3"/>
          <w:sz w:val="24"/>
          <w:szCs w:val="24"/>
          <w:lang w:val="es-MX"/>
        </w:rPr>
      </w:pPr>
      <w:r w:rsidRPr="00196746">
        <w:rPr>
          <w:rFonts w:ascii="Arial" w:hAnsi="Arial" w:cs="Arial"/>
          <w:spacing w:val="-3"/>
          <w:sz w:val="24"/>
          <w:szCs w:val="24"/>
          <w:lang w:val="es-MX"/>
        </w:rPr>
        <w:t>Se reiteran las recomendaciones no cumplidas de ejercicios anteriores, a la que se agregan las siguientes:</w:t>
      </w:r>
    </w:p>
    <w:p w:rsidR="003A5E55" w:rsidRPr="00196746" w:rsidRDefault="003A5E55" w:rsidP="003A5E55">
      <w:pPr>
        <w:pStyle w:val="Prrafodelista"/>
        <w:numPr>
          <w:ilvl w:val="2"/>
          <w:numId w:val="6"/>
        </w:numPr>
        <w:tabs>
          <w:tab w:val="left" w:pos="567"/>
          <w:tab w:val="left" w:pos="709"/>
        </w:tabs>
        <w:spacing w:line="360" w:lineRule="auto"/>
        <w:ind w:left="0" w:firstLine="0"/>
        <w:jc w:val="both"/>
        <w:rPr>
          <w:rFonts w:cs="Arial"/>
          <w:spacing w:val="-3"/>
          <w:lang w:val="es-MX"/>
        </w:rPr>
      </w:pPr>
      <w:r>
        <w:rPr>
          <w:rFonts w:cs="Arial"/>
          <w:spacing w:val="-3"/>
          <w:lang w:val="es-MX"/>
        </w:rPr>
        <w:t xml:space="preserve">  </w:t>
      </w:r>
      <w:r w:rsidRPr="00196746">
        <w:rPr>
          <w:rFonts w:cs="Arial"/>
          <w:spacing w:val="-3"/>
          <w:lang w:val="es-MX"/>
        </w:rPr>
        <w:t>Exponer el ingreso por la venta de los bienes de uso en el Estado de Flujos de Efectivo como “Actividad de Inversión”, de acuerdo a lo establecido en la NIC 7.</w:t>
      </w:r>
    </w:p>
    <w:p w:rsidR="003A5E55" w:rsidRPr="00196746" w:rsidRDefault="003A5E55" w:rsidP="003A5E55">
      <w:pPr>
        <w:pStyle w:val="Prrafodelista"/>
        <w:numPr>
          <w:ilvl w:val="2"/>
          <w:numId w:val="6"/>
        </w:numPr>
        <w:tabs>
          <w:tab w:val="left" w:pos="0"/>
          <w:tab w:val="left" w:pos="567"/>
        </w:tabs>
        <w:spacing w:line="360" w:lineRule="auto"/>
        <w:ind w:left="0" w:firstLine="0"/>
        <w:jc w:val="both"/>
        <w:rPr>
          <w:rFonts w:cs="Arial"/>
          <w:spacing w:val="-3"/>
          <w:lang w:val="es-MX"/>
        </w:rPr>
      </w:pPr>
      <w:r>
        <w:rPr>
          <w:rFonts w:cs="Arial"/>
          <w:spacing w:val="-3"/>
          <w:lang w:val="es-MX"/>
        </w:rPr>
        <w:t xml:space="preserve">  </w:t>
      </w:r>
      <w:r w:rsidRPr="00196746">
        <w:rPr>
          <w:rFonts w:cs="Arial"/>
          <w:spacing w:val="-3"/>
          <w:lang w:val="es-MX"/>
        </w:rPr>
        <w:t>Presentar el Estado de Resultados Integral, tal como lo dispone el numeral 1.6 de la Ordenanza N°</w:t>
      </w:r>
      <w:r>
        <w:rPr>
          <w:rFonts w:cs="Arial"/>
          <w:spacing w:val="-3"/>
          <w:lang w:val="es-MX"/>
        </w:rPr>
        <w:t xml:space="preserve"> </w:t>
      </w:r>
      <w:r w:rsidRPr="00196746">
        <w:rPr>
          <w:rFonts w:cs="Arial"/>
          <w:spacing w:val="-3"/>
          <w:lang w:val="es-MX"/>
        </w:rPr>
        <w:t>89.</w:t>
      </w:r>
    </w:p>
    <w:p w:rsidR="003A5E55" w:rsidRDefault="003A5E55" w:rsidP="002C4C99">
      <w:pPr>
        <w:pStyle w:val="Textoindependiente"/>
        <w:autoSpaceDE w:val="0"/>
        <w:autoSpaceDN w:val="0"/>
        <w:adjustRightInd w:val="0"/>
        <w:spacing w:line="360" w:lineRule="auto"/>
        <w:jc w:val="right"/>
        <w:rPr>
          <w:rFonts w:ascii="Arial" w:hAnsi="Arial" w:cs="Arial"/>
          <w:spacing w:val="-3"/>
          <w:sz w:val="24"/>
          <w:szCs w:val="24"/>
          <w:lang w:val="es-MX"/>
        </w:rPr>
      </w:pPr>
      <w:r w:rsidRPr="00196746">
        <w:rPr>
          <w:rFonts w:ascii="Arial" w:hAnsi="Arial" w:cs="Arial"/>
          <w:spacing w:val="-3"/>
          <w:sz w:val="24"/>
          <w:szCs w:val="24"/>
          <w:lang w:val="es-MX"/>
        </w:rPr>
        <w:t xml:space="preserve">Montevideo, </w:t>
      </w:r>
      <w:r>
        <w:rPr>
          <w:rFonts w:ascii="Arial" w:hAnsi="Arial" w:cs="Arial"/>
          <w:spacing w:val="-3"/>
          <w:sz w:val="24"/>
          <w:szCs w:val="24"/>
          <w:lang w:val="es-MX"/>
        </w:rPr>
        <w:t>1 de octubre de</w:t>
      </w:r>
      <w:r w:rsidR="00200768">
        <w:rPr>
          <w:rFonts w:ascii="Arial" w:hAnsi="Arial" w:cs="Arial"/>
          <w:spacing w:val="-3"/>
          <w:sz w:val="24"/>
          <w:szCs w:val="24"/>
          <w:lang w:val="es-MX"/>
        </w:rPr>
        <w:t xml:space="preserve"> 2018</w:t>
      </w:r>
    </w:p>
    <w:p w:rsidR="003A5E55" w:rsidRDefault="003A5E55"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3A5E55" w:rsidRDefault="003A5E55" w:rsidP="002C4C99">
      <w:pPr>
        <w:pStyle w:val="Textoindependiente"/>
        <w:autoSpaceDE w:val="0"/>
        <w:autoSpaceDN w:val="0"/>
        <w:adjustRightInd w:val="0"/>
        <w:spacing w:line="360" w:lineRule="auto"/>
        <w:jc w:val="right"/>
        <w:rPr>
          <w:rFonts w:ascii="Arial" w:hAnsi="Arial" w:cs="Arial"/>
          <w:spacing w:val="-3"/>
          <w:sz w:val="24"/>
          <w:szCs w:val="24"/>
          <w:lang w:val="es-MX"/>
        </w:rPr>
      </w:pPr>
    </w:p>
    <w:p w:rsidR="003A5E55" w:rsidRPr="003A5E55" w:rsidRDefault="003A5E55" w:rsidP="003A5E55">
      <w:pPr>
        <w:pStyle w:val="Textoindependiente"/>
        <w:autoSpaceDE w:val="0"/>
        <w:autoSpaceDN w:val="0"/>
        <w:adjustRightInd w:val="0"/>
        <w:spacing w:line="360" w:lineRule="auto"/>
        <w:rPr>
          <w:rFonts w:ascii="Arial" w:hAnsi="Arial" w:cs="Arial"/>
          <w:spacing w:val="-3"/>
          <w:sz w:val="24"/>
          <w:szCs w:val="24"/>
          <w:lang w:val="es-MX"/>
        </w:rPr>
      </w:pPr>
      <w:proofErr w:type="spellStart"/>
      <w:proofErr w:type="gramStart"/>
      <w:r>
        <w:rPr>
          <w:rFonts w:ascii="Arial" w:hAnsi="Arial" w:cs="Arial"/>
          <w:spacing w:val="-3"/>
          <w:sz w:val="24"/>
          <w:szCs w:val="24"/>
          <w:lang w:val="es-MX"/>
        </w:rPr>
        <w:t>cr</w:t>
      </w:r>
      <w:proofErr w:type="spellEnd"/>
      <w:proofErr w:type="gramEnd"/>
    </w:p>
    <w:sectPr w:rsidR="003A5E55" w:rsidRPr="003A5E55" w:rsidSect="009960B3">
      <w:footerReference w:type="even" r:id="rId8"/>
      <w:footerReference w:type="default" r:id="rId9"/>
      <w:pgSz w:w="11906" w:h="16838" w:code="9"/>
      <w:pgMar w:top="3402" w:right="1701" w:bottom="1418" w:left="1701" w:header="0" w:footer="0" w:gutter="0"/>
      <w:paperSrc w:first="4" w:other="4"/>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639" w:rsidRDefault="00D76639">
      <w:pPr>
        <w:spacing w:after="0" w:line="240" w:lineRule="auto"/>
      </w:pPr>
      <w:r>
        <w:separator/>
      </w:r>
    </w:p>
  </w:endnote>
  <w:endnote w:type="continuationSeparator" w:id="0">
    <w:p w:rsidR="00D76639" w:rsidRDefault="00D7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5AD" w:rsidRDefault="004E6F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F65AD" w:rsidRDefault="00E7588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5AD" w:rsidRDefault="004E6F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588A">
      <w:rPr>
        <w:rStyle w:val="Nmerodepgina"/>
        <w:noProof/>
      </w:rPr>
      <w:t>1</w:t>
    </w:r>
    <w:r>
      <w:rPr>
        <w:rStyle w:val="Nmerodepgina"/>
      </w:rPr>
      <w:fldChar w:fldCharType="end"/>
    </w:r>
  </w:p>
  <w:p w:rsidR="007F65AD" w:rsidRDefault="00E7588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639" w:rsidRDefault="00D76639">
      <w:pPr>
        <w:spacing w:after="0" w:line="240" w:lineRule="auto"/>
      </w:pPr>
      <w:r>
        <w:separator/>
      </w:r>
    </w:p>
  </w:footnote>
  <w:footnote w:type="continuationSeparator" w:id="0">
    <w:p w:rsidR="00D76639" w:rsidRDefault="00D76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A3EC9"/>
    <w:multiLevelType w:val="hybridMultilevel"/>
    <w:tmpl w:val="B32C31E6"/>
    <w:lvl w:ilvl="0" w:tplc="F4C2691A">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1B3D21FE"/>
    <w:multiLevelType w:val="multilevel"/>
    <w:tmpl w:val="6DDE6706"/>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02026F0"/>
    <w:multiLevelType w:val="hybridMultilevel"/>
    <w:tmpl w:val="41E0B76E"/>
    <w:lvl w:ilvl="0" w:tplc="8788D6CE">
      <w:start w:val="3"/>
      <w:numFmt w:val="decimal"/>
      <w:lvlText w:val="%1.1"/>
      <w:lvlJc w:val="left"/>
      <w:pPr>
        <w:ind w:left="720" w:hanging="360"/>
      </w:pPr>
      <w:rPr>
        <w:rFonts w:hint="default"/>
      </w:rPr>
    </w:lvl>
    <w:lvl w:ilvl="1" w:tplc="37E23A20">
      <w:start w:val="3"/>
      <w:numFmt w:val="decimal"/>
      <w:lvlText w:val="%2.1.1"/>
      <w:lvlJc w:val="left"/>
      <w:pPr>
        <w:ind w:left="1440" w:hanging="360"/>
      </w:pPr>
      <w:rPr>
        <w:rFonts w:hint="default"/>
      </w:rPr>
    </w:lvl>
    <w:lvl w:ilvl="2" w:tplc="380A001B">
      <w:start w:val="1"/>
      <w:numFmt w:val="lowerRoman"/>
      <w:lvlText w:val="%3."/>
      <w:lvlJc w:val="right"/>
      <w:pPr>
        <w:ind w:left="2160" w:hanging="180"/>
      </w:pPr>
    </w:lvl>
    <w:lvl w:ilvl="3" w:tplc="380A000F">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53C60ACB"/>
    <w:multiLevelType w:val="hybridMultilevel"/>
    <w:tmpl w:val="A0B020D6"/>
    <w:lvl w:ilvl="0" w:tplc="F4C2691A">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569E3123"/>
    <w:multiLevelType w:val="hybridMultilevel"/>
    <w:tmpl w:val="1EFE4DB4"/>
    <w:lvl w:ilvl="0" w:tplc="380A000F">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1D8"/>
    <w:rsid w:val="00140E0A"/>
    <w:rsid w:val="00194201"/>
    <w:rsid w:val="001B25BE"/>
    <w:rsid w:val="00200768"/>
    <w:rsid w:val="00243761"/>
    <w:rsid w:val="00357686"/>
    <w:rsid w:val="003A5E55"/>
    <w:rsid w:val="004A3363"/>
    <w:rsid w:val="004B5F45"/>
    <w:rsid w:val="004E6F50"/>
    <w:rsid w:val="005C4CEC"/>
    <w:rsid w:val="00635C9B"/>
    <w:rsid w:val="00670912"/>
    <w:rsid w:val="006742D5"/>
    <w:rsid w:val="007C5E7F"/>
    <w:rsid w:val="009960B3"/>
    <w:rsid w:val="009D2E35"/>
    <w:rsid w:val="009F7AF6"/>
    <w:rsid w:val="00A111D4"/>
    <w:rsid w:val="00B35826"/>
    <w:rsid w:val="00BB719B"/>
    <w:rsid w:val="00BC162A"/>
    <w:rsid w:val="00BE4D44"/>
    <w:rsid w:val="00BF342A"/>
    <w:rsid w:val="00C44E2F"/>
    <w:rsid w:val="00D141D8"/>
    <w:rsid w:val="00D45390"/>
    <w:rsid w:val="00D76639"/>
    <w:rsid w:val="00D84310"/>
    <w:rsid w:val="00DD0418"/>
    <w:rsid w:val="00DE218C"/>
    <w:rsid w:val="00DF4813"/>
    <w:rsid w:val="00E102AC"/>
    <w:rsid w:val="00E7588A"/>
    <w:rsid w:val="00EE47CC"/>
    <w:rsid w:val="00FD744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3A5E55"/>
    <w:pPr>
      <w:keepNext/>
      <w:spacing w:after="0" w:line="240" w:lineRule="auto"/>
      <w:jc w:val="center"/>
      <w:outlineLvl w:val="2"/>
    </w:pPr>
    <w:rPr>
      <w:rFonts w:ascii="Bookman Old Style" w:eastAsia="Times New Roman" w:hAnsi="Bookman Old Style"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D141D8"/>
    <w:pPr>
      <w:tabs>
        <w:tab w:val="center" w:pos="4252"/>
        <w:tab w:val="right" w:pos="8504"/>
      </w:tabs>
      <w:spacing w:after="0" w:line="240" w:lineRule="auto"/>
    </w:pPr>
    <w:rPr>
      <w:rFonts w:ascii="Arial" w:eastAsia="Times New Roman" w:hAnsi="Arial" w:cs="Times New Roman"/>
      <w:sz w:val="24"/>
      <w:szCs w:val="24"/>
      <w:lang w:val="es-ES" w:eastAsia="es-ES"/>
    </w:rPr>
  </w:style>
  <w:style w:type="character" w:customStyle="1" w:styleId="PiedepginaCar">
    <w:name w:val="Pie de página Car"/>
    <w:basedOn w:val="Fuentedeprrafopredeter"/>
    <w:link w:val="Piedepgina"/>
    <w:semiHidden/>
    <w:rsid w:val="00D141D8"/>
    <w:rPr>
      <w:rFonts w:ascii="Arial" w:eastAsia="Times New Roman" w:hAnsi="Arial" w:cs="Times New Roman"/>
      <w:sz w:val="24"/>
      <w:szCs w:val="24"/>
      <w:lang w:val="es-ES" w:eastAsia="es-ES"/>
    </w:rPr>
  </w:style>
  <w:style w:type="character" w:styleId="Nmerodepgina">
    <w:name w:val="page number"/>
    <w:basedOn w:val="Fuentedeprrafopredeter"/>
    <w:semiHidden/>
    <w:rsid w:val="00D141D8"/>
  </w:style>
  <w:style w:type="paragraph" w:styleId="Textodeglobo">
    <w:name w:val="Balloon Text"/>
    <w:basedOn w:val="Normal"/>
    <w:link w:val="TextodegloboCar"/>
    <w:uiPriority w:val="99"/>
    <w:semiHidden/>
    <w:unhideWhenUsed/>
    <w:rsid w:val="00635C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5C9B"/>
    <w:rPr>
      <w:rFonts w:ascii="Tahoma" w:hAnsi="Tahoma" w:cs="Tahoma"/>
      <w:sz w:val="16"/>
      <w:szCs w:val="16"/>
    </w:rPr>
  </w:style>
  <w:style w:type="paragraph" w:styleId="Prrafodelista">
    <w:name w:val="List Paragraph"/>
    <w:basedOn w:val="Normal"/>
    <w:uiPriority w:val="34"/>
    <w:qFormat/>
    <w:rsid w:val="003A5E55"/>
    <w:pPr>
      <w:spacing w:after="0" w:line="240" w:lineRule="auto"/>
      <w:ind w:left="720"/>
      <w:contextualSpacing/>
    </w:pPr>
    <w:rPr>
      <w:rFonts w:ascii="Arial" w:eastAsia="Times New Roman" w:hAnsi="Arial" w:cs="Times New Roman"/>
      <w:sz w:val="24"/>
      <w:szCs w:val="24"/>
      <w:lang w:val="es-ES" w:eastAsia="es-ES"/>
    </w:rPr>
  </w:style>
  <w:style w:type="character" w:customStyle="1" w:styleId="Ttulo3Car">
    <w:name w:val="Título 3 Car"/>
    <w:basedOn w:val="Fuentedeprrafopredeter"/>
    <w:link w:val="Ttulo3"/>
    <w:rsid w:val="003A5E55"/>
    <w:rPr>
      <w:rFonts w:ascii="Bookman Old Style" w:eastAsia="Times New Roman" w:hAnsi="Bookman Old Style" w:cs="Times New Roman"/>
      <w:b/>
      <w:sz w:val="24"/>
      <w:szCs w:val="20"/>
      <w:lang w:val="es-ES" w:eastAsia="es-ES"/>
    </w:rPr>
  </w:style>
  <w:style w:type="paragraph" w:styleId="Textoindependiente">
    <w:name w:val="Body Text"/>
    <w:basedOn w:val="Normal"/>
    <w:link w:val="TextoindependienteCar"/>
    <w:semiHidden/>
    <w:rsid w:val="003A5E55"/>
    <w:pPr>
      <w:spacing w:after="0" w:line="480" w:lineRule="auto"/>
    </w:pPr>
    <w:rPr>
      <w:rFonts w:ascii="Times New Roman" w:eastAsia="Times New Roman" w:hAnsi="Times New Roman" w:cs="Times New Roman"/>
      <w:sz w:val="23"/>
      <w:szCs w:val="23"/>
      <w:lang w:eastAsia="es-ES"/>
    </w:rPr>
  </w:style>
  <w:style w:type="character" w:customStyle="1" w:styleId="TextoindependienteCar">
    <w:name w:val="Texto independiente Car"/>
    <w:basedOn w:val="Fuentedeprrafopredeter"/>
    <w:link w:val="Textoindependiente"/>
    <w:semiHidden/>
    <w:rsid w:val="003A5E55"/>
    <w:rPr>
      <w:rFonts w:ascii="Times New Roman" w:eastAsia="Times New Roman" w:hAnsi="Times New Roman" w:cs="Times New Roman"/>
      <w:sz w:val="23"/>
      <w:szCs w:val="23"/>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3A5E55"/>
    <w:pPr>
      <w:keepNext/>
      <w:spacing w:after="0" w:line="240" w:lineRule="auto"/>
      <w:jc w:val="center"/>
      <w:outlineLvl w:val="2"/>
    </w:pPr>
    <w:rPr>
      <w:rFonts w:ascii="Bookman Old Style" w:eastAsia="Times New Roman" w:hAnsi="Bookman Old Style"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D141D8"/>
    <w:pPr>
      <w:tabs>
        <w:tab w:val="center" w:pos="4252"/>
        <w:tab w:val="right" w:pos="8504"/>
      </w:tabs>
      <w:spacing w:after="0" w:line="240" w:lineRule="auto"/>
    </w:pPr>
    <w:rPr>
      <w:rFonts w:ascii="Arial" w:eastAsia="Times New Roman" w:hAnsi="Arial" w:cs="Times New Roman"/>
      <w:sz w:val="24"/>
      <w:szCs w:val="24"/>
      <w:lang w:val="es-ES" w:eastAsia="es-ES"/>
    </w:rPr>
  </w:style>
  <w:style w:type="character" w:customStyle="1" w:styleId="PiedepginaCar">
    <w:name w:val="Pie de página Car"/>
    <w:basedOn w:val="Fuentedeprrafopredeter"/>
    <w:link w:val="Piedepgina"/>
    <w:semiHidden/>
    <w:rsid w:val="00D141D8"/>
    <w:rPr>
      <w:rFonts w:ascii="Arial" w:eastAsia="Times New Roman" w:hAnsi="Arial" w:cs="Times New Roman"/>
      <w:sz w:val="24"/>
      <w:szCs w:val="24"/>
      <w:lang w:val="es-ES" w:eastAsia="es-ES"/>
    </w:rPr>
  </w:style>
  <w:style w:type="character" w:styleId="Nmerodepgina">
    <w:name w:val="page number"/>
    <w:basedOn w:val="Fuentedeprrafopredeter"/>
    <w:semiHidden/>
    <w:rsid w:val="00D141D8"/>
  </w:style>
  <w:style w:type="paragraph" w:styleId="Textodeglobo">
    <w:name w:val="Balloon Text"/>
    <w:basedOn w:val="Normal"/>
    <w:link w:val="TextodegloboCar"/>
    <w:uiPriority w:val="99"/>
    <w:semiHidden/>
    <w:unhideWhenUsed/>
    <w:rsid w:val="00635C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5C9B"/>
    <w:rPr>
      <w:rFonts w:ascii="Tahoma" w:hAnsi="Tahoma" w:cs="Tahoma"/>
      <w:sz w:val="16"/>
      <w:szCs w:val="16"/>
    </w:rPr>
  </w:style>
  <w:style w:type="paragraph" w:styleId="Prrafodelista">
    <w:name w:val="List Paragraph"/>
    <w:basedOn w:val="Normal"/>
    <w:uiPriority w:val="34"/>
    <w:qFormat/>
    <w:rsid w:val="003A5E55"/>
    <w:pPr>
      <w:spacing w:after="0" w:line="240" w:lineRule="auto"/>
      <w:ind w:left="720"/>
      <w:contextualSpacing/>
    </w:pPr>
    <w:rPr>
      <w:rFonts w:ascii="Arial" w:eastAsia="Times New Roman" w:hAnsi="Arial" w:cs="Times New Roman"/>
      <w:sz w:val="24"/>
      <w:szCs w:val="24"/>
      <w:lang w:val="es-ES" w:eastAsia="es-ES"/>
    </w:rPr>
  </w:style>
  <w:style w:type="character" w:customStyle="1" w:styleId="Ttulo3Car">
    <w:name w:val="Título 3 Car"/>
    <w:basedOn w:val="Fuentedeprrafopredeter"/>
    <w:link w:val="Ttulo3"/>
    <w:rsid w:val="003A5E55"/>
    <w:rPr>
      <w:rFonts w:ascii="Bookman Old Style" w:eastAsia="Times New Roman" w:hAnsi="Bookman Old Style" w:cs="Times New Roman"/>
      <w:b/>
      <w:sz w:val="24"/>
      <w:szCs w:val="20"/>
      <w:lang w:val="es-ES" w:eastAsia="es-ES"/>
    </w:rPr>
  </w:style>
  <w:style w:type="paragraph" w:styleId="Textoindependiente">
    <w:name w:val="Body Text"/>
    <w:basedOn w:val="Normal"/>
    <w:link w:val="TextoindependienteCar"/>
    <w:semiHidden/>
    <w:rsid w:val="003A5E55"/>
    <w:pPr>
      <w:spacing w:after="0" w:line="480" w:lineRule="auto"/>
    </w:pPr>
    <w:rPr>
      <w:rFonts w:ascii="Times New Roman" w:eastAsia="Times New Roman" w:hAnsi="Times New Roman" w:cs="Times New Roman"/>
      <w:sz w:val="23"/>
      <w:szCs w:val="23"/>
      <w:lang w:eastAsia="es-ES"/>
    </w:rPr>
  </w:style>
  <w:style w:type="character" w:customStyle="1" w:styleId="TextoindependienteCar">
    <w:name w:val="Texto independiente Car"/>
    <w:basedOn w:val="Fuentedeprrafopredeter"/>
    <w:link w:val="Textoindependiente"/>
    <w:semiHidden/>
    <w:rsid w:val="003A5E55"/>
    <w:rPr>
      <w:rFonts w:ascii="Times New Roman" w:eastAsia="Times New Roman" w:hAnsi="Times New Roman" w:cs="Times New Roman"/>
      <w:sz w:val="23"/>
      <w:szCs w:val="23"/>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15</Pages>
  <Words>3098</Words>
  <Characters>17045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BSE</Company>
  <LinksUpToDate>false</LinksUpToDate>
  <CharactersWithSpaces>20103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Medeyros, Guadalupe (TdeC)</dc:creator>
  <cp:lastModifiedBy>Tribunal1</cp:lastModifiedBy>
  <cp:revision>7</cp:revision>
  <cp:lastPrinted>2018-10-16T18:17:00Z</cp:lastPrinted>
  <dcterms:created xsi:type="dcterms:W3CDTF">2018-10-16T18:17:00Z</dcterms:created>
  <dcterms:modified xsi:type="dcterms:W3CDTF">2018-11-20T18:58:00Z</dcterms:modified>
</cp:coreProperties>
</file>