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58" w:rsidRPr="005B2A58" w:rsidRDefault="005B2A58" w:rsidP="005B2A58">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RES.3214 /18</w:t>
      </w:r>
      <w:bookmarkStart w:id="0" w:name="_GoBack"/>
      <w:bookmarkEnd w:id="0"/>
    </w:p>
    <w:p w:rsidR="005B2A58" w:rsidRPr="005B2A58" w:rsidRDefault="005B2A58" w:rsidP="005B2A58">
      <w:pPr>
        <w:tabs>
          <w:tab w:val="center" w:pos="4253"/>
        </w:tabs>
        <w:suppressAutoHyphens/>
        <w:spacing w:after="0" w:line="240" w:lineRule="auto"/>
        <w:jc w:val="center"/>
        <w:rPr>
          <w:rFonts w:ascii="Arial" w:hAnsi="Arial" w:cs="Arial"/>
          <w:b/>
          <w:sz w:val="24"/>
          <w:szCs w:val="24"/>
          <w:lang w:val="es-ES_tradnl"/>
        </w:rPr>
      </w:pPr>
      <w:r w:rsidRPr="005B2A58">
        <w:rPr>
          <w:rFonts w:ascii="Arial" w:hAnsi="Arial" w:cs="Arial"/>
          <w:b/>
          <w:sz w:val="24"/>
          <w:szCs w:val="24"/>
          <w:lang w:val="es-ES_tradnl"/>
        </w:rPr>
        <w:t>RESOLUCION ADOPTADA POR EL</w:t>
      </w:r>
    </w:p>
    <w:p w:rsidR="005B2A58" w:rsidRPr="005B2A58" w:rsidRDefault="005B2A58" w:rsidP="005B2A58">
      <w:pPr>
        <w:tabs>
          <w:tab w:val="left" w:pos="-720"/>
        </w:tabs>
        <w:suppressAutoHyphens/>
        <w:spacing w:after="0" w:line="240" w:lineRule="auto"/>
        <w:jc w:val="center"/>
        <w:rPr>
          <w:rFonts w:ascii="Arial" w:hAnsi="Arial" w:cs="Arial"/>
          <w:b/>
          <w:sz w:val="24"/>
          <w:szCs w:val="24"/>
          <w:lang w:val="es-ES_tradnl"/>
        </w:rPr>
      </w:pPr>
    </w:p>
    <w:p w:rsidR="005B2A58" w:rsidRPr="005B2A58" w:rsidRDefault="005B2A58" w:rsidP="005B2A58">
      <w:pPr>
        <w:tabs>
          <w:tab w:val="center" w:pos="4253"/>
        </w:tabs>
        <w:suppressAutoHyphens/>
        <w:spacing w:after="0" w:line="240" w:lineRule="auto"/>
        <w:jc w:val="center"/>
        <w:rPr>
          <w:rFonts w:ascii="Arial" w:hAnsi="Arial" w:cs="Arial"/>
          <w:b/>
          <w:sz w:val="24"/>
          <w:szCs w:val="24"/>
          <w:lang w:val="es-ES_tradnl"/>
        </w:rPr>
      </w:pPr>
      <w:r w:rsidRPr="005B2A58">
        <w:rPr>
          <w:rFonts w:ascii="Arial" w:hAnsi="Arial" w:cs="Arial"/>
          <w:b/>
          <w:sz w:val="24"/>
          <w:szCs w:val="24"/>
          <w:lang w:val="es-ES_tradnl"/>
        </w:rPr>
        <w:t>TRIBUNAL DE CUENTAS</w:t>
      </w:r>
    </w:p>
    <w:p w:rsidR="005B2A58" w:rsidRPr="005B2A58" w:rsidRDefault="005B2A58" w:rsidP="005B2A58">
      <w:pPr>
        <w:tabs>
          <w:tab w:val="left" w:pos="-720"/>
        </w:tabs>
        <w:suppressAutoHyphens/>
        <w:spacing w:after="0" w:line="240" w:lineRule="auto"/>
        <w:jc w:val="center"/>
        <w:rPr>
          <w:rFonts w:ascii="Arial" w:hAnsi="Arial" w:cs="Arial"/>
          <w:b/>
          <w:sz w:val="24"/>
          <w:szCs w:val="24"/>
          <w:lang w:val="es-ES_tradnl"/>
        </w:rPr>
      </w:pPr>
    </w:p>
    <w:p w:rsidR="005B2A58" w:rsidRPr="005B2A58" w:rsidRDefault="005B2A58" w:rsidP="005B2A58">
      <w:pPr>
        <w:tabs>
          <w:tab w:val="center" w:pos="4253"/>
        </w:tabs>
        <w:suppressAutoHyphens/>
        <w:spacing w:after="0" w:line="240" w:lineRule="auto"/>
        <w:jc w:val="center"/>
        <w:rPr>
          <w:rFonts w:ascii="Arial" w:hAnsi="Arial" w:cs="Arial"/>
          <w:b/>
          <w:sz w:val="24"/>
          <w:szCs w:val="24"/>
          <w:lang w:val="es-ES_tradnl"/>
        </w:rPr>
      </w:pPr>
      <w:r w:rsidRPr="005B2A58">
        <w:rPr>
          <w:rFonts w:ascii="Arial" w:hAnsi="Arial" w:cs="Arial"/>
          <w:b/>
          <w:sz w:val="24"/>
          <w:szCs w:val="24"/>
          <w:lang w:val="es-ES_tradnl"/>
        </w:rPr>
        <w:t xml:space="preserve">EN SESION DE FECHA 10 DE OCTUBRE </w:t>
      </w:r>
      <w:r w:rsidRPr="005B2A58">
        <w:rPr>
          <w:rFonts w:ascii="Helvetica" w:hAnsi="Helvetica"/>
          <w:b/>
          <w:sz w:val="24"/>
          <w:szCs w:val="24"/>
          <w:lang w:val="es-ES_tradnl"/>
        </w:rPr>
        <w:t>DE 2018</w:t>
      </w:r>
    </w:p>
    <w:p w:rsidR="005B2A58" w:rsidRPr="005B2A58" w:rsidRDefault="005B2A58" w:rsidP="005B2A58">
      <w:pPr>
        <w:tabs>
          <w:tab w:val="center" w:pos="4253"/>
        </w:tabs>
        <w:suppressAutoHyphens/>
        <w:spacing w:after="0" w:line="240" w:lineRule="auto"/>
        <w:jc w:val="center"/>
        <w:rPr>
          <w:rFonts w:ascii="Arial" w:hAnsi="Arial" w:cs="Arial"/>
          <w:b/>
          <w:sz w:val="24"/>
          <w:szCs w:val="24"/>
          <w:lang w:val="es-ES_tradnl"/>
        </w:rPr>
      </w:pPr>
    </w:p>
    <w:p w:rsidR="005B2A58" w:rsidRPr="005B2A58" w:rsidRDefault="005B2A58" w:rsidP="005B2A58">
      <w:pPr>
        <w:tabs>
          <w:tab w:val="center" w:pos="4253"/>
        </w:tabs>
        <w:suppressAutoHyphens/>
        <w:spacing w:after="0" w:line="240" w:lineRule="auto"/>
        <w:jc w:val="center"/>
        <w:rPr>
          <w:rFonts w:ascii="Arial" w:hAnsi="Arial" w:cs="Arial"/>
          <w:b/>
          <w:sz w:val="24"/>
          <w:szCs w:val="24"/>
          <w:lang w:val="en-US"/>
        </w:rPr>
      </w:pPr>
      <w:r w:rsidRPr="005B2A58">
        <w:rPr>
          <w:rFonts w:ascii="Arial" w:hAnsi="Arial" w:cs="Arial"/>
          <w:b/>
          <w:sz w:val="24"/>
          <w:szCs w:val="24"/>
          <w:lang w:val="en-US"/>
        </w:rPr>
        <w:t xml:space="preserve">(E. E. Nº </w:t>
      </w:r>
      <w:r w:rsidRPr="00452A32">
        <w:rPr>
          <w:rFonts w:ascii="Arial" w:hAnsi="Arial" w:cs="Arial"/>
          <w:b/>
          <w:sz w:val="24"/>
          <w:szCs w:val="24"/>
        </w:rPr>
        <w:t>2018-17-1-3659</w:t>
      </w:r>
      <w:r w:rsidRPr="005B2A58">
        <w:rPr>
          <w:rFonts w:ascii="Arial" w:hAnsi="Arial" w:cs="Arial"/>
          <w:b/>
          <w:sz w:val="24"/>
          <w:szCs w:val="24"/>
          <w:lang w:val="en-US"/>
        </w:rPr>
        <w:t xml:space="preserve">, </w:t>
      </w:r>
      <w:proofErr w:type="gramStart"/>
      <w:r w:rsidRPr="005B2A58">
        <w:rPr>
          <w:rFonts w:ascii="Arial" w:hAnsi="Arial" w:cs="Arial"/>
          <w:b/>
          <w:sz w:val="24"/>
          <w:szCs w:val="24"/>
          <w:lang w:val="en-US"/>
        </w:rPr>
        <w:t>Ent</w:t>
      </w:r>
      <w:proofErr w:type="gramEnd"/>
      <w:r w:rsidRPr="005B2A58">
        <w:rPr>
          <w:rFonts w:ascii="Arial" w:hAnsi="Arial" w:cs="Arial"/>
          <w:b/>
          <w:sz w:val="24"/>
          <w:szCs w:val="24"/>
          <w:lang w:val="en-US"/>
        </w:rPr>
        <w:t xml:space="preserve">. N° </w:t>
      </w:r>
      <w:r>
        <w:rPr>
          <w:rFonts w:ascii="Arial" w:hAnsi="Arial" w:cs="Arial"/>
          <w:b/>
          <w:sz w:val="24"/>
          <w:szCs w:val="24"/>
          <w:lang w:val="en-US"/>
        </w:rPr>
        <w:t>4502/18</w:t>
      </w:r>
      <w:r w:rsidRPr="005B2A58">
        <w:rPr>
          <w:rFonts w:ascii="Arial" w:hAnsi="Arial" w:cs="Arial"/>
          <w:b/>
          <w:sz w:val="24"/>
          <w:szCs w:val="24"/>
          <w:lang w:val="en-US"/>
        </w:rPr>
        <w:t>)</w:t>
      </w:r>
    </w:p>
    <w:p w:rsidR="005B2A58" w:rsidRDefault="005B2A58">
      <w:pPr>
        <w:rPr>
          <w:rFonts w:ascii="Arial" w:hAnsi="Arial"/>
          <w:lang w:val="en-US"/>
        </w:rPr>
      </w:pPr>
    </w:p>
    <w:p w:rsidR="00571FD6" w:rsidRDefault="00571FD6" w:rsidP="005B2A58">
      <w:pPr>
        <w:spacing w:after="0" w:line="360" w:lineRule="auto"/>
        <w:ind w:firstLine="851"/>
        <w:jc w:val="both"/>
        <w:rPr>
          <w:rFonts w:ascii="Arial" w:hAnsi="Arial" w:cs="Arial"/>
          <w:sz w:val="24"/>
          <w:szCs w:val="24"/>
        </w:rPr>
      </w:pPr>
      <w:r w:rsidRPr="008542AC">
        <w:rPr>
          <w:rFonts w:ascii="Arial" w:hAnsi="Arial" w:cs="Arial"/>
          <w:b/>
          <w:sz w:val="24"/>
          <w:szCs w:val="24"/>
        </w:rPr>
        <w:t>VISTO:</w:t>
      </w:r>
      <w:r>
        <w:rPr>
          <w:rFonts w:ascii="Arial" w:hAnsi="Arial" w:cs="Arial"/>
          <w:sz w:val="24"/>
          <w:szCs w:val="24"/>
        </w:rPr>
        <w:t xml:space="preserve"> L</w:t>
      </w:r>
      <w:r w:rsidR="00EB5DC3">
        <w:rPr>
          <w:rFonts w:ascii="Arial" w:hAnsi="Arial" w:cs="Arial"/>
          <w:sz w:val="24"/>
          <w:szCs w:val="24"/>
        </w:rPr>
        <w:t>as actuaciones remitidas por UTE</w:t>
      </w:r>
      <w:r>
        <w:rPr>
          <w:rFonts w:ascii="Arial" w:hAnsi="Arial" w:cs="Arial"/>
          <w:sz w:val="24"/>
          <w:szCs w:val="24"/>
        </w:rPr>
        <w:t xml:space="preserve">, relacionadas con la </w:t>
      </w:r>
      <w:r w:rsidR="00EB5DC3">
        <w:rPr>
          <w:rFonts w:ascii="Arial" w:hAnsi="Arial" w:cs="Arial"/>
          <w:sz w:val="24"/>
          <w:szCs w:val="24"/>
        </w:rPr>
        <w:t xml:space="preserve">reiteración de la </w:t>
      </w:r>
      <w:r>
        <w:rPr>
          <w:rFonts w:ascii="Arial" w:hAnsi="Arial" w:cs="Arial"/>
          <w:sz w:val="24"/>
          <w:szCs w:val="24"/>
        </w:rPr>
        <w:t xml:space="preserve">Licitación </w:t>
      </w:r>
      <w:r w:rsidR="00E8732D">
        <w:rPr>
          <w:rFonts w:ascii="Arial" w:hAnsi="Arial" w:cs="Arial"/>
          <w:sz w:val="24"/>
          <w:szCs w:val="24"/>
        </w:rPr>
        <w:t>Pública</w:t>
      </w:r>
      <w:r>
        <w:rPr>
          <w:rFonts w:ascii="Arial" w:hAnsi="Arial" w:cs="Arial"/>
          <w:sz w:val="24"/>
          <w:szCs w:val="24"/>
        </w:rPr>
        <w:t xml:space="preserve"> N° P50256 para trabajos de mantenimiento eléctrico  en Líneas Aéreas y subestaciones de MT/BT de Distribución en el ámbito de la Gerencia Centro.</w:t>
      </w:r>
    </w:p>
    <w:p w:rsidR="00EB5DC3" w:rsidRDefault="00EB5DC3" w:rsidP="005B2A58">
      <w:pPr>
        <w:spacing w:after="0" w:line="360" w:lineRule="auto"/>
        <w:ind w:firstLine="851"/>
        <w:jc w:val="both"/>
        <w:rPr>
          <w:rFonts w:ascii="Arial" w:hAnsi="Arial" w:cs="Arial"/>
          <w:sz w:val="24"/>
          <w:szCs w:val="24"/>
        </w:rPr>
      </w:pPr>
      <w:r w:rsidRPr="008542AC">
        <w:rPr>
          <w:rFonts w:ascii="Arial" w:hAnsi="Arial" w:cs="Arial"/>
          <w:b/>
          <w:sz w:val="24"/>
          <w:szCs w:val="24"/>
        </w:rPr>
        <w:t>RESULTANDO: 1)</w:t>
      </w:r>
      <w:r>
        <w:rPr>
          <w:rFonts w:ascii="Arial" w:hAnsi="Arial" w:cs="Arial"/>
          <w:sz w:val="24"/>
          <w:szCs w:val="24"/>
        </w:rPr>
        <w:t xml:space="preserve"> que  por Resolución G.G. N° 34/18 de fecha 29.5.18, el Gerente General</w:t>
      </w:r>
      <w:r w:rsidR="00452A32">
        <w:rPr>
          <w:rFonts w:ascii="Arial" w:hAnsi="Arial" w:cs="Arial"/>
          <w:sz w:val="24"/>
          <w:szCs w:val="24"/>
        </w:rPr>
        <w:t xml:space="preserve">, </w:t>
      </w:r>
      <w:r>
        <w:rPr>
          <w:rFonts w:ascii="Arial" w:hAnsi="Arial" w:cs="Arial"/>
          <w:sz w:val="24"/>
          <w:szCs w:val="24"/>
        </w:rPr>
        <w:t xml:space="preserve"> por Delegación según Resolución de Directorio R.11-1990 del 22.12.11, adjudica el llamado</w:t>
      </w:r>
      <w:r w:rsidRPr="00EB5DC3">
        <w:rPr>
          <w:rFonts w:ascii="Arial" w:hAnsi="Arial" w:cs="Arial"/>
          <w:sz w:val="24"/>
          <w:szCs w:val="24"/>
        </w:rPr>
        <w:t xml:space="preserve"> </w:t>
      </w:r>
      <w:r>
        <w:rPr>
          <w:rFonts w:ascii="Arial" w:hAnsi="Arial" w:cs="Arial"/>
          <w:sz w:val="24"/>
          <w:szCs w:val="24"/>
        </w:rPr>
        <w:t xml:space="preserve">a las siguientes firmas:  Item 1: ELECTRICIDAD DURAZNO SRL, el - </w:t>
      </w:r>
      <w:r w:rsidR="00E8732D">
        <w:rPr>
          <w:rFonts w:ascii="Arial" w:hAnsi="Arial" w:cs="Arial"/>
          <w:sz w:val="24"/>
          <w:szCs w:val="24"/>
        </w:rPr>
        <w:t>Ámbito</w:t>
      </w:r>
      <w:r>
        <w:rPr>
          <w:rFonts w:ascii="Arial" w:hAnsi="Arial" w:cs="Arial"/>
          <w:sz w:val="24"/>
          <w:szCs w:val="24"/>
        </w:rPr>
        <w:t xml:space="preserve"> Distrito Pando, por un monto total de $ 81.717.240; </w:t>
      </w:r>
      <w:r w:rsidR="00E8732D">
        <w:rPr>
          <w:rFonts w:ascii="Arial" w:hAnsi="Arial" w:cs="Arial"/>
          <w:sz w:val="24"/>
          <w:szCs w:val="24"/>
        </w:rPr>
        <w:t>Ítem</w:t>
      </w:r>
      <w:r>
        <w:rPr>
          <w:rFonts w:ascii="Arial" w:hAnsi="Arial" w:cs="Arial"/>
          <w:sz w:val="24"/>
          <w:szCs w:val="24"/>
        </w:rPr>
        <w:t xml:space="preserve"> 2:- Distrito Atlántida:</w:t>
      </w:r>
      <w:r w:rsidRPr="007A4343">
        <w:rPr>
          <w:rFonts w:ascii="Arial" w:hAnsi="Arial" w:cs="Arial"/>
          <w:sz w:val="24"/>
          <w:szCs w:val="24"/>
        </w:rPr>
        <w:t xml:space="preserve"> </w:t>
      </w:r>
      <w:r>
        <w:rPr>
          <w:rFonts w:ascii="Arial" w:hAnsi="Arial" w:cs="Arial"/>
          <w:sz w:val="24"/>
          <w:szCs w:val="24"/>
        </w:rPr>
        <w:t>ORITECNO SA</w:t>
      </w:r>
      <w:r w:rsidRPr="007A4343">
        <w:rPr>
          <w:rFonts w:ascii="Arial" w:hAnsi="Arial" w:cs="Arial"/>
          <w:sz w:val="24"/>
          <w:szCs w:val="24"/>
        </w:rPr>
        <w:t xml:space="preserve"> </w:t>
      </w:r>
      <w:r>
        <w:rPr>
          <w:rFonts w:ascii="Arial" w:hAnsi="Arial" w:cs="Arial"/>
          <w:sz w:val="24"/>
          <w:szCs w:val="24"/>
        </w:rPr>
        <w:t>- Mario JUIZ intención de consorciarse bajo el nombre “Consorcio Mario Juiz-</w:t>
      </w:r>
      <w:r w:rsidRPr="007A4343">
        <w:rPr>
          <w:rFonts w:ascii="Arial" w:hAnsi="Arial" w:cs="Arial"/>
          <w:sz w:val="24"/>
          <w:szCs w:val="24"/>
        </w:rPr>
        <w:t xml:space="preserve"> </w:t>
      </w:r>
      <w:r>
        <w:rPr>
          <w:rFonts w:ascii="Arial" w:hAnsi="Arial" w:cs="Arial"/>
          <w:sz w:val="24"/>
          <w:szCs w:val="24"/>
        </w:rPr>
        <w:t>ORITECNO SA I”, por un monto total de $ 81.717.240; Item3: -Distrito Pando: ORITECNO SA</w:t>
      </w:r>
      <w:r w:rsidRPr="007A4343">
        <w:rPr>
          <w:rFonts w:ascii="Arial" w:hAnsi="Arial" w:cs="Arial"/>
          <w:sz w:val="24"/>
          <w:szCs w:val="24"/>
        </w:rPr>
        <w:t xml:space="preserve"> </w:t>
      </w:r>
      <w:r>
        <w:rPr>
          <w:rFonts w:ascii="Arial" w:hAnsi="Arial" w:cs="Arial"/>
          <w:sz w:val="24"/>
          <w:szCs w:val="24"/>
        </w:rPr>
        <w:t>- Mario JUIZ intención de consorciarse bajo el nombre “Consorcio Mario Juiz-</w:t>
      </w:r>
      <w:r w:rsidRPr="007A4343">
        <w:rPr>
          <w:rFonts w:ascii="Arial" w:hAnsi="Arial" w:cs="Arial"/>
          <w:sz w:val="24"/>
          <w:szCs w:val="24"/>
        </w:rPr>
        <w:t xml:space="preserve"> </w:t>
      </w:r>
      <w:r>
        <w:rPr>
          <w:rFonts w:ascii="Arial" w:hAnsi="Arial" w:cs="Arial"/>
          <w:sz w:val="24"/>
          <w:szCs w:val="24"/>
        </w:rPr>
        <w:t>ORITECNO SA I”, por un monto total de $ 81.717.240; Item 4: Distrito Canelones: CLAUGER S.A. por un monto total de $ 81.717.240. Total adjudicado: $ 326.868.960;</w:t>
      </w:r>
    </w:p>
    <w:p w:rsidR="00EB5DC3" w:rsidRDefault="00EB5DC3" w:rsidP="005B2A58">
      <w:pPr>
        <w:pStyle w:val="Textoindependiente"/>
        <w:ind w:firstLine="2694"/>
        <w:rPr>
          <w:rFonts w:cs="Arial"/>
          <w:szCs w:val="24"/>
        </w:rPr>
      </w:pPr>
      <w:r w:rsidRPr="008542AC">
        <w:rPr>
          <w:rFonts w:cs="Arial"/>
          <w:b/>
          <w:szCs w:val="24"/>
        </w:rPr>
        <w:t>2)</w:t>
      </w:r>
      <w:r>
        <w:rPr>
          <w:rFonts w:cs="Arial"/>
          <w:szCs w:val="24"/>
        </w:rPr>
        <w:t xml:space="preserve"> que este Tribunal</w:t>
      </w:r>
      <w:r w:rsidR="001A4B13">
        <w:rPr>
          <w:rFonts w:cs="Arial"/>
          <w:szCs w:val="24"/>
        </w:rPr>
        <w:t>,</w:t>
      </w:r>
      <w:r>
        <w:rPr>
          <w:rFonts w:cs="Arial"/>
          <w:szCs w:val="24"/>
        </w:rPr>
        <w:t xml:space="preserve"> por </w:t>
      </w:r>
      <w:r w:rsidR="00E8732D">
        <w:rPr>
          <w:rFonts w:cs="Arial"/>
          <w:szCs w:val="24"/>
        </w:rPr>
        <w:t>Resolución</w:t>
      </w:r>
      <w:r>
        <w:rPr>
          <w:rFonts w:cs="Arial"/>
          <w:szCs w:val="24"/>
        </w:rPr>
        <w:t xml:space="preserve"> N° </w:t>
      </w:r>
      <w:r w:rsidR="007B41E2">
        <w:rPr>
          <w:rFonts w:cs="Arial"/>
          <w:szCs w:val="24"/>
        </w:rPr>
        <w:t>2213/18</w:t>
      </w:r>
      <w:r>
        <w:rPr>
          <w:rFonts w:cs="Arial"/>
          <w:szCs w:val="24"/>
        </w:rPr>
        <w:t xml:space="preserve">  </w:t>
      </w:r>
      <w:r w:rsidR="007B41E2">
        <w:rPr>
          <w:rFonts w:cs="Arial"/>
          <w:szCs w:val="24"/>
        </w:rPr>
        <w:t>de</w:t>
      </w:r>
      <w:r>
        <w:rPr>
          <w:rFonts w:cs="Arial"/>
          <w:szCs w:val="24"/>
        </w:rPr>
        <w:t xml:space="preserve">  </w:t>
      </w:r>
      <w:r w:rsidR="007B41E2">
        <w:rPr>
          <w:rFonts w:cs="Arial"/>
          <w:szCs w:val="24"/>
        </w:rPr>
        <w:t>fecha 27.6.18</w:t>
      </w:r>
      <w:r w:rsidR="001A4B13">
        <w:rPr>
          <w:rFonts w:cs="Arial"/>
          <w:szCs w:val="24"/>
        </w:rPr>
        <w:t>,</w:t>
      </w:r>
      <w:r w:rsidR="00452A32">
        <w:rPr>
          <w:rFonts w:cs="Arial"/>
          <w:szCs w:val="24"/>
        </w:rPr>
        <w:t xml:space="preserve"> observó</w:t>
      </w:r>
      <w:r>
        <w:rPr>
          <w:rFonts w:cs="Arial"/>
          <w:szCs w:val="24"/>
        </w:rPr>
        <w:t xml:space="preserve"> el gasto en virtud</w:t>
      </w:r>
      <w:r w:rsidR="00452A32">
        <w:rPr>
          <w:rFonts w:cs="Arial"/>
          <w:szCs w:val="24"/>
        </w:rPr>
        <w:t xml:space="preserve"> de </w:t>
      </w:r>
      <w:r w:rsidR="007B41E2">
        <w:rPr>
          <w:rFonts w:cs="Arial"/>
          <w:szCs w:val="24"/>
        </w:rPr>
        <w:t xml:space="preserve">  que</w:t>
      </w:r>
      <w:r>
        <w:rPr>
          <w:rFonts w:cs="Arial"/>
          <w:szCs w:val="24"/>
        </w:rPr>
        <w:t>:</w:t>
      </w:r>
      <w:r w:rsidRPr="00EB5DC3">
        <w:rPr>
          <w:rFonts w:cs="Arial"/>
          <w:szCs w:val="24"/>
        </w:rPr>
        <w:t xml:space="preserve"> </w:t>
      </w:r>
      <w:r w:rsidR="008542AC" w:rsidRPr="008542AC">
        <w:rPr>
          <w:rFonts w:cs="Arial"/>
          <w:b/>
          <w:szCs w:val="24"/>
        </w:rPr>
        <w:t>2.1</w:t>
      </w:r>
      <w:r w:rsidR="00EB6BD0" w:rsidRPr="008542AC">
        <w:rPr>
          <w:rFonts w:cs="Arial"/>
          <w:b/>
          <w:szCs w:val="24"/>
        </w:rPr>
        <w:t>)</w:t>
      </w:r>
      <w:r w:rsidR="00EB6BD0" w:rsidRPr="00EB6BD0">
        <w:rPr>
          <w:lang w:val="es-AR"/>
        </w:rPr>
        <w:t xml:space="preserve"> </w:t>
      </w:r>
      <w:r w:rsidR="00EB6BD0">
        <w:rPr>
          <w:lang w:val="es-AR"/>
        </w:rPr>
        <w:t xml:space="preserve"> e</w:t>
      </w:r>
      <w:r w:rsidR="00EB6BD0">
        <w:t>l artículo 10.1 de las bases del llamado refiere a las condiciones que determinarán el r</w:t>
      </w:r>
      <w:r w:rsidR="001A4B13">
        <w:t>echazo automático de una oferta</w:t>
      </w:r>
      <w:r w:rsidR="00EB6BD0">
        <w:t xml:space="preserve"> y</w:t>
      </w:r>
      <w:r w:rsidR="001A4B13">
        <w:t>,</w:t>
      </w:r>
      <w:r w:rsidR="00EB6BD0">
        <w:t xml:space="preserve"> en su literal e)</w:t>
      </w:r>
      <w:r w:rsidR="001A4B13">
        <w:t>,</w:t>
      </w:r>
      <w:r w:rsidR="00EB6BD0">
        <w:t xml:space="preserve"> establece que será rechazada cuando el oferente registre antecedentes negativos en el Registro de Sanciones Contractuales a Proveedores de la Gerencia de Abastecimientos de UTE</w:t>
      </w:r>
      <w:r w:rsidR="007B41E2">
        <w:t>. Dicha</w:t>
      </w:r>
      <w:r w:rsidR="00EB6BD0">
        <w:t xml:space="preserve"> previsión contraviene el principio de concurrencia de oferentes establecido en el artículo 149 del TOCAF, en razón de que la circunstancia de registrar antecedentes negativos en el Registro de Proveedores del Organismo puede establecerse en los Pliegos de Condiciones Particulares como factor a ponderar en la oferta, pero no puede constituir un factor de inadmisibilidad de la misma, siendo que los únicos  extremos que habilitan a una Administración a </w:t>
      </w:r>
      <w:r w:rsidR="00EB6BD0">
        <w:lastRenderedPageBreak/>
        <w:t>determinar que un oferente no se  encuentra apto para presentarse en los convocatoria del Organismo son las sanc</w:t>
      </w:r>
      <w:r w:rsidR="001A4B13">
        <w:t>iones de suspensión (por el perí</w:t>
      </w:r>
      <w:r w:rsidR="00EB6BD0">
        <w:t>odo y alcance que en cada caso el Organismo determine) y la eliminación del infractor como proveedor del Organismo sancionador, todo ello en la forma establecida en los artículos 17, Literal e) y 18 del Decreto 155/013 de fecha 21.5.13;</w:t>
      </w:r>
      <w:r w:rsidR="007B41E2">
        <w:t xml:space="preserve"> </w:t>
      </w:r>
      <w:r w:rsidR="008542AC" w:rsidRPr="008542AC">
        <w:rPr>
          <w:b/>
        </w:rPr>
        <w:t>2.2</w:t>
      </w:r>
      <w:r w:rsidR="007B41E2" w:rsidRPr="008542AC">
        <w:rPr>
          <w:b/>
        </w:rPr>
        <w:t>)</w:t>
      </w:r>
      <w:r w:rsidR="00EB6BD0">
        <w:rPr>
          <w:rFonts w:cs="Arial"/>
          <w:szCs w:val="24"/>
        </w:rPr>
        <w:t xml:space="preserve"> el artículo 10.2 del Pliego de Condiciones Particulares preceptúa, que el oferente deberá acreditar sus antecedentes y establece la forma </w:t>
      </w:r>
      <w:r w:rsidR="00452A32">
        <w:rPr>
          <w:rFonts w:cs="Arial"/>
          <w:szCs w:val="24"/>
        </w:rPr>
        <w:t xml:space="preserve">en que deben ser acreditados, y </w:t>
      </w:r>
      <w:r w:rsidR="00EB6BD0">
        <w:rPr>
          <w:rFonts w:cs="Arial"/>
          <w:szCs w:val="24"/>
        </w:rPr>
        <w:t>el artículo 10.3 del Pliego establece que</w:t>
      </w:r>
      <w:r w:rsidR="001A4B13">
        <w:rPr>
          <w:rFonts w:cs="Arial"/>
          <w:szCs w:val="24"/>
        </w:rPr>
        <w:t>,</w:t>
      </w:r>
      <w:r w:rsidR="00EB6BD0">
        <w:rPr>
          <w:rFonts w:cs="Arial"/>
          <w:szCs w:val="24"/>
        </w:rPr>
        <w:t xml:space="preserve"> luego de efectuado el análisis de admisibilidad, atendiendo al cumplimiento de todos los requisitos, considerando toda la información que se solicite (equipos de construcción, personal técnico y de dirección asignado, organización y programación de los trabajos, etc.), las ofertas serán evaluadas teniendo en cuenta: a) valor P ofertado, b) la bonificación por la certificación  ISO 9001/2008 y OHSAS 18001 y c)  la bonificación correspondiente por la calificación obtenida por el oferente por  aplicación del Reglamento de Calidad del Servicio de Empresas Contrata</w:t>
      </w:r>
      <w:r w:rsidR="001A4B13">
        <w:rPr>
          <w:rFonts w:cs="Arial"/>
          <w:szCs w:val="24"/>
        </w:rPr>
        <w:t>da</w:t>
      </w:r>
      <w:r w:rsidR="00EB6BD0">
        <w:rPr>
          <w:rFonts w:cs="Arial"/>
          <w:szCs w:val="24"/>
        </w:rPr>
        <w:t>s (cuando se cuente con la calificación definitiva). En el presente caso no surge de las actuaciones que se haya efectuado el análisis de admisibilidad respecto al cumplimiento por parte de los oferentes de los requisitos exigidos, tal como lo establece expresamente el Pliego de Condiciones</w:t>
      </w:r>
      <w:r w:rsidR="007B41E2">
        <w:rPr>
          <w:rFonts w:cs="Arial"/>
          <w:szCs w:val="24"/>
        </w:rPr>
        <w:t xml:space="preserve">; </w:t>
      </w:r>
      <w:r w:rsidR="008542AC" w:rsidRPr="008542AC">
        <w:rPr>
          <w:rFonts w:cs="Arial"/>
          <w:b/>
          <w:szCs w:val="24"/>
        </w:rPr>
        <w:t>2.3</w:t>
      </w:r>
      <w:r w:rsidR="007B41E2" w:rsidRPr="008542AC">
        <w:rPr>
          <w:rFonts w:cs="Arial"/>
          <w:b/>
          <w:szCs w:val="24"/>
        </w:rPr>
        <w:t>)</w:t>
      </w:r>
      <w:r w:rsidR="007B41E2">
        <w:rPr>
          <w:rFonts w:cs="Arial"/>
          <w:szCs w:val="24"/>
        </w:rPr>
        <w:t xml:space="preserve"> </w:t>
      </w:r>
      <w:r>
        <w:rPr>
          <w:rFonts w:cs="Arial"/>
          <w:szCs w:val="24"/>
        </w:rPr>
        <w:t>se dispuso un gasto sin disponibilidad presupuestal, contraviniéndose el art. 15 del TOCAF</w:t>
      </w:r>
      <w:r w:rsidR="007B41E2">
        <w:rPr>
          <w:rFonts w:cs="Arial"/>
          <w:szCs w:val="24"/>
        </w:rPr>
        <w:t>;</w:t>
      </w:r>
    </w:p>
    <w:p w:rsidR="006B181C" w:rsidRDefault="008542AC" w:rsidP="007B41E2">
      <w:pPr>
        <w:pStyle w:val="Textoindependiente"/>
        <w:rPr>
          <w:rFonts w:cs="Arial"/>
          <w:szCs w:val="24"/>
        </w:rPr>
      </w:pPr>
      <w:r w:rsidRPr="008542AC">
        <w:rPr>
          <w:rFonts w:cs="Arial"/>
          <w:b/>
          <w:szCs w:val="24"/>
        </w:rPr>
        <w:t xml:space="preserve">                                        </w:t>
      </w:r>
      <w:r w:rsidR="007B41E2" w:rsidRPr="008542AC">
        <w:rPr>
          <w:rFonts w:cs="Arial"/>
          <w:b/>
          <w:szCs w:val="24"/>
        </w:rPr>
        <w:t>3)</w:t>
      </w:r>
      <w:r w:rsidR="007B41E2">
        <w:rPr>
          <w:rFonts w:cs="Arial"/>
          <w:szCs w:val="24"/>
        </w:rPr>
        <w:t xml:space="preserve"> que por Resolución R18-2095 de fecha 16.8.18, el Directorio reitera el gasto expresando</w:t>
      </w:r>
      <w:r w:rsidR="00452A32">
        <w:rPr>
          <w:rFonts w:cs="Arial"/>
          <w:szCs w:val="24"/>
        </w:rPr>
        <w:t xml:space="preserve"> que</w:t>
      </w:r>
      <w:r w:rsidR="007B41E2">
        <w:rPr>
          <w:rFonts w:cs="Arial"/>
          <w:szCs w:val="24"/>
        </w:rPr>
        <w:t xml:space="preserve">: </w:t>
      </w:r>
      <w:r w:rsidRPr="008542AC">
        <w:rPr>
          <w:rFonts w:cs="Arial"/>
          <w:b/>
          <w:szCs w:val="24"/>
        </w:rPr>
        <w:t>3.1</w:t>
      </w:r>
      <w:r w:rsidR="007B41E2" w:rsidRPr="008542AC">
        <w:rPr>
          <w:rFonts w:cs="Arial"/>
          <w:b/>
          <w:szCs w:val="24"/>
        </w:rPr>
        <w:t>)</w:t>
      </w:r>
      <w:r w:rsidR="007B41E2">
        <w:rPr>
          <w:rFonts w:cs="Arial"/>
          <w:szCs w:val="24"/>
        </w:rPr>
        <w:t xml:space="preserve">  en cuanto a la aplicación de los antecedentes negativos</w:t>
      </w:r>
      <w:r w:rsidR="00E8732D">
        <w:rPr>
          <w:rFonts w:cs="Arial"/>
          <w:szCs w:val="24"/>
        </w:rPr>
        <w:t>,</w:t>
      </w:r>
      <w:r w:rsidR="007B41E2">
        <w:rPr>
          <w:rFonts w:cs="Arial"/>
          <w:szCs w:val="24"/>
        </w:rPr>
        <w:t xml:space="preserve"> ha entendid</w:t>
      </w:r>
      <w:r w:rsidR="001A4B13">
        <w:rPr>
          <w:rFonts w:cs="Arial"/>
          <w:szCs w:val="24"/>
        </w:rPr>
        <w:t>o que el hecho de que se consta</w:t>
      </w:r>
      <w:r w:rsidR="007B41E2">
        <w:rPr>
          <w:rFonts w:cs="Arial"/>
          <w:szCs w:val="24"/>
        </w:rPr>
        <w:t xml:space="preserve">te un incumplimiento de cualquier </w:t>
      </w:r>
      <w:r w:rsidR="001A4B13">
        <w:rPr>
          <w:rFonts w:cs="Arial"/>
          <w:szCs w:val="24"/>
        </w:rPr>
        <w:t>tipo</w:t>
      </w:r>
      <w:r w:rsidR="007B41E2">
        <w:rPr>
          <w:rFonts w:cs="Arial"/>
          <w:szCs w:val="24"/>
        </w:rPr>
        <w:t xml:space="preserve"> es causal  suficiente de rechazo de una oferta siendo el objetivo preservar el derecho de excluir de una contratación, a quien ya ha incurrido en incumplimientos.</w:t>
      </w:r>
      <w:r w:rsidR="002B61E9">
        <w:rPr>
          <w:rFonts w:cs="Arial"/>
          <w:szCs w:val="24"/>
        </w:rPr>
        <w:t xml:space="preserve"> Aclar</w:t>
      </w:r>
      <w:r w:rsidR="001A4B13">
        <w:rPr>
          <w:rFonts w:cs="Arial"/>
          <w:szCs w:val="24"/>
        </w:rPr>
        <w:t>an que dicha Administración tomó</w:t>
      </w:r>
      <w:r w:rsidR="002B61E9">
        <w:rPr>
          <w:rFonts w:cs="Arial"/>
          <w:szCs w:val="24"/>
        </w:rPr>
        <w:t xml:space="preserve"> el derecho de no adjudicar un contrato a aquella empresa que tuviese incumplimientos anteriores con UTE, cuyo</w:t>
      </w:r>
      <w:r w:rsidR="001A4B13">
        <w:rPr>
          <w:rFonts w:cs="Arial"/>
          <w:szCs w:val="24"/>
        </w:rPr>
        <w:t>s</w:t>
      </w:r>
      <w:r w:rsidR="002B61E9">
        <w:rPr>
          <w:rFonts w:cs="Arial"/>
          <w:szCs w:val="24"/>
        </w:rPr>
        <w:t xml:space="preserve"> antecedentes negativo</w:t>
      </w:r>
      <w:r w:rsidR="001A4B13">
        <w:rPr>
          <w:rFonts w:cs="Arial"/>
          <w:szCs w:val="24"/>
        </w:rPr>
        <w:t>s</w:t>
      </w:r>
      <w:r w:rsidR="002B61E9">
        <w:rPr>
          <w:rFonts w:cs="Arial"/>
          <w:szCs w:val="24"/>
        </w:rPr>
        <w:t xml:space="preserve"> </w:t>
      </w:r>
      <w:r w:rsidR="004D2944">
        <w:rPr>
          <w:rFonts w:cs="Arial"/>
          <w:szCs w:val="24"/>
        </w:rPr>
        <w:t>se encuentre</w:t>
      </w:r>
      <w:r w:rsidR="001A4B13">
        <w:rPr>
          <w:rFonts w:cs="Arial"/>
          <w:szCs w:val="24"/>
        </w:rPr>
        <w:t>n</w:t>
      </w:r>
      <w:r w:rsidR="004D2944">
        <w:rPr>
          <w:rFonts w:cs="Arial"/>
          <w:szCs w:val="24"/>
        </w:rPr>
        <w:t xml:space="preserve"> vigente</w:t>
      </w:r>
      <w:r w:rsidR="001A4B13">
        <w:rPr>
          <w:rFonts w:cs="Arial"/>
          <w:szCs w:val="24"/>
        </w:rPr>
        <w:t>s</w:t>
      </w:r>
      <w:r w:rsidR="002B61E9">
        <w:rPr>
          <w:rFonts w:cs="Arial"/>
          <w:szCs w:val="24"/>
        </w:rPr>
        <w:t xml:space="preserve"> en el per</w:t>
      </w:r>
      <w:r w:rsidR="001A4B13">
        <w:rPr>
          <w:rFonts w:cs="Arial"/>
          <w:szCs w:val="24"/>
        </w:rPr>
        <w:t>í</w:t>
      </w:r>
      <w:r w:rsidR="004D2944">
        <w:rPr>
          <w:rFonts w:cs="Arial"/>
          <w:szCs w:val="24"/>
        </w:rPr>
        <w:t xml:space="preserve">odo de presentación de oferta; </w:t>
      </w:r>
      <w:r w:rsidRPr="008542AC">
        <w:rPr>
          <w:rFonts w:cs="Arial"/>
          <w:b/>
          <w:szCs w:val="24"/>
        </w:rPr>
        <w:t>3.2</w:t>
      </w:r>
      <w:r w:rsidR="004D2944" w:rsidRPr="008542AC">
        <w:rPr>
          <w:rFonts w:cs="Arial"/>
          <w:b/>
          <w:szCs w:val="24"/>
        </w:rPr>
        <w:t>)</w:t>
      </w:r>
      <w:r w:rsidR="004D2944">
        <w:rPr>
          <w:rFonts w:cs="Arial"/>
          <w:szCs w:val="24"/>
        </w:rPr>
        <w:t xml:space="preserve"> en relación a la otra observación, no </w:t>
      </w:r>
      <w:r w:rsidR="006B181C">
        <w:rPr>
          <w:rFonts w:cs="Arial"/>
          <w:szCs w:val="24"/>
        </w:rPr>
        <w:t>la</w:t>
      </w:r>
      <w:r w:rsidR="004D2944">
        <w:rPr>
          <w:rFonts w:cs="Arial"/>
          <w:szCs w:val="24"/>
        </w:rPr>
        <w:t xml:space="preserve"> comparte</w:t>
      </w:r>
      <w:r w:rsidR="006B181C">
        <w:rPr>
          <w:rFonts w:cs="Arial"/>
          <w:szCs w:val="24"/>
        </w:rPr>
        <w:t>n</w:t>
      </w:r>
      <w:r w:rsidR="004D2944">
        <w:rPr>
          <w:rFonts w:cs="Arial"/>
          <w:szCs w:val="24"/>
        </w:rPr>
        <w:t xml:space="preserve">, </w:t>
      </w:r>
      <w:r w:rsidR="006B181C">
        <w:rPr>
          <w:rFonts w:cs="Arial"/>
          <w:szCs w:val="24"/>
        </w:rPr>
        <w:t xml:space="preserve">porque entienden </w:t>
      </w:r>
      <w:r w:rsidR="004D2944">
        <w:rPr>
          <w:rFonts w:cs="Arial"/>
          <w:szCs w:val="24"/>
        </w:rPr>
        <w:t xml:space="preserve"> que se </w:t>
      </w:r>
      <w:r w:rsidR="00E8732D">
        <w:rPr>
          <w:rFonts w:cs="Arial"/>
          <w:szCs w:val="24"/>
        </w:rPr>
        <w:t>realizó</w:t>
      </w:r>
      <w:r w:rsidR="004D2944">
        <w:rPr>
          <w:rFonts w:cs="Arial"/>
          <w:szCs w:val="24"/>
        </w:rPr>
        <w:t xml:space="preserve">  el estudio de admisibilidad de las ofertas, procediéndose al de</w:t>
      </w:r>
      <w:r w:rsidR="00E7283D">
        <w:rPr>
          <w:rFonts w:cs="Arial"/>
          <w:szCs w:val="24"/>
        </w:rPr>
        <w:t>s</w:t>
      </w:r>
      <w:r w:rsidR="004D2944">
        <w:rPr>
          <w:rFonts w:cs="Arial"/>
          <w:szCs w:val="24"/>
        </w:rPr>
        <w:t>carte de una de las mi</w:t>
      </w:r>
      <w:r w:rsidR="00452A32">
        <w:rPr>
          <w:rFonts w:cs="Arial"/>
          <w:szCs w:val="24"/>
        </w:rPr>
        <w:t>smas, por no cumplir con el artículo</w:t>
      </w:r>
      <w:r w:rsidR="004D2944">
        <w:rPr>
          <w:rFonts w:cs="Arial"/>
          <w:szCs w:val="24"/>
        </w:rPr>
        <w:t xml:space="preserve"> 10.1 del Pliego. </w:t>
      </w:r>
      <w:r w:rsidR="00E7283D">
        <w:rPr>
          <w:rFonts w:cs="Arial"/>
          <w:szCs w:val="24"/>
        </w:rPr>
        <w:t>Asimismo, señala que si bien</w:t>
      </w:r>
      <w:r w:rsidR="006B181C">
        <w:rPr>
          <w:rFonts w:cs="Arial"/>
          <w:szCs w:val="24"/>
        </w:rPr>
        <w:t>,</w:t>
      </w:r>
      <w:r w:rsidR="00E7283D">
        <w:rPr>
          <w:rFonts w:cs="Arial"/>
          <w:szCs w:val="24"/>
        </w:rPr>
        <w:t xml:space="preserve"> no se </w:t>
      </w:r>
      <w:r w:rsidR="00E8732D">
        <w:rPr>
          <w:rFonts w:cs="Arial"/>
          <w:szCs w:val="24"/>
        </w:rPr>
        <w:t>indicó</w:t>
      </w:r>
      <w:r w:rsidR="00E7283D">
        <w:rPr>
          <w:rFonts w:cs="Arial"/>
          <w:szCs w:val="24"/>
        </w:rPr>
        <w:t xml:space="preserve"> a texto expreso el análisis de admisibilidad, en los </w:t>
      </w:r>
      <w:r w:rsidR="00E7283D">
        <w:rPr>
          <w:rFonts w:cs="Arial"/>
          <w:szCs w:val="24"/>
        </w:rPr>
        <w:lastRenderedPageBreak/>
        <w:t>informe</w:t>
      </w:r>
      <w:r w:rsidR="006B181C">
        <w:rPr>
          <w:rFonts w:cs="Arial"/>
          <w:szCs w:val="24"/>
        </w:rPr>
        <w:t>s</w:t>
      </w:r>
      <w:r w:rsidR="00E7283D">
        <w:rPr>
          <w:rFonts w:cs="Arial"/>
          <w:szCs w:val="24"/>
        </w:rPr>
        <w:t xml:space="preserve"> de la Comisión Asesora, surge que el accionar de ésta</w:t>
      </w:r>
      <w:r w:rsidR="006B181C">
        <w:rPr>
          <w:rFonts w:cs="Arial"/>
          <w:szCs w:val="24"/>
        </w:rPr>
        <w:t>,</w:t>
      </w:r>
      <w:r w:rsidR="00E7283D">
        <w:rPr>
          <w:rFonts w:cs="Arial"/>
          <w:szCs w:val="24"/>
        </w:rPr>
        <w:t xml:space="preserve"> se </w:t>
      </w:r>
      <w:r w:rsidR="00E8732D">
        <w:rPr>
          <w:rFonts w:cs="Arial"/>
          <w:szCs w:val="24"/>
        </w:rPr>
        <w:t>ajustó</w:t>
      </w:r>
      <w:r w:rsidR="00452A32">
        <w:rPr>
          <w:rFonts w:cs="Arial"/>
          <w:szCs w:val="24"/>
        </w:rPr>
        <w:t xml:space="preserve"> a lo establecido en el artículo</w:t>
      </w:r>
      <w:r w:rsidR="00E7283D">
        <w:rPr>
          <w:rFonts w:cs="Arial"/>
          <w:szCs w:val="24"/>
        </w:rPr>
        <w:t xml:space="preserve"> 66, inc. 2 del TOCAF; </w:t>
      </w:r>
      <w:r w:rsidR="00E8732D" w:rsidRPr="00E8732D">
        <w:rPr>
          <w:rFonts w:cs="Arial"/>
          <w:b/>
          <w:szCs w:val="24"/>
        </w:rPr>
        <w:t>3.3</w:t>
      </w:r>
      <w:r w:rsidR="00E7283D" w:rsidRPr="00E8732D">
        <w:rPr>
          <w:rFonts w:cs="Arial"/>
          <w:b/>
          <w:szCs w:val="24"/>
        </w:rPr>
        <w:t>)</w:t>
      </w:r>
      <w:r w:rsidR="00E7283D">
        <w:rPr>
          <w:rFonts w:cs="Arial"/>
          <w:szCs w:val="24"/>
        </w:rPr>
        <w:t xml:space="preserve"> con relación a la de falta de disponibilidad presupuestal, </w:t>
      </w:r>
      <w:r w:rsidR="006B181C">
        <w:rPr>
          <w:rFonts w:cs="Arial"/>
          <w:szCs w:val="24"/>
        </w:rPr>
        <w:t>manifiesta</w:t>
      </w:r>
      <w:r w:rsidR="00E8732D">
        <w:rPr>
          <w:rFonts w:cs="Arial"/>
          <w:szCs w:val="24"/>
        </w:rPr>
        <w:t>n</w:t>
      </w:r>
      <w:r w:rsidR="006B181C">
        <w:rPr>
          <w:rFonts w:cs="Arial"/>
          <w:szCs w:val="24"/>
        </w:rPr>
        <w:t xml:space="preserve"> que </w:t>
      </w:r>
      <w:r w:rsidR="00E7283D">
        <w:rPr>
          <w:rFonts w:cs="Arial"/>
          <w:szCs w:val="24"/>
        </w:rPr>
        <w:t>el servicio a contratar resulta imprescindible para realizar tareas de mantenimiento preventivo y correctivo en la Red de Distribución,</w:t>
      </w:r>
      <w:r w:rsidR="006B181C">
        <w:rPr>
          <w:rFonts w:cs="Arial"/>
          <w:szCs w:val="24"/>
        </w:rPr>
        <w:t xml:space="preserve"> resultando la ejecución del mismo decisivo para garantizar la calidad del servicio eléctrico de los clientes que se encuentran en el ámbito de la Gerencia Centro;</w:t>
      </w:r>
    </w:p>
    <w:p w:rsidR="00D856B1" w:rsidRPr="005C69BB" w:rsidRDefault="006B181C" w:rsidP="005B2A58">
      <w:pPr>
        <w:spacing w:after="0" w:line="360" w:lineRule="auto"/>
        <w:ind w:firstLine="851"/>
        <w:jc w:val="both"/>
        <w:rPr>
          <w:rFonts w:ascii="Arial" w:hAnsi="Arial" w:cs="Arial"/>
          <w:sz w:val="24"/>
          <w:lang w:val="es-AR"/>
        </w:rPr>
      </w:pPr>
      <w:r w:rsidRPr="005C69BB">
        <w:rPr>
          <w:rFonts w:ascii="Arial" w:hAnsi="Arial" w:cs="Arial"/>
          <w:b/>
          <w:sz w:val="24"/>
          <w:szCs w:val="24"/>
        </w:rPr>
        <w:t>CONSIDERANDO: 1)</w:t>
      </w:r>
      <w:r w:rsidR="00FA22C6" w:rsidRPr="005C69BB">
        <w:rPr>
          <w:rFonts w:ascii="Arial" w:hAnsi="Arial" w:cs="Arial"/>
          <w:sz w:val="24"/>
          <w:szCs w:val="24"/>
        </w:rPr>
        <w:t xml:space="preserve"> </w:t>
      </w:r>
      <w:r w:rsidR="00D856B1" w:rsidRPr="005C69BB">
        <w:rPr>
          <w:rFonts w:ascii="Arial" w:hAnsi="Arial" w:cs="Arial"/>
          <w:sz w:val="24"/>
          <w:lang w:val="es-AR"/>
        </w:rPr>
        <w:t>que en materia de contratación pública rige el principio de concurrencia en los procedimientos competitivos para el llamado y la selección de las ofertas, consagrado legalmente a texto expreso en el artículo 149, literal b) del TOCAF, el que no solo constituye un principio general de actuación y contralor en la materia, sino que por imperio del inciso final del artículo – junto a los restantes principios generales establecidos - servirá de criterio interpretativo para resolver las cuestiones que puedan suscitarse en la aplicación de las disposiciones pertinentes;</w:t>
      </w:r>
    </w:p>
    <w:p w:rsidR="00D856B1" w:rsidRPr="005C69BB" w:rsidRDefault="00D856B1" w:rsidP="005B2A58">
      <w:pPr>
        <w:spacing w:after="0" w:line="360" w:lineRule="auto"/>
        <w:ind w:firstLine="2977"/>
        <w:jc w:val="both"/>
        <w:rPr>
          <w:rFonts w:ascii="Arial" w:hAnsi="Arial" w:cs="Arial"/>
          <w:sz w:val="24"/>
          <w:lang w:val="es-AR"/>
        </w:rPr>
      </w:pPr>
      <w:r w:rsidRPr="005C69BB">
        <w:rPr>
          <w:rFonts w:ascii="Arial" w:hAnsi="Arial" w:cs="Arial"/>
          <w:b/>
          <w:sz w:val="24"/>
          <w:lang w:val="es-AR"/>
        </w:rPr>
        <w:t xml:space="preserve">2) </w:t>
      </w:r>
      <w:r w:rsidRPr="005C69BB">
        <w:rPr>
          <w:rFonts w:ascii="Arial" w:hAnsi="Arial" w:cs="Arial"/>
          <w:sz w:val="24"/>
          <w:lang w:val="es-AR"/>
        </w:rPr>
        <w:t xml:space="preserve">que dentro del Derecho Administrativo Sancionatorio rigen – entre otros - los principios de  gradualidad de las sanciones, proporcionalidad entre la falta o infracción y la sanción </w:t>
      </w:r>
      <w:r w:rsidR="001A4B13">
        <w:rPr>
          <w:rFonts w:ascii="Arial" w:hAnsi="Arial" w:cs="Arial"/>
          <w:sz w:val="24"/>
          <w:lang w:val="es-AR"/>
        </w:rPr>
        <w:t>a recaer respecto de la misma y</w:t>
      </w:r>
      <w:r w:rsidRPr="005C69BB">
        <w:rPr>
          <w:rFonts w:ascii="Arial" w:hAnsi="Arial" w:cs="Arial"/>
          <w:sz w:val="24"/>
          <w:lang w:val="es-AR"/>
        </w:rPr>
        <w:t xml:space="preserve"> el principio non bis in ídem, los que constituyen reglas de derecho conforme lo dispuesto por el artículo 23, literal a) del Decreto Ley 15.524;</w:t>
      </w:r>
    </w:p>
    <w:p w:rsidR="00D856B1" w:rsidRPr="005C69BB" w:rsidRDefault="00D856B1" w:rsidP="005B2A58">
      <w:pPr>
        <w:spacing w:after="0" w:line="360" w:lineRule="auto"/>
        <w:jc w:val="both"/>
        <w:rPr>
          <w:rFonts w:ascii="Arial" w:hAnsi="Arial" w:cs="Arial"/>
          <w:i/>
          <w:sz w:val="24"/>
          <w:szCs w:val="24"/>
          <w:lang w:val="es-AR"/>
        </w:rPr>
      </w:pPr>
      <w:r>
        <w:rPr>
          <w:lang w:val="es-AR"/>
        </w:rPr>
        <w:tab/>
      </w:r>
      <w:r>
        <w:rPr>
          <w:lang w:val="es-AR"/>
        </w:rPr>
        <w:tab/>
      </w:r>
      <w:r>
        <w:rPr>
          <w:lang w:val="es-AR"/>
        </w:rPr>
        <w:tab/>
      </w:r>
      <w:r w:rsidR="00FB3339">
        <w:rPr>
          <w:lang w:val="es-AR"/>
        </w:rPr>
        <w:t xml:space="preserve">  </w:t>
      </w:r>
      <w:r>
        <w:rPr>
          <w:lang w:val="es-AR"/>
        </w:rPr>
        <w:t xml:space="preserve">  </w:t>
      </w:r>
      <w:r w:rsidRPr="005C69BB">
        <w:rPr>
          <w:rFonts w:ascii="Arial" w:hAnsi="Arial" w:cs="Arial"/>
          <w:b/>
          <w:sz w:val="24"/>
          <w:szCs w:val="24"/>
          <w:lang w:val="es-AR"/>
        </w:rPr>
        <w:t xml:space="preserve">3) </w:t>
      </w:r>
      <w:r w:rsidRPr="005C69BB">
        <w:rPr>
          <w:rFonts w:ascii="Arial" w:hAnsi="Arial" w:cs="Arial"/>
          <w:sz w:val="24"/>
          <w:szCs w:val="24"/>
          <w:lang w:val="es-AR"/>
        </w:rPr>
        <w:t xml:space="preserve">que en el ámbito de las infracciones de los proveedores del Estado, dichos principios son recogidos en el artículo 18 del Decreto N° 155/013 de fecha 21/05/13 que establece </w:t>
      </w:r>
      <w:r w:rsidRPr="005C69BB">
        <w:rPr>
          <w:rFonts w:ascii="Arial" w:hAnsi="Arial" w:cs="Arial"/>
          <w:i/>
          <w:sz w:val="24"/>
          <w:szCs w:val="24"/>
          <w:lang w:val="es-AR"/>
        </w:rPr>
        <w:t>que las sanciones administrativas registrables en el RUPE que podrán aplicar los organismos contratantes, frente a infracciones cometidas por un proveedor, son las siguientes: a) advertencia; b) suspensión por el período y alcance que en cada caso se determine; y c) eliminación del infractor como proveedor del organismo sancionador. Las sanciones mencionadas se aplicarán sin perjuicio de aquellas establecidas en los contratos celebrados, en los pliegos de condiciones y demás estipulaciones que rigen cada contratación, las cuales también deberán registrarse en el RUPE. En todos los casos, la sanción deberá g</w:t>
      </w:r>
      <w:r w:rsidR="005C69BB" w:rsidRPr="005C69BB">
        <w:rPr>
          <w:rFonts w:ascii="Arial" w:hAnsi="Arial" w:cs="Arial"/>
          <w:i/>
          <w:sz w:val="24"/>
          <w:szCs w:val="24"/>
          <w:lang w:val="es-AR"/>
        </w:rPr>
        <w:t xml:space="preserve">uardar relación con el monto del </w:t>
      </w:r>
      <w:r w:rsidRPr="005C69BB">
        <w:rPr>
          <w:rFonts w:ascii="Arial" w:hAnsi="Arial" w:cs="Arial"/>
          <w:i/>
          <w:sz w:val="24"/>
          <w:szCs w:val="24"/>
          <w:lang w:val="es-AR"/>
        </w:rPr>
        <w:t>contrato, la entidad de la infracción y el perjuicio resultante para los intereses del Estado. Ninguna sanción podrá ser aplicada sin previa vista del interesado, para que pueda articular su defensa;</w:t>
      </w:r>
    </w:p>
    <w:p w:rsidR="00D856B1" w:rsidRDefault="00D856B1" w:rsidP="005B2A58">
      <w:pPr>
        <w:pStyle w:val="Textoindependiente"/>
        <w:rPr>
          <w:lang w:val="es-AR"/>
        </w:rPr>
      </w:pPr>
      <w:r>
        <w:rPr>
          <w:b/>
          <w:lang w:val="es-AR"/>
        </w:rPr>
        <w:tab/>
      </w:r>
      <w:r>
        <w:rPr>
          <w:b/>
          <w:lang w:val="es-AR"/>
        </w:rPr>
        <w:tab/>
      </w:r>
      <w:r>
        <w:rPr>
          <w:b/>
          <w:lang w:val="es-AR"/>
        </w:rPr>
        <w:tab/>
        <w:t xml:space="preserve">  4</w:t>
      </w:r>
      <w:r w:rsidRPr="00700FBE">
        <w:rPr>
          <w:b/>
          <w:lang w:val="es-AR"/>
        </w:rPr>
        <w:t>)</w:t>
      </w:r>
      <w:r>
        <w:rPr>
          <w:b/>
          <w:lang w:val="es-AR"/>
        </w:rPr>
        <w:t xml:space="preserve"> </w:t>
      </w:r>
      <w:r>
        <w:rPr>
          <w:lang w:val="es-AR"/>
        </w:rPr>
        <w:t xml:space="preserve">que la argumentación esgrimida en la oportunidad a efectos de reiterar el gasto resulta al menos inexacta, en tanto establece que </w:t>
      </w:r>
      <w:r w:rsidRPr="008449AF">
        <w:rPr>
          <w:i/>
          <w:lang w:val="es-AR"/>
        </w:rPr>
        <w:t>“la Administración reservó el derecho de no adjudicar un contrato a aquella empresa que tuviese incumplimientos anteriores con UTE y cuyo antecedente negativo se encontrare vigente en el pe</w:t>
      </w:r>
      <w:r>
        <w:rPr>
          <w:i/>
          <w:lang w:val="es-AR"/>
        </w:rPr>
        <w:t>ríodo de presentación de oferta”.</w:t>
      </w:r>
      <w:r>
        <w:rPr>
          <w:lang w:val="es-AR"/>
        </w:rPr>
        <w:t xml:space="preserve"> La Administración no se reservó el derecho de no adjudicar, sino que estableció en el artículo e</w:t>
      </w:r>
      <w:r>
        <w:t xml:space="preserve">l artículo 10.1 de </w:t>
      </w:r>
      <w:r>
        <w:rPr>
          <w:lang w:val="es-AR"/>
        </w:rPr>
        <w:t xml:space="preserve">las bases del llamado que dichos oferentes no serían admitidos en el procedimiento. Asimismo dicho artículo establece textualmente que la oferta será rechazada automáticamente </w:t>
      </w:r>
      <w:r w:rsidRPr="00FA12EE">
        <w:rPr>
          <w:i/>
          <w:lang w:val="es-AR"/>
        </w:rPr>
        <w:t>“</w:t>
      </w:r>
      <w:r w:rsidRPr="00FA12EE">
        <w:rPr>
          <w:i/>
        </w:rPr>
        <w:t>cuando el oferente registre antecedentes negativos en el Registro de Sanciones Contractuales a Proveedores de la Gerencia de Abastecimientos de UTE”</w:t>
      </w:r>
      <w:r>
        <w:rPr>
          <w:i/>
        </w:rPr>
        <w:t xml:space="preserve">. </w:t>
      </w:r>
      <w:r>
        <w:t>La condición que ahora se agrega respecto a que dicho</w:t>
      </w:r>
      <w:r w:rsidRPr="008449AF">
        <w:rPr>
          <w:i/>
          <w:lang w:val="es-AR"/>
        </w:rPr>
        <w:t xml:space="preserve"> </w:t>
      </w:r>
      <w:r w:rsidRPr="00FA12EE">
        <w:rPr>
          <w:lang w:val="es-AR"/>
        </w:rPr>
        <w:t>antecedente negativo se encontrare vigente en el período de presentación de oferta</w:t>
      </w:r>
      <w:r>
        <w:rPr>
          <w:lang w:val="es-AR"/>
        </w:rPr>
        <w:t xml:space="preserve"> no surge de las bases del llamado;</w:t>
      </w:r>
    </w:p>
    <w:p w:rsidR="00D856B1" w:rsidRDefault="00D856B1" w:rsidP="00D856B1">
      <w:pPr>
        <w:pStyle w:val="Textoindependiente"/>
        <w:rPr>
          <w:lang w:val="es-AR"/>
        </w:rPr>
      </w:pPr>
      <w:r>
        <w:rPr>
          <w:lang w:val="es-AR"/>
        </w:rPr>
        <w:tab/>
      </w:r>
      <w:r>
        <w:rPr>
          <w:lang w:val="es-AR"/>
        </w:rPr>
        <w:tab/>
      </w:r>
      <w:r>
        <w:rPr>
          <w:lang w:val="es-AR"/>
        </w:rPr>
        <w:tab/>
      </w:r>
      <w:r>
        <w:rPr>
          <w:b/>
          <w:lang w:val="es-AR"/>
        </w:rPr>
        <w:t xml:space="preserve">5) </w:t>
      </w:r>
      <w:r>
        <w:rPr>
          <w:lang w:val="es-AR"/>
        </w:rPr>
        <w:t>que la inhabilitación dispuesta por la Administración para participar de un procedimiento competitivo a todos los oferentes que contaren con antecedentes negativos en su Registro de Proveedores, sin delimitación temporal alguna e independientemente del grado de la infracción y por tanto del grado de la sanción aplicada, vacía de contenido el principio de proporcionalidad y sus efectos, en razón de que dicha inhabilitación recae tanto sobre aquellos proveedores que cuenten con un antecedente negativo leve (advertencia), como sobre aquellos que registren incumplimientos graves que hubieren ameritado su suspensión en dicho Registro;</w:t>
      </w:r>
    </w:p>
    <w:p w:rsidR="00D856B1" w:rsidRDefault="00D856B1" w:rsidP="00D856B1">
      <w:pPr>
        <w:pStyle w:val="Textoindependiente"/>
        <w:rPr>
          <w:lang w:val="es-AR"/>
        </w:rPr>
      </w:pPr>
      <w:r>
        <w:rPr>
          <w:lang w:val="es-AR"/>
        </w:rPr>
        <w:tab/>
      </w:r>
      <w:r>
        <w:rPr>
          <w:lang w:val="es-AR"/>
        </w:rPr>
        <w:tab/>
      </w:r>
      <w:r>
        <w:rPr>
          <w:lang w:val="es-AR"/>
        </w:rPr>
        <w:tab/>
      </w:r>
      <w:r>
        <w:rPr>
          <w:b/>
          <w:lang w:val="es-AR"/>
        </w:rPr>
        <w:t xml:space="preserve">6) </w:t>
      </w:r>
      <w:r>
        <w:rPr>
          <w:lang w:val="es-AR"/>
        </w:rPr>
        <w:t>que mientras quienes se encuentren suspendidos en el  Registro del Organismo o hubieren sido eliminados del mismo no se encuentran habilitados para contratar por la propia naturaleza de su sanción, a aquellos proveedores que registren sanciones leves (en atención a la levedad de su infracción), la estipulación del Pliego no solo los pone en pie de igualdad con los primeros, sino que los vuelve a sancionar impidiéndoles ahora concurrir en un procedimiento competitivo, todo lo cual resulta ilegítimo (non bis in ídem);</w:t>
      </w:r>
    </w:p>
    <w:p w:rsidR="00D856B1" w:rsidRPr="00D42185" w:rsidRDefault="00D856B1" w:rsidP="00D856B1">
      <w:pPr>
        <w:pStyle w:val="Textoindependiente"/>
        <w:rPr>
          <w:lang w:val="es-AR"/>
        </w:rPr>
      </w:pPr>
      <w:r>
        <w:rPr>
          <w:lang w:val="es-AR"/>
        </w:rPr>
        <w:tab/>
      </w:r>
      <w:r>
        <w:rPr>
          <w:lang w:val="es-AR"/>
        </w:rPr>
        <w:tab/>
      </w:r>
      <w:r>
        <w:rPr>
          <w:lang w:val="es-AR"/>
        </w:rPr>
        <w:tab/>
      </w:r>
      <w:r>
        <w:rPr>
          <w:b/>
          <w:lang w:val="es-AR"/>
        </w:rPr>
        <w:t xml:space="preserve">7) </w:t>
      </w:r>
      <w:r>
        <w:rPr>
          <w:lang w:val="es-AR"/>
        </w:rPr>
        <w:t xml:space="preserve">que como se expresara al momento de efectuar la observación, la Administración cuenta con herramientas jurídicas a efectos de ponderar los antecedentes positivos y negativos de los oferentes, sin limitar la concurrencia en el procedimiento; </w:t>
      </w:r>
    </w:p>
    <w:p w:rsidR="00D856B1" w:rsidRPr="00FB3339" w:rsidRDefault="00D856B1" w:rsidP="00D856B1">
      <w:pPr>
        <w:spacing w:line="360" w:lineRule="auto"/>
        <w:jc w:val="both"/>
        <w:rPr>
          <w:rFonts w:ascii="Arial" w:hAnsi="Arial" w:cs="Arial"/>
          <w:sz w:val="24"/>
          <w:szCs w:val="24"/>
          <w:lang w:val="es-AR"/>
        </w:rPr>
      </w:pPr>
      <w:r>
        <w:rPr>
          <w:lang w:val="es-AR"/>
        </w:rPr>
        <w:tab/>
      </w:r>
      <w:r>
        <w:rPr>
          <w:lang w:val="es-AR"/>
        </w:rPr>
        <w:tab/>
      </w:r>
      <w:r>
        <w:rPr>
          <w:lang w:val="es-AR"/>
        </w:rPr>
        <w:tab/>
      </w:r>
      <w:r w:rsidRPr="00FB3339">
        <w:rPr>
          <w:rFonts w:ascii="Arial" w:hAnsi="Arial" w:cs="Arial"/>
          <w:b/>
          <w:sz w:val="24"/>
          <w:szCs w:val="24"/>
          <w:lang w:val="es-AR"/>
        </w:rPr>
        <w:t xml:space="preserve">8) </w:t>
      </w:r>
      <w:r w:rsidRPr="00FB3339">
        <w:rPr>
          <w:rFonts w:ascii="Arial" w:hAnsi="Arial" w:cs="Arial"/>
          <w:sz w:val="24"/>
          <w:szCs w:val="24"/>
          <w:lang w:val="es-AR"/>
        </w:rPr>
        <w:t>que si bien resulta jurídicamente irrelevante la circunstancia fáctica de que esta cláusula de rechazo no fue de aplicación en este proceso licitatorio, en el caso - contrariamente a lo sostenido por la Administración - dicha estipulación desplegó todos sus efectos en forma previa a la apertura de ofertas, en tanto justamente no se presentó ningún oferente con antecedentes negativos en el Registro de la Administración;</w:t>
      </w:r>
    </w:p>
    <w:p w:rsidR="00D856B1" w:rsidRDefault="00D856B1" w:rsidP="00D856B1">
      <w:pPr>
        <w:pStyle w:val="Textoindependiente"/>
      </w:pPr>
      <w:r>
        <w:rPr>
          <w:b/>
          <w:lang w:val="es-AR"/>
        </w:rPr>
        <w:t xml:space="preserve">                                      9</w:t>
      </w:r>
      <w:r w:rsidRPr="00700FBE">
        <w:rPr>
          <w:b/>
          <w:lang w:val="es-AR"/>
        </w:rPr>
        <w:t>)</w:t>
      </w:r>
      <w:r>
        <w:rPr>
          <w:b/>
          <w:lang w:val="es-AR"/>
        </w:rPr>
        <w:t xml:space="preserve"> </w:t>
      </w:r>
      <w:r>
        <w:rPr>
          <w:lang w:val="es-AR"/>
        </w:rPr>
        <w:t xml:space="preserve">que en otro orden, la observación formulada respecto al análisis de admisibilidad de las ofertas no refiere a que el mismo no se hubiere efectuado sino a que </w:t>
      </w:r>
      <w:r w:rsidRPr="00B4460E">
        <w:rPr>
          <w:i/>
          <w:lang w:val="es-AR"/>
        </w:rPr>
        <w:t>“</w:t>
      </w:r>
      <w:r w:rsidRPr="00B4460E">
        <w:rPr>
          <w:i/>
        </w:rPr>
        <w:t>no obra en el expediente el análisis del cumplimiento por parte de los oferentes de los requisitos exigidos por el Pliego”</w:t>
      </w:r>
      <w:r>
        <w:t>;</w:t>
      </w:r>
    </w:p>
    <w:p w:rsidR="007C74D9" w:rsidRDefault="00E8732D" w:rsidP="005B2A58">
      <w:pPr>
        <w:pStyle w:val="Textoindependiente"/>
        <w:rPr>
          <w:rFonts w:cs="Arial"/>
          <w:szCs w:val="24"/>
        </w:rPr>
      </w:pPr>
      <w:r>
        <w:rPr>
          <w:rFonts w:cs="Arial"/>
          <w:szCs w:val="24"/>
        </w:rPr>
        <w:t xml:space="preserve">                                      </w:t>
      </w:r>
      <w:r w:rsidR="00FB3339" w:rsidRPr="00FB3339">
        <w:rPr>
          <w:rFonts w:cs="Arial"/>
          <w:b/>
          <w:szCs w:val="24"/>
        </w:rPr>
        <w:t>10</w:t>
      </w:r>
      <w:r w:rsidR="006B181C" w:rsidRPr="00E8732D">
        <w:rPr>
          <w:rFonts w:cs="Arial"/>
          <w:b/>
          <w:szCs w:val="24"/>
        </w:rPr>
        <w:t>)</w:t>
      </w:r>
      <w:r w:rsidR="006B181C">
        <w:rPr>
          <w:rFonts w:cs="Arial"/>
          <w:szCs w:val="24"/>
        </w:rPr>
        <w:t xml:space="preserve"> que la Comisión Asesora </w:t>
      </w:r>
      <w:r>
        <w:rPr>
          <w:rFonts w:cs="Arial"/>
          <w:szCs w:val="24"/>
        </w:rPr>
        <w:t>debió</w:t>
      </w:r>
      <w:r w:rsidR="006B181C">
        <w:rPr>
          <w:rFonts w:cs="Arial"/>
          <w:szCs w:val="24"/>
        </w:rPr>
        <w:t xml:space="preserve"> ser </w:t>
      </w:r>
      <w:r>
        <w:rPr>
          <w:rFonts w:cs="Arial"/>
          <w:szCs w:val="24"/>
        </w:rPr>
        <w:t>más</w:t>
      </w:r>
      <w:r w:rsidR="006B181C">
        <w:rPr>
          <w:rFonts w:cs="Arial"/>
          <w:szCs w:val="24"/>
        </w:rPr>
        <w:t xml:space="preserve"> precisa al momento de realizar su</w:t>
      </w:r>
      <w:r>
        <w:rPr>
          <w:rFonts w:cs="Arial"/>
          <w:szCs w:val="24"/>
        </w:rPr>
        <w:t>s</w:t>
      </w:r>
      <w:r w:rsidR="006B181C">
        <w:rPr>
          <w:rFonts w:cs="Arial"/>
          <w:szCs w:val="24"/>
        </w:rPr>
        <w:t xml:space="preserve"> informe</w:t>
      </w:r>
      <w:r>
        <w:rPr>
          <w:rFonts w:cs="Arial"/>
          <w:szCs w:val="24"/>
        </w:rPr>
        <w:t>s</w:t>
      </w:r>
      <w:r w:rsidR="006B181C">
        <w:rPr>
          <w:rFonts w:cs="Arial"/>
          <w:szCs w:val="24"/>
        </w:rPr>
        <w:t>, haciendo referencia, en primera instancia a todo el examen de admisibilidad de las propuestas y a posteriori de ello, a  todo lo relacionado a la evaluación de aquellas ofertas que se declararon admisibles, a efectos de evitar toda duda acerca del efectivo  cumplimiento del orden establecido en el art. 65  del TOCAF para las etapas de análisis;</w:t>
      </w:r>
    </w:p>
    <w:p w:rsidR="00E8732D" w:rsidRDefault="00E8732D" w:rsidP="005B2A58">
      <w:pPr>
        <w:suppressAutoHyphens/>
        <w:spacing w:after="0" w:line="360" w:lineRule="auto"/>
        <w:jc w:val="both"/>
        <w:rPr>
          <w:rFonts w:ascii="Arial" w:hAnsi="Arial" w:cs="Arial"/>
          <w:sz w:val="24"/>
          <w:szCs w:val="24"/>
        </w:rPr>
      </w:pPr>
      <w:r>
        <w:rPr>
          <w:rFonts w:ascii="Arial" w:hAnsi="Arial" w:cs="Arial"/>
          <w:b/>
          <w:sz w:val="24"/>
          <w:szCs w:val="24"/>
          <w:lang w:val="es-MX"/>
        </w:rPr>
        <w:t xml:space="preserve">                                         </w:t>
      </w:r>
      <w:r w:rsidR="00FB3339">
        <w:rPr>
          <w:rFonts w:ascii="Arial" w:hAnsi="Arial" w:cs="Arial"/>
          <w:b/>
          <w:sz w:val="24"/>
          <w:szCs w:val="24"/>
          <w:lang w:val="es-MX"/>
        </w:rPr>
        <w:t>11</w:t>
      </w:r>
      <w:r w:rsidR="0084075A" w:rsidRPr="00E8732D">
        <w:rPr>
          <w:rFonts w:ascii="Arial" w:hAnsi="Arial" w:cs="Arial"/>
          <w:b/>
          <w:sz w:val="24"/>
          <w:szCs w:val="24"/>
        </w:rPr>
        <w:t>)</w:t>
      </w:r>
      <w:r w:rsidR="0084075A" w:rsidRPr="00E8732D">
        <w:rPr>
          <w:rFonts w:cs="Arial"/>
          <w:sz w:val="24"/>
          <w:szCs w:val="24"/>
        </w:rPr>
        <w:t xml:space="preserve"> </w:t>
      </w:r>
      <w:r w:rsidR="0084075A" w:rsidRPr="00306D3E">
        <w:rPr>
          <w:rFonts w:ascii="Arial" w:hAnsi="Arial" w:cs="Arial"/>
          <w:sz w:val="24"/>
          <w:szCs w:val="24"/>
        </w:rPr>
        <w:t>que</w:t>
      </w:r>
      <w:r>
        <w:rPr>
          <w:rFonts w:ascii="Arial" w:hAnsi="Arial" w:cs="Arial"/>
          <w:sz w:val="24"/>
          <w:szCs w:val="24"/>
        </w:rPr>
        <w:t xml:space="preserve"> no obstante,</w:t>
      </w:r>
      <w:r w:rsidR="0084075A" w:rsidRPr="00306D3E">
        <w:rPr>
          <w:rFonts w:ascii="Arial" w:hAnsi="Arial" w:cs="Arial"/>
          <w:sz w:val="24"/>
          <w:szCs w:val="24"/>
        </w:rPr>
        <w:t xml:space="preserve"> la argumentación esgrimida</w:t>
      </w:r>
      <w:r w:rsidR="00FA22C6">
        <w:rPr>
          <w:rFonts w:ascii="Arial" w:hAnsi="Arial" w:cs="Arial"/>
          <w:sz w:val="24"/>
          <w:szCs w:val="24"/>
        </w:rPr>
        <w:t xml:space="preserve"> con relación a la falta de disponibilidad presupuestal</w:t>
      </w:r>
      <w:r w:rsidR="0084075A" w:rsidRPr="00306D3E">
        <w:rPr>
          <w:rFonts w:ascii="Arial" w:hAnsi="Arial" w:cs="Arial"/>
          <w:sz w:val="24"/>
          <w:szCs w:val="24"/>
        </w:rPr>
        <w:t>, no guarda relación con la causal que motivara la observación</w:t>
      </w:r>
      <w:r w:rsidR="0084075A">
        <w:rPr>
          <w:rFonts w:ascii="Arial" w:hAnsi="Arial" w:cs="Arial"/>
          <w:sz w:val="24"/>
          <w:szCs w:val="24"/>
        </w:rPr>
        <w:t>;</w:t>
      </w:r>
    </w:p>
    <w:p w:rsidR="00B7198B" w:rsidRPr="005B2A58" w:rsidRDefault="00E8732D" w:rsidP="005B2A58">
      <w:pPr>
        <w:suppressAutoHyphens/>
        <w:spacing w:after="0" w:line="360" w:lineRule="auto"/>
        <w:jc w:val="both"/>
        <w:rPr>
          <w:rFonts w:ascii="Arial" w:hAnsi="Arial" w:cs="Arial"/>
          <w:sz w:val="24"/>
          <w:szCs w:val="24"/>
        </w:rPr>
      </w:pPr>
      <w:r>
        <w:rPr>
          <w:rFonts w:ascii="Arial" w:hAnsi="Arial" w:cs="Arial"/>
          <w:b/>
          <w:sz w:val="24"/>
          <w:szCs w:val="24"/>
        </w:rPr>
        <w:t xml:space="preserve">                                       </w:t>
      </w:r>
      <w:r w:rsidR="00FB3339">
        <w:rPr>
          <w:rFonts w:ascii="Arial" w:hAnsi="Arial" w:cs="Arial"/>
          <w:b/>
          <w:sz w:val="24"/>
          <w:szCs w:val="24"/>
        </w:rPr>
        <w:t xml:space="preserve">  12) </w:t>
      </w:r>
      <w:r w:rsidR="0084075A" w:rsidRPr="00306D3E">
        <w:rPr>
          <w:rFonts w:ascii="Arial" w:hAnsi="Arial" w:cs="Arial"/>
          <w:sz w:val="24"/>
          <w:szCs w:val="24"/>
        </w:rPr>
        <w:t xml:space="preserve">que </w:t>
      </w:r>
      <w:r w:rsidR="0084075A">
        <w:rPr>
          <w:rFonts w:ascii="Arial" w:hAnsi="Arial" w:cs="Arial"/>
          <w:sz w:val="24"/>
          <w:szCs w:val="24"/>
        </w:rPr>
        <w:t xml:space="preserve">en consecuencia, </w:t>
      </w:r>
      <w:r w:rsidR="0084075A" w:rsidRPr="00306D3E">
        <w:rPr>
          <w:rFonts w:ascii="Arial" w:hAnsi="Arial" w:cs="Arial"/>
          <w:sz w:val="24"/>
          <w:szCs w:val="24"/>
        </w:rPr>
        <w:t>se mantienen incambiadas, las razones que ameritaron</w:t>
      </w:r>
      <w:r w:rsidR="0084075A">
        <w:rPr>
          <w:rFonts w:ascii="Arial" w:hAnsi="Arial" w:cs="Arial"/>
          <w:sz w:val="24"/>
          <w:szCs w:val="24"/>
        </w:rPr>
        <w:t xml:space="preserve"> </w:t>
      </w:r>
      <w:r w:rsidR="0084075A" w:rsidRPr="00306D3E">
        <w:rPr>
          <w:rFonts w:ascii="Arial" w:hAnsi="Arial" w:cs="Arial"/>
          <w:sz w:val="24"/>
          <w:szCs w:val="24"/>
        </w:rPr>
        <w:t xml:space="preserve"> la referida observación;</w:t>
      </w:r>
    </w:p>
    <w:p w:rsidR="005D5D3E" w:rsidRDefault="0084075A" w:rsidP="005B2A58">
      <w:pPr>
        <w:spacing w:after="0" w:line="360" w:lineRule="auto"/>
        <w:ind w:firstLine="851"/>
        <w:jc w:val="both"/>
        <w:rPr>
          <w:rFonts w:ascii="Arial" w:hAnsi="Arial" w:cs="Arial"/>
          <w:sz w:val="24"/>
          <w:szCs w:val="24"/>
        </w:rPr>
      </w:pPr>
      <w:r w:rsidRPr="0084075A">
        <w:rPr>
          <w:rFonts w:ascii="Arial" w:hAnsi="Arial" w:cs="Arial"/>
          <w:b/>
          <w:bCs/>
          <w:sz w:val="24"/>
          <w:szCs w:val="24"/>
        </w:rPr>
        <w:t>ATENTO:</w:t>
      </w:r>
      <w:r w:rsidRPr="0084075A">
        <w:rPr>
          <w:rFonts w:ascii="Arial" w:hAnsi="Arial" w:cs="Arial"/>
          <w:sz w:val="24"/>
          <w:szCs w:val="24"/>
        </w:rPr>
        <w:t xml:space="preserve"> a lo expuesto y a lo dispuesto por el Artículo 211 Literal B) de la Constitución de la República;</w:t>
      </w:r>
    </w:p>
    <w:p w:rsidR="005B2A58" w:rsidRPr="00DC08DA" w:rsidRDefault="005B2A58" w:rsidP="005B2A58">
      <w:pPr>
        <w:spacing w:after="0" w:line="360" w:lineRule="auto"/>
        <w:ind w:firstLine="851"/>
        <w:jc w:val="both"/>
        <w:rPr>
          <w:rFonts w:ascii="Arial" w:hAnsi="Arial" w:cs="Arial"/>
          <w:sz w:val="24"/>
          <w:szCs w:val="24"/>
        </w:rPr>
      </w:pPr>
    </w:p>
    <w:p w:rsidR="0084075A" w:rsidRPr="0084075A" w:rsidRDefault="0084075A" w:rsidP="0084075A">
      <w:pPr>
        <w:pStyle w:val="Textoindependiente2"/>
        <w:jc w:val="center"/>
        <w:rPr>
          <w:rFonts w:ascii="Arial" w:hAnsi="Arial" w:cs="Arial"/>
          <w:b/>
          <w:bCs/>
          <w:sz w:val="24"/>
          <w:szCs w:val="24"/>
        </w:rPr>
      </w:pPr>
      <w:r w:rsidRPr="0084075A">
        <w:rPr>
          <w:rFonts w:ascii="Arial" w:hAnsi="Arial" w:cs="Arial"/>
          <w:b/>
          <w:bCs/>
          <w:sz w:val="24"/>
          <w:szCs w:val="24"/>
        </w:rPr>
        <w:t>EL TRIBUNAL ACUERDA</w:t>
      </w:r>
    </w:p>
    <w:p w:rsidR="0084075A" w:rsidRPr="0084075A" w:rsidRDefault="0084075A" w:rsidP="0084075A">
      <w:pPr>
        <w:numPr>
          <w:ilvl w:val="0"/>
          <w:numId w:val="1"/>
        </w:numPr>
        <w:spacing w:after="0" w:line="360" w:lineRule="auto"/>
        <w:jc w:val="both"/>
        <w:rPr>
          <w:rFonts w:ascii="Arial" w:hAnsi="Arial" w:cs="Arial"/>
          <w:sz w:val="24"/>
          <w:szCs w:val="24"/>
        </w:rPr>
      </w:pPr>
      <w:r w:rsidRPr="0084075A">
        <w:rPr>
          <w:rFonts w:ascii="Arial" w:hAnsi="Arial" w:cs="Arial"/>
          <w:sz w:val="24"/>
          <w:szCs w:val="24"/>
        </w:rPr>
        <w:t>Mantener la observación formulada en sesión de fecha 27.6.18</w:t>
      </w:r>
      <w:r>
        <w:rPr>
          <w:rFonts w:ascii="Arial" w:hAnsi="Arial" w:cs="Arial"/>
          <w:sz w:val="24"/>
          <w:szCs w:val="24"/>
        </w:rPr>
        <w:t>.</w:t>
      </w:r>
    </w:p>
    <w:p w:rsidR="0084075A" w:rsidRPr="0084075A" w:rsidRDefault="0084075A" w:rsidP="0084075A">
      <w:pPr>
        <w:numPr>
          <w:ilvl w:val="0"/>
          <w:numId w:val="1"/>
        </w:numPr>
        <w:spacing w:after="0" w:line="360" w:lineRule="auto"/>
        <w:jc w:val="both"/>
        <w:rPr>
          <w:rFonts w:ascii="Arial" w:hAnsi="Arial" w:cs="Arial"/>
          <w:b/>
          <w:bCs/>
          <w:i/>
          <w:iCs/>
          <w:sz w:val="24"/>
          <w:szCs w:val="24"/>
        </w:rPr>
      </w:pPr>
      <w:r w:rsidRPr="0084075A">
        <w:rPr>
          <w:rFonts w:ascii="Arial" w:hAnsi="Arial" w:cs="Arial"/>
          <w:sz w:val="24"/>
          <w:szCs w:val="24"/>
        </w:rPr>
        <w:t>Dar cuenta a la Asamblea General.</w:t>
      </w:r>
    </w:p>
    <w:p w:rsidR="0084075A" w:rsidRDefault="0084075A" w:rsidP="0084075A">
      <w:pPr>
        <w:pStyle w:val="Textoindependiente"/>
        <w:numPr>
          <w:ilvl w:val="0"/>
          <w:numId w:val="1"/>
        </w:numPr>
        <w:rPr>
          <w:rFonts w:cs="Arial"/>
          <w:szCs w:val="24"/>
        </w:rPr>
      </w:pPr>
      <w:r>
        <w:rPr>
          <w:rFonts w:cs="Arial"/>
          <w:szCs w:val="24"/>
        </w:rPr>
        <w:t xml:space="preserve"> </w:t>
      </w:r>
      <w:r w:rsidRPr="0084075A">
        <w:rPr>
          <w:rFonts w:cs="Arial"/>
          <w:szCs w:val="24"/>
        </w:rPr>
        <w:t>Comunicar a la Administración actuante</w:t>
      </w:r>
      <w:r w:rsidR="005B2A58">
        <w:rPr>
          <w:rFonts w:cs="Arial"/>
          <w:szCs w:val="24"/>
        </w:rPr>
        <w:t>.</w:t>
      </w:r>
    </w:p>
    <w:p w:rsidR="007B41E2" w:rsidRPr="005B2A58" w:rsidRDefault="007B41E2" w:rsidP="007B41E2">
      <w:pPr>
        <w:pStyle w:val="Textoindependiente"/>
        <w:rPr>
          <w:rFonts w:cs="Arial"/>
          <w:sz w:val="20"/>
        </w:rPr>
      </w:pPr>
      <w:r>
        <w:rPr>
          <w:rFonts w:cs="Arial"/>
          <w:szCs w:val="24"/>
        </w:rPr>
        <w:t xml:space="preserve"> </w:t>
      </w:r>
      <w:r w:rsidR="005B2A58">
        <w:rPr>
          <w:rFonts w:cs="Arial"/>
          <w:sz w:val="20"/>
        </w:rPr>
        <w:t>CLC</w:t>
      </w:r>
    </w:p>
    <w:sectPr w:rsidR="007B41E2" w:rsidRPr="005B2A58" w:rsidSect="00B84B49">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43E59"/>
    <w:multiLevelType w:val="hybridMultilevel"/>
    <w:tmpl w:val="031EEA1A"/>
    <w:lvl w:ilvl="0" w:tplc="749292FE">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D6"/>
    <w:rsid w:val="00092715"/>
    <w:rsid w:val="00101F58"/>
    <w:rsid w:val="001A4B13"/>
    <w:rsid w:val="002B61E9"/>
    <w:rsid w:val="00452A32"/>
    <w:rsid w:val="004D2944"/>
    <w:rsid w:val="00571FD6"/>
    <w:rsid w:val="005B2A58"/>
    <w:rsid w:val="005C69BB"/>
    <w:rsid w:val="005D5D3E"/>
    <w:rsid w:val="006B181C"/>
    <w:rsid w:val="00726823"/>
    <w:rsid w:val="007B41E2"/>
    <w:rsid w:val="007C74D9"/>
    <w:rsid w:val="0084075A"/>
    <w:rsid w:val="008542AC"/>
    <w:rsid w:val="00971483"/>
    <w:rsid w:val="00A178AA"/>
    <w:rsid w:val="00B7198B"/>
    <w:rsid w:val="00B84B49"/>
    <w:rsid w:val="00C746D1"/>
    <w:rsid w:val="00CA5F03"/>
    <w:rsid w:val="00D856B1"/>
    <w:rsid w:val="00DA0111"/>
    <w:rsid w:val="00DC08DA"/>
    <w:rsid w:val="00E7283D"/>
    <w:rsid w:val="00E8732D"/>
    <w:rsid w:val="00EB5DC3"/>
    <w:rsid w:val="00EB6BD0"/>
    <w:rsid w:val="00FA22C6"/>
    <w:rsid w:val="00FB333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B6BD0"/>
    <w:pPr>
      <w:spacing w:after="0" w:line="360" w:lineRule="auto"/>
      <w:jc w:val="both"/>
    </w:pPr>
    <w:rPr>
      <w:rFonts w:ascii="Arial" w:eastAsia="Times New Roman" w:hAnsi="Arial" w:cs="Times New Roman"/>
      <w:bCs/>
      <w:sz w:val="24"/>
      <w:szCs w:val="20"/>
      <w:lang w:val="es-MX" w:eastAsia="es-ES"/>
    </w:rPr>
  </w:style>
  <w:style w:type="character" w:customStyle="1" w:styleId="TextoindependienteCar">
    <w:name w:val="Texto independiente Car"/>
    <w:basedOn w:val="Fuentedeprrafopredeter"/>
    <w:link w:val="Textoindependiente"/>
    <w:rsid w:val="00EB6BD0"/>
    <w:rPr>
      <w:rFonts w:ascii="Arial" w:eastAsia="Times New Roman" w:hAnsi="Arial" w:cs="Times New Roman"/>
      <w:bCs/>
      <w:sz w:val="24"/>
      <w:szCs w:val="20"/>
      <w:lang w:val="es-MX" w:eastAsia="es-ES"/>
    </w:rPr>
  </w:style>
  <w:style w:type="paragraph" w:styleId="Textoindependiente2">
    <w:name w:val="Body Text 2"/>
    <w:basedOn w:val="Normal"/>
    <w:link w:val="Textoindependiente2Car"/>
    <w:uiPriority w:val="99"/>
    <w:semiHidden/>
    <w:unhideWhenUsed/>
    <w:rsid w:val="0084075A"/>
    <w:pPr>
      <w:spacing w:after="120" w:line="480" w:lineRule="auto"/>
    </w:pPr>
  </w:style>
  <w:style w:type="character" w:customStyle="1" w:styleId="Textoindependiente2Car">
    <w:name w:val="Texto independiente 2 Car"/>
    <w:basedOn w:val="Fuentedeprrafopredeter"/>
    <w:link w:val="Textoindependiente2"/>
    <w:uiPriority w:val="99"/>
    <w:semiHidden/>
    <w:rsid w:val="0084075A"/>
  </w:style>
  <w:style w:type="paragraph" w:styleId="Ttulo">
    <w:name w:val="Title"/>
    <w:basedOn w:val="Normal"/>
    <w:link w:val="TtuloCar"/>
    <w:qFormat/>
    <w:rsid w:val="0084075A"/>
    <w:pPr>
      <w:spacing w:after="0" w:line="360" w:lineRule="auto"/>
      <w:jc w:val="center"/>
    </w:pPr>
    <w:rPr>
      <w:rFonts w:ascii="Arial" w:eastAsia="Times New Roman" w:hAnsi="Arial" w:cs="Arial"/>
      <w:b/>
      <w:sz w:val="24"/>
      <w:szCs w:val="20"/>
      <w:u w:val="single"/>
      <w:lang w:val="es-MX" w:eastAsia="es-ES"/>
    </w:rPr>
  </w:style>
  <w:style w:type="character" w:customStyle="1" w:styleId="TtuloCar">
    <w:name w:val="Título Car"/>
    <w:basedOn w:val="Fuentedeprrafopredeter"/>
    <w:link w:val="Ttulo"/>
    <w:rsid w:val="0084075A"/>
    <w:rPr>
      <w:rFonts w:ascii="Arial" w:eastAsia="Times New Roman" w:hAnsi="Arial" w:cs="Arial"/>
      <w:b/>
      <w:sz w:val="24"/>
      <w:szCs w:val="20"/>
      <w:u w:val="single"/>
      <w:lang w:val="es-MX" w:eastAsia="es-ES"/>
    </w:rPr>
  </w:style>
  <w:style w:type="paragraph" w:styleId="Textodeglobo">
    <w:name w:val="Balloon Text"/>
    <w:basedOn w:val="Normal"/>
    <w:link w:val="TextodegloboCar"/>
    <w:uiPriority w:val="99"/>
    <w:semiHidden/>
    <w:unhideWhenUsed/>
    <w:rsid w:val="00B84B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4B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B6BD0"/>
    <w:pPr>
      <w:spacing w:after="0" w:line="360" w:lineRule="auto"/>
      <w:jc w:val="both"/>
    </w:pPr>
    <w:rPr>
      <w:rFonts w:ascii="Arial" w:eastAsia="Times New Roman" w:hAnsi="Arial" w:cs="Times New Roman"/>
      <w:bCs/>
      <w:sz w:val="24"/>
      <w:szCs w:val="20"/>
      <w:lang w:val="es-MX" w:eastAsia="es-ES"/>
    </w:rPr>
  </w:style>
  <w:style w:type="character" w:customStyle="1" w:styleId="TextoindependienteCar">
    <w:name w:val="Texto independiente Car"/>
    <w:basedOn w:val="Fuentedeprrafopredeter"/>
    <w:link w:val="Textoindependiente"/>
    <w:rsid w:val="00EB6BD0"/>
    <w:rPr>
      <w:rFonts w:ascii="Arial" w:eastAsia="Times New Roman" w:hAnsi="Arial" w:cs="Times New Roman"/>
      <w:bCs/>
      <w:sz w:val="24"/>
      <w:szCs w:val="20"/>
      <w:lang w:val="es-MX" w:eastAsia="es-ES"/>
    </w:rPr>
  </w:style>
  <w:style w:type="paragraph" w:styleId="Textoindependiente2">
    <w:name w:val="Body Text 2"/>
    <w:basedOn w:val="Normal"/>
    <w:link w:val="Textoindependiente2Car"/>
    <w:uiPriority w:val="99"/>
    <w:semiHidden/>
    <w:unhideWhenUsed/>
    <w:rsid w:val="0084075A"/>
    <w:pPr>
      <w:spacing w:after="120" w:line="480" w:lineRule="auto"/>
    </w:pPr>
  </w:style>
  <w:style w:type="character" w:customStyle="1" w:styleId="Textoindependiente2Car">
    <w:name w:val="Texto independiente 2 Car"/>
    <w:basedOn w:val="Fuentedeprrafopredeter"/>
    <w:link w:val="Textoindependiente2"/>
    <w:uiPriority w:val="99"/>
    <w:semiHidden/>
    <w:rsid w:val="0084075A"/>
  </w:style>
  <w:style w:type="paragraph" w:styleId="Ttulo">
    <w:name w:val="Title"/>
    <w:basedOn w:val="Normal"/>
    <w:link w:val="TtuloCar"/>
    <w:qFormat/>
    <w:rsid w:val="0084075A"/>
    <w:pPr>
      <w:spacing w:after="0" w:line="360" w:lineRule="auto"/>
      <w:jc w:val="center"/>
    </w:pPr>
    <w:rPr>
      <w:rFonts w:ascii="Arial" w:eastAsia="Times New Roman" w:hAnsi="Arial" w:cs="Arial"/>
      <w:b/>
      <w:sz w:val="24"/>
      <w:szCs w:val="20"/>
      <w:u w:val="single"/>
      <w:lang w:val="es-MX" w:eastAsia="es-ES"/>
    </w:rPr>
  </w:style>
  <w:style w:type="character" w:customStyle="1" w:styleId="TtuloCar">
    <w:name w:val="Título Car"/>
    <w:basedOn w:val="Fuentedeprrafopredeter"/>
    <w:link w:val="Ttulo"/>
    <w:rsid w:val="0084075A"/>
    <w:rPr>
      <w:rFonts w:ascii="Arial" w:eastAsia="Times New Roman" w:hAnsi="Arial" w:cs="Arial"/>
      <w:b/>
      <w:sz w:val="24"/>
      <w:szCs w:val="20"/>
      <w:u w:val="single"/>
      <w:lang w:val="es-MX" w:eastAsia="es-ES"/>
    </w:rPr>
  </w:style>
  <w:style w:type="paragraph" w:styleId="Textodeglobo">
    <w:name w:val="Balloon Text"/>
    <w:basedOn w:val="Normal"/>
    <w:link w:val="TextodegloboCar"/>
    <w:uiPriority w:val="99"/>
    <w:semiHidden/>
    <w:unhideWhenUsed/>
    <w:rsid w:val="00B84B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4B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1F0C0-DCDE-485C-830A-E9BCFAC8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1741</Words>
  <Characters>9579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2018-10-17T14:03:00Z</cp:lastPrinted>
  <dcterms:created xsi:type="dcterms:W3CDTF">2018-10-17T13:56:00Z</dcterms:created>
  <dcterms:modified xsi:type="dcterms:W3CDTF">2018-10-17T14:03:00Z</dcterms:modified>
</cp:coreProperties>
</file>