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AB" w:rsidRPr="00786EEB" w:rsidRDefault="00037CAB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3208/18</w:t>
      </w:r>
    </w:p>
    <w:p w:rsidR="00037CAB" w:rsidRDefault="00037CA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37CAB" w:rsidRPr="00762B34" w:rsidRDefault="00037C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37CAB" w:rsidRPr="00762B34" w:rsidRDefault="00037CA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37CAB" w:rsidRPr="00762B34" w:rsidRDefault="00037C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37CAB" w:rsidRPr="00762B34" w:rsidRDefault="00037CA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37CAB" w:rsidRPr="00762B34" w:rsidRDefault="00037C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10 DE OCTUBRE </w:t>
      </w:r>
      <w:r>
        <w:rPr>
          <w:rFonts w:ascii="Helvetica" w:hAnsi="Helvetica"/>
          <w:b/>
          <w:lang w:val="es-ES_tradnl"/>
        </w:rPr>
        <w:t>DE 2018</w:t>
      </w:r>
    </w:p>
    <w:p w:rsidR="00037CAB" w:rsidRPr="00762B34" w:rsidRDefault="00037C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37CAB" w:rsidRPr="00762B34" w:rsidRDefault="00037CAB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2018-17-1-0002342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4468/18</w:t>
      </w:r>
      <w:r w:rsidRPr="00762B34">
        <w:rPr>
          <w:rFonts w:cs="Arial"/>
          <w:b/>
          <w:lang w:val="en-US"/>
        </w:rPr>
        <w:t>)</w:t>
      </w:r>
    </w:p>
    <w:p w:rsidR="00037CAB" w:rsidRDefault="00037CA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37CAB" w:rsidRDefault="00037CAB">
      <w:pPr>
        <w:rPr>
          <w:lang w:val="en-US"/>
        </w:rPr>
      </w:pPr>
    </w:p>
    <w:p w:rsidR="00037CAB" w:rsidRDefault="00037CAB">
      <w:pPr>
        <w:rPr>
          <w:lang w:val="en-US"/>
        </w:rPr>
      </w:pPr>
    </w:p>
    <w:p w:rsidR="00D63190" w:rsidRDefault="00D63190" w:rsidP="00087C6C">
      <w:pPr>
        <w:spacing w:line="360" w:lineRule="auto"/>
        <w:ind w:left="60" w:firstLine="648"/>
        <w:jc w:val="both"/>
      </w:pPr>
      <w:r>
        <w:rPr>
          <w:b/>
          <w:bCs/>
        </w:rPr>
        <w:t xml:space="preserve">VISTO: </w:t>
      </w:r>
      <w:r>
        <w:t>los antecedentes remitidos por</w:t>
      </w:r>
      <w:r w:rsidR="00BB0808">
        <w:t xml:space="preserve"> la Contadora Auditora Destacada en el Ministerio del Interior</w:t>
      </w:r>
      <w:r w:rsidR="00B53344">
        <w:t>, rela</w:t>
      </w:r>
      <w:r w:rsidR="00BB0808">
        <w:t>cionados con la reiteración del gasto derivado del</w:t>
      </w:r>
      <w:r>
        <w:t xml:space="preserve"> convenio celebrado con la </w:t>
      </w:r>
      <w:r w:rsidR="00BB0808">
        <w:t>Universidad de la República</w:t>
      </w:r>
      <w:r w:rsidR="00623E82">
        <w:t xml:space="preserve"> (</w:t>
      </w:r>
      <w:r w:rsidR="00BB0808">
        <w:t>Facultad de Derecho</w:t>
      </w:r>
      <w:r w:rsidR="00623E82">
        <w:t>)</w:t>
      </w:r>
      <w:r w:rsidR="00BB0808">
        <w:t xml:space="preserve"> y la Asociación de Víctimas de Delitos Violentos, para que a través de su consultorio jurídico, brindar apoyo a las víctimas de la delincuencia</w:t>
      </w:r>
      <w:r>
        <w:t>;</w:t>
      </w:r>
    </w:p>
    <w:p w:rsidR="00D63190" w:rsidRDefault="00D63190" w:rsidP="00087C6C">
      <w:pPr>
        <w:spacing w:line="360" w:lineRule="auto"/>
        <w:ind w:left="60" w:firstLine="649"/>
        <w:jc w:val="both"/>
      </w:pPr>
      <w:r>
        <w:rPr>
          <w:b/>
          <w:bCs/>
        </w:rPr>
        <w:t xml:space="preserve">RESULTANDO: 1) </w:t>
      </w:r>
      <w:r w:rsidR="000E1831" w:rsidRPr="000E1831">
        <w:rPr>
          <w:bCs/>
        </w:rPr>
        <w:t>que el convenio fue suscrito el 20/6/16, con el objeto</w:t>
      </w:r>
      <w:r w:rsidR="00623E82">
        <w:rPr>
          <w:bCs/>
        </w:rPr>
        <w:t xml:space="preserve"> de</w:t>
      </w:r>
      <w:r w:rsidR="000E1831" w:rsidRPr="000E1831">
        <w:rPr>
          <w:bCs/>
        </w:rPr>
        <w:t xml:space="preserve"> brindar apoyo a las víctimas de la delincuencia, prestándoseles asesoramiento y asistencia jurídica, incluyendo en los procesos penales donde estuvier</w:t>
      </w:r>
      <w:r w:rsidR="00623E82">
        <w:rPr>
          <w:bCs/>
        </w:rPr>
        <w:t>a</w:t>
      </w:r>
      <w:r w:rsidR="000E1831" w:rsidRPr="000E1831">
        <w:rPr>
          <w:bCs/>
        </w:rPr>
        <w:t>n involucrados en su condición de víctimas</w:t>
      </w:r>
      <w:r w:rsidR="000E1831">
        <w:rPr>
          <w:bCs/>
        </w:rPr>
        <w:t>;</w:t>
      </w:r>
    </w:p>
    <w:p w:rsidR="000E1831" w:rsidRDefault="00D63190" w:rsidP="00087C6C">
      <w:pPr>
        <w:spacing w:line="360" w:lineRule="auto"/>
        <w:ind w:firstLine="2552"/>
        <w:jc w:val="both"/>
      </w:pPr>
      <w:r>
        <w:t xml:space="preserve"> </w:t>
      </w:r>
      <w:r w:rsidRPr="00644A67">
        <w:rPr>
          <w:b/>
        </w:rPr>
        <w:t>2)</w:t>
      </w:r>
      <w:r>
        <w:t xml:space="preserve"> que este Tribunal, por Resolución adoptada el </w:t>
      </w:r>
      <w:r w:rsidR="000E1831">
        <w:t>2</w:t>
      </w:r>
      <w:r>
        <w:t xml:space="preserve"> de </w:t>
      </w:r>
      <w:r w:rsidR="00B53344">
        <w:t>mayo</w:t>
      </w:r>
      <w:r>
        <w:t xml:space="preserve"> de 2018, observó el gasto</w:t>
      </w:r>
      <w:r w:rsidR="000E1831">
        <w:t xml:space="preserve"> derivado del convenio referido considerando:</w:t>
      </w:r>
    </w:p>
    <w:p w:rsidR="000E1831" w:rsidRPr="000E1831" w:rsidRDefault="00623E82" w:rsidP="00087C6C">
      <w:pPr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b/>
          <w:lang w:eastAsia="en-US"/>
        </w:rPr>
        <w:t>2.</w:t>
      </w:r>
      <w:r w:rsidR="000E1831">
        <w:rPr>
          <w:rFonts w:eastAsiaTheme="minorHAnsi" w:cs="Arial"/>
          <w:b/>
          <w:lang w:eastAsia="en-US"/>
        </w:rPr>
        <w:t>a</w:t>
      </w:r>
      <w:r w:rsidR="00087C6C">
        <w:rPr>
          <w:rFonts w:eastAsiaTheme="minorHAnsi" w:cs="Arial"/>
          <w:b/>
          <w:lang w:eastAsia="en-US"/>
        </w:rPr>
        <w:t>)</w:t>
      </w:r>
      <w:r w:rsidR="000E1831" w:rsidRPr="000E1831">
        <w:rPr>
          <w:rFonts w:eastAsiaTheme="minorHAnsi" w:cs="Arial"/>
          <w:lang w:eastAsia="en-US"/>
        </w:rPr>
        <w:t xml:space="preserve"> que la protección de las víctimas de la delincuencia, asistencia y asesoramiento, así como también </w:t>
      </w:r>
      <w:r>
        <w:rPr>
          <w:rFonts w:eastAsiaTheme="minorHAnsi" w:cs="Arial"/>
          <w:lang w:eastAsia="en-US"/>
        </w:rPr>
        <w:t>a</w:t>
      </w:r>
      <w:r w:rsidR="000E1831" w:rsidRPr="000E1831">
        <w:rPr>
          <w:rFonts w:eastAsiaTheme="minorHAnsi" w:cs="Arial"/>
          <w:lang w:eastAsia="en-US"/>
        </w:rPr>
        <w:t xml:space="preserve"> sus familiares, requiere norma atributiva de competencia expresa, que en el caso no sólo no se invoca, sino que fue prevista como competencia específica en el Código del Proceso Penal</w:t>
      </w:r>
      <w:r>
        <w:rPr>
          <w:rFonts w:eastAsiaTheme="minorHAnsi" w:cs="Arial"/>
          <w:lang w:eastAsia="en-US"/>
        </w:rPr>
        <w:t xml:space="preserve"> de</w:t>
      </w:r>
      <w:r w:rsidR="000E1831" w:rsidRPr="000E1831">
        <w:rPr>
          <w:rFonts w:eastAsiaTheme="minorHAnsi" w:cs="Arial"/>
          <w:lang w:eastAsia="en-US"/>
        </w:rPr>
        <w:t xml:space="preserve"> cargo del Ministerio Público (artículo 48); </w:t>
      </w:r>
    </w:p>
    <w:p w:rsidR="000E1831" w:rsidRPr="000E1831" w:rsidRDefault="00623E82" w:rsidP="00087C6C">
      <w:pPr>
        <w:spacing w:line="360" w:lineRule="auto"/>
        <w:jc w:val="both"/>
        <w:rPr>
          <w:rFonts w:eastAsiaTheme="minorHAnsi" w:cs="Arial"/>
          <w:lang w:eastAsia="en-US"/>
        </w:rPr>
      </w:pPr>
      <w:r w:rsidRPr="00623E82">
        <w:rPr>
          <w:rFonts w:eastAsiaTheme="minorHAnsi" w:cs="Arial"/>
          <w:b/>
          <w:lang w:eastAsia="en-US"/>
        </w:rPr>
        <w:t>2</w:t>
      </w:r>
      <w:r>
        <w:rPr>
          <w:rFonts w:eastAsiaTheme="minorHAnsi" w:cs="Arial"/>
          <w:lang w:eastAsia="en-US"/>
        </w:rPr>
        <w:t>.</w:t>
      </w:r>
      <w:r w:rsidR="000E1831">
        <w:rPr>
          <w:rFonts w:eastAsiaTheme="minorHAnsi" w:cs="Arial"/>
          <w:b/>
          <w:lang w:eastAsia="en-US"/>
        </w:rPr>
        <w:t>b</w:t>
      </w:r>
      <w:r w:rsidR="00087C6C">
        <w:rPr>
          <w:rFonts w:eastAsiaTheme="minorHAnsi" w:cs="Arial"/>
          <w:b/>
          <w:lang w:eastAsia="en-US"/>
        </w:rPr>
        <w:t>)</w:t>
      </w:r>
      <w:r w:rsidR="000E1831" w:rsidRPr="000E1831">
        <w:rPr>
          <w:rFonts w:eastAsiaTheme="minorHAnsi" w:cs="Arial"/>
          <w:b/>
          <w:lang w:eastAsia="en-US"/>
        </w:rPr>
        <w:t xml:space="preserve"> </w:t>
      </w:r>
      <w:r w:rsidR="000E1831" w:rsidRPr="000E1831">
        <w:rPr>
          <w:rFonts w:eastAsiaTheme="minorHAnsi" w:cs="Arial"/>
          <w:lang w:eastAsia="en-US"/>
        </w:rPr>
        <w:t xml:space="preserve">que las actuaciones cuentan con principio de ejecución, contraviniéndose el carácter preventivo de la Intervención de este Tribunal (artículo 211, literal B) de la Constitución de la República); </w:t>
      </w:r>
    </w:p>
    <w:p w:rsidR="00627B9D" w:rsidRDefault="00D63190" w:rsidP="00087C6C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b/>
        </w:rPr>
        <w:t>3)</w:t>
      </w:r>
      <w:r>
        <w:t xml:space="preserve"> </w:t>
      </w:r>
      <w:r>
        <w:rPr>
          <w:rFonts w:cs="Arial"/>
          <w:lang w:val="es-MX"/>
        </w:rPr>
        <w:t xml:space="preserve">que en esta oportunidad,  se remite </w:t>
      </w:r>
      <w:r w:rsidR="00627B9D">
        <w:rPr>
          <w:rFonts w:cs="Arial"/>
          <w:lang w:val="es-MX"/>
        </w:rPr>
        <w:t>Resolución</w:t>
      </w:r>
      <w:r>
        <w:rPr>
          <w:rFonts w:cs="Arial"/>
          <w:lang w:val="es-MX"/>
        </w:rPr>
        <w:t xml:space="preserve"> dictada por </w:t>
      </w:r>
      <w:r w:rsidR="000A7995">
        <w:rPr>
          <w:rFonts w:cs="Arial"/>
          <w:lang w:val="es-MX"/>
        </w:rPr>
        <w:t>el Mini</w:t>
      </w:r>
      <w:r w:rsidR="000E1831">
        <w:rPr>
          <w:rFonts w:cs="Arial"/>
          <w:lang w:val="es-MX"/>
        </w:rPr>
        <w:t>stro del Interior, de fecha 11 de jun</w:t>
      </w:r>
      <w:r w:rsidR="000A7995">
        <w:rPr>
          <w:rFonts w:cs="Arial"/>
          <w:lang w:val="es-MX"/>
        </w:rPr>
        <w:t>io</w:t>
      </w:r>
      <w:r w:rsidR="00627B9D">
        <w:rPr>
          <w:rFonts w:cs="Arial"/>
          <w:lang w:val="es-MX"/>
        </w:rPr>
        <w:t xml:space="preserve"> de 2018, por la cual </w:t>
      </w:r>
      <w:r>
        <w:rPr>
          <w:rFonts w:cs="Arial"/>
          <w:lang w:val="es-MX"/>
        </w:rPr>
        <w:t xml:space="preserve">se </w:t>
      </w:r>
      <w:r>
        <w:rPr>
          <w:rFonts w:cs="Arial"/>
          <w:lang w:val="es-MX"/>
        </w:rPr>
        <w:lastRenderedPageBreak/>
        <w:t>disp</w:t>
      </w:r>
      <w:r w:rsidR="00627B9D">
        <w:rPr>
          <w:rFonts w:cs="Arial"/>
          <w:lang w:val="es-MX"/>
        </w:rPr>
        <w:t>one</w:t>
      </w:r>
      <w:r>
        <w:rPr>
          <w:rFonts w:cs="Arial"/>
          <w:lang w:val="es-MX"/>
        </w:rPr>
        <w:t xml:space="preserve"> reiterar el gasto observado</w:t>
      </w:r>
      <w:r w:rsidR="00623E82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en virtud </w:t>
      </w:r>
      <w:r w:rsidR="000A7995">
        <w:rPr>
          <w:rFonts w:cs="Arial"/>
          <w:lang w:val="es-MX"/>
        </w:rPr>
        <w:t>de</w:t>
      </w:r>
      <w:r w:rsidR="000E1831">
        <w:rPr>
          <w:rFonts w:cs="Arial"/>
          <w:lang w:val="es-MX"/>
        </w:rPr>
        <w:t xml:space="preserve"> que</w:t>
      </w:r>
      <w:r w:rsidR="00623E82">
        <w:rPr>
          <w:rFonts w:cs="Arial"/>
          <w:lang w:val="es-MX"/>
        </w:rPr>
        <w:t xml:space="preserve"> el mismo</w:t>
      </w:r>
      <w:r w:rsidR="000E1831">
        <w:rPr>
          <w:rFonts w:cs="Arial"/>
          <w:lang w:val="es-MX"/>
        </w:rPr>
        <w:t xml:space="preserve"> deviene necesario y corresponde al servicio brindado a través del Consultorio Jurídico de la Facultad de Derecho</w:t>
      </w:r>
      <w:r w:rsidR="00623E82">
        <w:rPr>
          <w:rFonts w:cs="Arial"/>
          <w:lang w:val="es-MX"/>
        </w:rPr>
        <w:t xml:space="preserve"> para</w:t>
      </w:r>
      <w:r w:rsidR="000E1831">
        <w:rPr>
          <w:rFonts w:cs="Arial"/>
          <w:lang w:val="es-MX"/>
        </w:rPr>
        <w:t xml:space="preserve"> apoyo a las víctimas de la delincuencia</w:t>
      </w:r>
      <w:r w:rsidR="00627B9D">
        <w:rPr>
          <w:rFonts w:cs="Arial"/>
          <w:lang w:val="es-MX"/>
        </w:rPr>
        <w:t>;</w:t>
      </w:r>
    </w:p>
    <w:p w:rsidR="00D63190" w:rsidRDefault="00D63190" w:rsidP="00087C6C">
      <w:pPr>
        <w:pStyle w:val="Textoindependiente"/>
        <w:ind w:firstLine="709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rFonts w:cs="Arial"/>
          <w:lang w:val="es-MX"/>
        </w:rPr>
        <w:t xml:space="preserve"> </w:t>
      </w:r>
      <w:r w:rsidRPr="000B7422">
        <w:rPr>
          <w:rFonts w:cs="Arial"/>
          <w:b/>
          <w:bCs/>
          <w:lang w:val="es-MX"/>
        </w:rPr>
        <w:t xml:space="preserve">1) </w:t>
      </w:r>
      <w:r w:rsidRPr="000B7422">
        <w:rPr>
          <w:rFonts w:cs="Arial"/>
          <w:lang w:val="es-MX"/>
        </w:rPr>
        <w:t>que el Artículo 475 de la Ley 17.296 de 21</w:t>
      </w:r>
      <w:r w:rsidR="003528D8">
        <w:rPr>
          <w:rFonts w:cs="Arial"/>
          <w:lang w:val="es-MX"/>
        </w:rPr>
        <w:t xml:space="preserve"> de febrero de 2001</w:t>
      </w:r>
      <w:r w:rsidRPr="000B7422">
        <w:rPr>
          <w:rFonts w:cs="Arial"/>
          <w:lang w:val="es-MX"/>
        </w:rPr>
        <w:t>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D63190" w:rsidRPr="000B7422" w:rsidRDefault="00D63190" w:rsidP="00D63190">
      <w:pPr>
        <w:pStyle w:val="Textoindependiente"/>
        <w:rPr>
          <w:rFonts w:cs="Arial"/>
          <w:lang w:val="es-MX"/>
        </w:rPr>
      </w:pPr>
      <w:r>
        <w:rPr>
          <w:rFonts w:cs="Arial"/>
          <w:lang w:val="es-MX"/>
        </w:rPr>
        <w:t xml:space="preserve">                                   </w:t>
      </w:r>
      <w:r w:rsidRPr="000B7422">
        <w:rPr>
          <w:rFonts w:cs="Arial"/>
          <w:b/>
          <w:lang w:val="es-MX"/>
        </w:rPr>
        <w:t xml:space="preserve"> </w:t>
      </w:r>
      <w:r w:rsidR="00087C6C">
        <w:rPr>
          <w:rFonts w:cs="Arial"/>
          <w:b/>
          <w:lang w:val="es-MX"/>
        </w:rPr>
        <w:t xml:space="preserve">    </w:t>
      </w:r>
      <w:r w:rsidRPr="000B7422">
        <w:rPr>
          <w:rFonts w:cs="Arial"/>
          <w:b/>
          <w:lang w:val="es-MX"/>
        </w:rPr>
        <w:t>2)</w:t>
      </w:r>
      <w:r w:rsidRPr="000B7422">
        <w:rPr>
          <w:rFonts w:cs="Arial"/>
          <w:lang w:val="es-MX"/>
        </w:rPr>
        <w:t xml:space="preserve"> que </w:t>
      </w:r>
      <w:r>
        <w:rPr>
          <w:rFonts w:cs="Arial"/>
          <w:lang w:val="es-MX"/>
        </w:rPr>
        <w:t>e</w:t>
      </w:r>
      <w:r w:rsidRPr="000B7422">
        <w:rPr>
          <w:rFonts w:cs="Arial"/>
          <w:lang w:val="es-MX"/>
        </w:rPr>
        <w:t>l argumento esgrimido por la Administración para reiterar el gasto en cuestión refiere a su convenienci</w:t>
      </w:r>
      <w:r w:rsidR="00623E82">
        <w:rPr>
          <w:rFonts w:cs="Arial"/>
          <w:lang w:val="es-MX"/>
        </w:rPr>
        <w:t>a y no a la legalidad del mismo, por lo que se mantienen incambiadas las causas que motivaron dicha objeción;</w:t>
      </w:r>
    </w:p>
    <w:p w:rsidR="00D63190" w:rsidRPr="000B7422" w:rsidRDefault="00D63190" w:rsidP="00087C6C">
      <w:pPr>
        <w:pStyle w:val="Textoindependiente"/>
        <w:ind w:firstLine="709"/>
        <w:rPr>
          <w:rFonts w:cs="Arial"/>
        </w:rPr>
      </w:pPr>
      <w:r w:rsidRPr="000B7422">
        <w:rPr>
          <w:rFonts w:cs="Arial"/>
          <w:b/>
          <w:bCs/>
        </w:rPr>
        <w:t>ATENTO</w:t>
      </w:r>
      <w:r w:rsidR="00623E82">
        <w:rPr>
          <w:rFonts w:cs="Arial"/>
          <w:b/>
          <w:bCs/>
        </w:rPr>
        <w:t>:</w:t>
      </w:r>
      <w:r w:rsidRPr="000B7422">
        <w:rPr>
          <w:rFonts w:cs="Arial"/>
          <w:b/>
          <w:bCs/>
        </w:rPr>
        <w:t xml:space="preserve"> </w:t>
      </w:r>
      <w:r w:rsidRPr="000B7422">
        <w:rPr>
          <w:rFonts w:cs="Arial"/>
        </w:rPr>
        <w:t xml:space="preserve">a lo precedentemente expuesto y a lo establecido por </w:t>
      </w:r>
      <w:r>
        <w:rPr>
          <w:rFonts w:cs="Arial"/>
        </w:rPr>
        <w:t>e</w:t>
      </w:r>
      <w:r w:rsidRPr="000B7422">
        <w:rPr>
          <w:rFonts w:cs="Arial"/>
        </w:rPr>
        <w:t xml:space="preserve">l </w:t>
      </w:r>
      <w:r w:rsidR="00087C6C">
        <w:rPr>
          <w:rFonts w:cs="Arial"/>
        </w:rPr>
        <w:t>A</w:t>
      </w:r>
      <w:r w:rsidRPr="000B7422">
        <w:rPr>
          <w:rFonts w:cs="Arial"/>
        </w:rPr>
        <w:t>rt</w:t>
      </w:r>
      <w:r>
        <w:rPr>
          <w:rFonts w:cs="Arial"/>
        </w:rPr>
        <w:t>ículo</w:t>
      </w:r>
      <w:r w:rsidRPr="000B7422">
        <w:rPr>
          <w:rFonts w:cs="Arial"/>
        </w:rPr>
        <w:t xml:space="preserve"> 211 </w:t>
      </w:r>
      <w:r w:rsidR="00087C6C">
        <w:rPr>
          <w:rFonts w:cs="Arial"/>
        </w:rPr>
        <w:t>L</w:t>
      </w:r>
      <w:r w:rsidRPr="000B7422">
        <w:rPr>
          <w:rFonts w:cs="Arial"/>
        </w:rPr>
        <w:t xml:space="preserve">iteral B) de la Constitución de la República; </w:t>
      </w:r>
    </w:p>
    <w:p w:rsidR="00D63190" w:rsidRPr="000B7422" w:rsidRDefault="00D63190" w:rsidP="00D63190">
      <w:pPr>
        <w:pStyle w:val="Textoindependiente"/>
        <w:jc w:val="center"/>
        <w:rPr>
          <w:rFonts w:cs="Arial"/>
          <w:b/>
          <w:bCs/>
        </w:rPr>
      </w:pPr>
      <w:r w:rsidRPr="000B7422">
        <w:rPr>
          <w:rFonts w:cs="Arial"/>
          <w:b/>
          <w:bCs/>
        </w:rPr>
        <w:t>EL TRIBUNAL ACUERDA</w:t>
      </w:r>
    </w:p>
    <w:p w:rsidR="00D63190" w:rsidRPr="000B7422" w:rsidRDefault="00087C6C" w:rsidP="00087C6C">
      <w:pPr>
        <w:numPr>
          <w:ilvl w:val="0"/>
          <w:numId w:val="1"/>
        </w:numPr>
        <w:spacing w:line="360" w:lineRule="auto"/>
        <w:ind w:left="284" w:hanging="284"/>
        <w:rPr>
          <w:rFonts w:cs="Arial"/>
          <w:lang w:val="es-ES_tradnl"/>
        </w:rPr>
      </w:pPr>
      <w:r>
        <w:rPr>
          <w:rFonts w:cs="Arial"/>
          <w:lang w:val="es-MX"/>
        </w:rPr>
        <w:t xml:space="preserve">  </w:t>
      </w:r>
      <w:r w:rsidR="00D63190" w:rsidRPr="000B7422">
        <w:rPr>
          <w:rFonts w:cs="Arial"/>
          <w:lang w:val="es-MX"/>
        </w:rPr>
        <w:t xml:space="preserve">Mantener la observación formulada con fecha </w:t>
      </w:r>
      <w:r w:rsidR="000E1831">
        <w:rPr>
          <w:rFonts w:cs="Arial"/>
          <w:lang w:val="es-MX"/>
        </w:rPr>
        <w:t>2</w:t>
      </w:r>
      <w:r w:rsidR="00D63190" w:rsidRPr="000B7422">
        <w:rPr>
          <w:rFonts w:cs="Arial"/>
          <w:lang w:val="es-MX"/>
        </w:rPr>
        <w:t xml:space="preserve"> de</w:t>
      </w:r>
      <w:r w:rsidR="00D63190">
        <w:rPr>
          <w:rFonts w:cs="Arial"/>
          <w:lang w:val="es-MX"/>
        </w:rPr>
        <w:t xml:space="preserve"> </w:t>
      </w:r>
      <w:r w:rsidR="000A7995">
        <w:rPr>
          <w:rFonts w:cs="Arial"/>
          <w:lang w:val="es-MX"/>
        </w:rPr>
        <w:t>mayo</w:t>
      </w:r>
      <w:r w:rsidR="00D63190" w:rsidRPr="000B7422">
        <w:rPr>
          <w:rFonts w:cs="Arial"/>
          <w:lang w:val="es-MX"/>
        </w:rPr>
        <w:t xml:space="preserve"> de 201</w:t>
      </w:r>
      <w:r w:rsidR="00627B9D">
        <w:rPr>
          <w:rFonts w:cs="Arial"/>
          <w:lang w:val="es-MX"/>
        </w:rPr>
        <w:t>8</w:t>
      </w:r>
      <w:r w:rsidR="00D63190" w:rsidRPr="000B7422">
        <w:rPr>
          <w:rFonts w:cs="Arial"/>
          <w:lang w:val="es-ES_tradnl"/>
        </w:rPr>
        <w:t>;</w:t>
      </w:r>
    </w:p>
    <w:p w:rsidR="00D63190" w:rsidRPr="000B7422" w:rsidRDefault="00D63190" w:rsidP="00087C6C">
      <w:pPr>
        <w:spacing w:line="360" w:lineRule="auto"/>
        <w:ind w:left="284" w:hanging="284"/>
        <w:jc w:val="both"/>
        <w:rPr>
          <w:rFonts w:cs="Arial"/>
          <w:lang w:val="es-MX"/>
        </w:rPr>
      </w:pPr>
      <w:r w:rsidRPr="000B7422">
        <w:rPr>
          <w:rFonts w:cs="Arial"/>
          <w:b/>
          <w:bCs/>
          <w:lang w:val="es-MX"/>
        </w:rPr>
        <w:t>2)</w:t>
      </w:r>
      <w:r w:rsidRPr="000B7422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</w:t>
      </w:r>
      <w:r w:rsidR="00087C6C">
        <w:rPr>
          <w:rFonts w:cs="Arial"/>
          <w:lang w:val="es-MX"/>
        </w:rPr>
        <w:t xml:space="preserve"> </w:t>
      </w:r>
      <w:r w:rsidRPr="000B7422">
        <w:rPr>
          <w:rFonts w:cs="Arial"/>
          <w:lang w:val="es-MX"/>
        </w:rPr>
        <w:t>Dar cuenta a la Asamblea General</w:t>
      </w:r>
      <w:r w:rsidR="00623E82">
        <w:rPr>
          <w:rFonts w:cs="Arial"/>
          <w:lang w:val="es-MX"/>
        </w:rPr>
        <w:t xml:space="preserve"> y comunicar al Poder Ejecutivo</w:t>
      </w:r>
      <w:r w:rsidRPr="000B7422">
        <w:rPr>
          <w:rFonts w:cs="Arial"/>
          <w:lang w:val="es-MX"/>
        </w:rPr>
        <w:t xml:space="preserve">; y </w:t>
      </w:r>
    </w:p>
    <w:p w:rsidR="00D63190" w:rsidRDefault="00D63190" w:rsidP="00087C6C">
      <w:pPr>
        <w:spacing w:line="360" w:lineRule="auto"/>
        <w:ind w:left="426" w:hanging="426"/>
        <w:jc w:val="both"/>
        <w:rPr>
          <w:rFonts w:cs="Arial"/>
        </w:rPr>
      </w:pPr>
      <w:r w:rsidRPr="000B7422">
        <w:rPr>
          <w:rFonts w:cs="Arial"/>
          <w:b/>
          <w:bCs/>
        </w:rPr>
        <w:t>3)</w:t>
      </w:r>
      <w:r w:rsidRPr="000B7422">
        <w:rPr>
          <w:rFonts w:cs="Arial"/>
        </w:rPr>
        <w:t xml:space="preserve"> Ofici</w:t>
      </w:r>
      <w:r w:rsidR="00623E82">
        <w:rPr>
          <w:rFonts w:cs="Arial"/>
        </w:rPr>
        <w:t xml:space="preserve">ar a la Administración actuante en los términos de la presente </w:t>
      </w:r>
      <w:r w:rsidR="00087C6C">
        <w:rPr>
          <w:rFonts w:cs="Arial"/>
        </w:rPr>
        <w:t xml:space="preserve">   </w:t>
      </w:r>
      <w:r w:rsidR="00623E82">
        <w:rPr>
          <w:rFonts w:cs="Arial"/>
        </w:rPr>
        <w:t>resolución.</w:t>
      </w:r>
    </w:p>
    <w:p w:rsidR="00D63190" w:rsidRPr="000B7422" w:rsidRDefault="009F07D5" w:rsidP="00D63190">
      <w:pPr>
        <w:spacing w:line="360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 </w:t>
      </w:r>
      <w:bookmarkStart w:id="0" w:name="_GoBack"/>
      <w:bookmarkEnd w:id="0"/>
    </w:p>
    <w:p w:rsidR="00D63190" w:rsidRDefault="00087C6C" w:rsidP="006E6904">
      <w:pPr>
        <w:pStyle w:val="Textoindependiente"/>
      </w:pPr>
      <w:proofErr w:type="spellStart"/>
      <w:proofErr w:type="gramStart"/>
      <w:r w:rsidRPr="00087C6C">
        <w:rPr>
          <w:rFonts w:cs="Arial"/>
          <w:bCs/>
          <w:lang w:val="es-MX"/>
        </w:rPr>
        <w:t>cr</w:t>
      </w:r>
      <w:proofErr w:type="spellEnd"/>
      <w:proofErr w:type="gramEnd"/>
    </w:p>
    <w:p w:rsidR="00DF32CA" w:rsidRDefault="00DF32CA"/>
    <w:sectPr w:rsidR="00DF32CA" w:rsidSect="00037CAB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30F1"/>
    <w:multiLevelType w:val="hybridMultilevel"/>
    <w:tmpl w:val="27CAEF84"/>
    <w:lvl w:ilvl="0" w:tplc="B8F295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90"/>
    <w:rsid w:val="00037CAB"/>
    <w:rsid w:val="00087C6C"/>
    <w:rsid w:val="000A7995"/>
    <w:rsid w:val="000E1831"/>
    <w:rsid w:val="001C0998"/>
    <w:rsid w:val="00265D99"/>
    <w:rsid w:val="003528D8"/>
    <w:rsid w:val="005C6660"/>
    <w:rsid w:val="005F54EE"/>
    <w:rsid w:val="00623E82"/>
    <w:rsid w:val="00627B9D"/>
    <w:rsid w:val="006314BF"/>
    <w:rsid w:val="006E6465"/>
    <w:rsid w:val="006E6904"/>
    <w:rsid w:val="009F07D5"/>
    <w:rsid w:val="00B53344"/>
    <w:rsid w:val="00BB0808"/>
    <w:rsid w:val="00C3469C"/>
    <w:rsid w:val="00D20ABA"/>
    <w:rsid w:val="00D63190"/>
    <w:rsid w:val="00DE01E1"/>
    <w:rsid w:val="00DF32CA"/>
    <w:rsid w:val="00E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19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63190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1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319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19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1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E6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19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63190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1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319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19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1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E6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3</cp:revision>
  <cp:lastPrinted>2018-10-16T15:44:00Z</cp:lastPrinted>
  <dcterms:created xsi:type="dcterms:W3CDTF">2018-10-16T15:44:00Z</dcterms:created>
  <dcterms:modified xsi:type="dcterms:W3CDTF">2018-10-16T15:45:00Z</dcterms:modified>
</cp:coreProperties>
</file>