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23" w:rsidRPr="00786EEB" w:rsidRDefault="00DF4C23" w:rsidP="00DF4C23">
      <w:pPr>
        <w:tabs>
          <w:tab w:val="center" w:pos="4253"/>
        </w:tabs>
        <w:suppressAutoHyphens/>
        <w:spacing w:after="0" w:line="360" w:lineRule="auto"/>
        <w:jc w:val="right"/>
        <w:rPr>
          <w:rFonts w:ascii="Arial" w:hAnsi="Arial" w:cs="Arial"/>
          <w:b/>
          <w:sz w:val="28"/>
          <w:szCs w:val="28"/>
          <w:lang w:val="es-ES_tradnl"/>
        </w:rPr>
      </w:pPr>
      <w:bookmarkStart w:id="0" w:name="_GoBack"/>
      <w:bookmarkEnd w:id="0"/>
      <w:r>
        <w:rPr>
          <w:rFonts w:ascii="Arial" w:hAnsi="Arial" w:cs="Arial"/>
          <w:b/>
          <w:sz w:val="28"/>
          <w:szCs w:val="28"/>
          <w:lang w:val="es-ES_tradnl"/>
        </w:rPr>
        <w:t>RES. 3219/18</w:t>
      </w:r>
    </w:p>
    <w:p w:rsidR="00DF4C23" w:rsidRDefault="00DF4C23" w:rsidP="00DF4C23">
      <w:pPr>
        <w:tabs>
          <w:tab w:val="center" w:pos="4253"/>
        </w:tabs>
        <w:suppressAutoHyphens/>
        <w:spacing w:after="0" w:line="360" w:lineRule="auto"/>
        <w:jc w:val="right"/>
        <w:rPr>
          <w:rFonts w:ascii="Arial" w:hAnsi="Arial" w:cs="Arial"/>
          <w:b/>
          <w:lang w:val="es-ES_tradnl"/>
        </w:rPr>
      </w:pPr>
    </w:p>
    <w:p w:rsidR="00DF4C23" w:rsidRPr="00DF4C23" w:rsidRDefault="00DF4C23" w:rsidP="00DF4C23">
      <w:pPr>
        <w:tabs>
          <w:tab w:val="center" w:pos="4253"/>
        </w:tabs>
        <w:suppressAutoHyphens/>
        <w:spacing w:after="0" w:line="240" w:lineRule="auto"/>
        <w:jc w:val="center"/>
        <w:rPr>
          <w:rFonts w:ascii="Arial" w:hAnsi="Arial" w:cs="Arial"/>
          <w:b/>
          <w:sz w:val="24"/>
          <w:szCs w:val="24"/>
          <w:lang w:val="es-ES_tradnl"/>
        </w:rPr>
      </w:pPr>
      <w:r w:rsidRPr="00DF4C23">
        <w:rPr>
          <w:rFonts w:ascii="Arial" w:hAnsi="Arial" w:cs="Arial"/>
          <w:b/>
          <w:sz w:val="24"/>
          <w:szCs w:val="24"/>
          <w:lang w:val="es-ES_tradnl"/>
        </w:rPr>
        <w:t>RESOLUCION ADOPTADA POR EL</w:t>
      </w:r>
    </w:p>
    <w:p w:rsidR="00DF4C23" w:rsidRPr="00DF4C23" w:rsidRDefault="00DF4C23" w:rsidP="00DF4C23">
      <w:pPr>
        <w:tabs>
          <w:tab w:val="left" w:pos="-720"/>
        </w:tabs>
        <w:suppressAutoHyphens/>
        <w:spacing w:after="0" w:line="240" w:lineRule="auto"/>
        <w:jc w:val="center"/>
        <w:rPr>
          <w:rFonts w:ascii="Arial" w:hAnsi="Arial" w:cs="Arial"/>
          <w:b/>
          <w:sz w:val="24"/>
          <w:szCs w:val="24"/>
          <w:lang w:val="es-ES_tradnl"/>
        </w:rPr>
      </w:pPr>
    </w:p>
    <w:p w:rsidR="00DF4C23" w:rsidRPr="00DF4C23" w:rsidRDefault="00DF4C23" w:rsidP="00DF4C23">
      <w:pPr>
        <w:tabs>
          <w:tab w:val="center" w:pos="4253"/>
        </w:tabs>
        <w:suppressAutoHyphens/>
        <w:spacing w:after="0" w:line="240" w:lineRule="auto"/>
        <w:jc w:val="center"/>
        <w:rPr>
          <w:rFonts w:ascii="Arial" w:hAnsi="Arial" w:cs="Arial"/>
          <w:b/>
          <w:sz w:val="24"/>
          <w:szCs w:val="24"/>
          <w:lang w:val="es-ES_tradnl"/>
        </w:rPr>
      </w:pPr>
      <w:r w:rsidRPr="00DF4C23">
        <w:rPr>
          <w:rFonts w:ascii="Arial" w:hAnsi="Arial" w:cs="Arial"/>
          <w:b/>
          <w:sz w:val="24"/>
          <w:szCs w:val="24"/>
          <w:lang w:val="es-ES_tradnl"/>
        </w:rPr>
        <w:t>TRIBUNAL DE CUENTAS</w:t>
      </w:r>
    </w:p>
    <w:p w:rsidR="00DF4C23" w:rsidRPr="00DF4C23" w:rsidRDefault="00DF4C23" w:rsidP="00DF4C23">
      <w:pPr>
        <w:tabs>
          <w:tab w:val="left" w:pos="-720"/>
        </w:tabs>
        <w:suppressAutoHyphens/>
        <w:spacing w:after="0" w:line="240" w:lineRule="auto"/>
        <w:jc w:val="center"/>
        <w:rPr>
          <w:rFonts w:ascii="Arial" w:hAnsi="Arial" w:cs="Arial"/>
          <w:b/>
          <w:sz w:val="24"/>
          <w:szCs w:val="24"/>
          <w:lang w:val="es-ES_tradnl"/>
        </w:rPr>
      </w:pPr>
    </w:p>
    <w:p w:rsidR="00DF4C23" w:rsidRPr="00DF4C23" w:rsidRDefault="00DF4C23" w:rsidP="00DF4C23">
      <w:pPr>
        <w:tabs>
          <w:tab w:val="center" w:pos="4253"/>
        </w:tabs>
        <w:suppressAutoHyphens/>
        <w:spacing w:after="0" w:line="240" w:lineRule="auto"/>
        <w:jc w:val="center"/>
        <w:rPr>
          <w:rFonts w:ascii="Arial" w:hAnsi="Arial" w:cs="Arial"/>
          <w:b/>
          <w:sz w:val="24"/>
          <w:szCs w:val="24"/>
          <w:lang w:val="es-ES_tradnl"/>
        </w:rPr>
      </w:pPr>
      <w:r w:rsidRPr="00DF4C23">
        <w:rPr>
          <w:rFonts w:ascii="Arial" w:hAnsi="Arial" w:cs="Arial"/>
          <w:b/>
          <w:sz w:val="24"/>
          <w:szCs w:val="24"/>
          <w:lang w:val="es-ES_tradnl"/>
        </w:rPr>
        <w:t xml:space="preserve">EN SESION DE FECHA 10 DE OCTUBRE </w:t>
      </w:r>
      <w:r w:rsidRPr="00DF4C23">
        <w:rPr>
          <w:rFonts w:ascii="Helvetica" w:hAnsi="Helvetica"/>
          <w:b/>
          <w:sz w:val="24"/>
          <w:szCs w:val="24"/>
          <w:lang w:val="es-ES_tradnl"/>
        </w:rPr>
        <w:t>DE 2018</w:t>
      </w:r>
    </w:p>
    <w:p w:rsidR="00DF4C23" w:rsidRPr="00DF4C23" w:rsidRDefault="00DF4C23" w:rsidP="00DF4C23">
      <w:pPr>
        <w:tabs>
          <w:tab w:val="center" w:pos="4253"/>
        </w:tabs>
        <w:suppressAutoHyphens/>
        <w:spacing w:after="0" w:line="240" w:lineRule="auto"/>
        <w:jc w:val="center"/>
        <w:rPr>
          <w:rFonts w:ascii="Arial" w:hAnsi="Arial" w:cs="Arial"/>
          <w:b/>
          <w:sz w:val="24"/>
          <w:szCs w:val="24"/>
          <w:lang w:val="es-ES_tradnl"/>
        </w:rPr>
      </w:pPr>
    </w:p>
    <w:p w:rsidR="00DF4C23" w:rsidRPr="00DF4C23" w:rsidRDefault="00DF4C23" w:rsidP="00DF4C23">
      <w:pPr>
        <w:tabs>
          <w:tab w:val="center" w:pos="4253"/>
        </w:tabs>
        <w:suppressAutoHyphens/>
        <w:spacing w:after="0" w:line="240" w:lineRule="auto"/>
        <w:jc w:val="center"/>
        <w:rPr>
          <w:rFonts w:ascii="Arial" w:hAnsi="Arial" w:cs="Arial"/>
          <w:b/>
          <w:sz w:val="24"/>
          <w:szCs w:val="24"/>
          <w:lang w:val="en-US"/>
        </w:rPr>
      </w:pPr>
      <w:r w:rsidRPr="00DF4C23">
        <w:rPr>
          <w:rFonts w:ascii="Arial" w:hAnsi="Arial" w:cs="Arial"/>
          <w:b/>
          <w:sz w:val="24"/>
          <w:szCs w:val="24"/>
          <w:lang w:val="en-US"/>
        </w:rPr>
        <w:t xml:space="preserve">(E. E. Nº </w:t>
      </w:r>
      <w:r>
        <w:rPr>
          <w:rFonts w:ascii="Arial" w:hAnsi="Arial" w:cs="Arial"/>
          <w:b/>
          <w:sz w:val="24"/>
          <w:szCs w:val="24"/>
          <w:lang w:val="en-US"/>
        </w:rPr>
        <w:t>2018-17-1-0005694</w:t>
      </w:r>
      <w:r w:rsidRPr="00DF4C23">
        <w:rPr>
          <w:rFonts w:ascii="Arial" w:hAnsi="Arial" w:cs="Arial"/>
          <w:b/>
          <w:sz w:val="24"/>
          <w:szCs w:val="24"/>
          <w:lang w:val="en-US"/>
        </w:rPr>
        <w:t xml:space="preserve">, </w:t>
      </w:r>
      <w:proofErr w:type="gramStart"/>
      <w:r w:rsidRPr="00DF4C23">
        <w:rPr>
          <w:rFonts w:ascii="Arial" w:hAnsi="Arial" w:cs="Arial"/>
          <w:b/>
          <w:sz w:val="24"/>
          <w:szCs w:val="24"/>
          <w:lang w:val="en-US"/>
        </w:rPr>
        <w:t>Ent</w:t>
      </w:r>
      <w:proofErr w:type="gramEnd"/>
      <w:r w:rsidRPr="00DF4C23">
        <w:rPr>
          <w:rFonts w:ascii="Arial" w:hAnsi="Arial" w:cs="Arial"/>
          <w:b/>
          <w:sz w:val="24"/>
          <w:szCs w:val="24"/>
          <w:lang w:val="en-US"/>
        </w:rPr>
        <w:t>. N°</w:t>
      </w:r>
      <w:r>
        <w:rPr>
          <w:rFonts w:ascii="Arial" w:hAnsi="Arial" w:cs="Arial"/>
          <w:b/>
          <w:sz w:val="24"/>
          <w:szCs w:val="24"/>
          <w:lang w:val="en-US"/>
        </w:rPr>
        <w:t xml:space="preserve"> </w:t>
      </w:r>
      <w:proofErr w:type="spellStart"/>
      <w:r>
        <w:rPr>
          <w:rFonts w:ascii="Arial" w:hAnsi="Arial" w:cs="Arial"/>
          <w:b/>
          <w:sz w:val="24"/>
          <w:szCs w:val="24"/>
          <w:lang w:val="en-US"/>
        </w:rPr>
        <w:t>inic</w:t>
      </w:r>
      <w:proofErr w:type="spellEnd"/>
      <w:r>
        <w:rPr>
          <w:rFonts w:ascii="Arial" w:hAnsi="Arial" w:cs="Arial"/>
          <w:b/>
          <w:sz w:val="24"/>
          <w:szCs w:val="24"/>
          <w:lang w:val="en-US"/>
        </w:rPr>
        <w:t>/18</w:t>
      </w:r>
      <w:r w:rsidRPr="00DF4C23">
        <w:rPr>
          <w:rFonts w:ascii="Arial" w:hAnsi="Arial" w:cs="Arial"/>
          <w:b/>
          <w:sz w:val="24"/>
          <w:szCs w:val="24"/>
          <w:lang w:val="en-US"/>
        </w:rPr>
        <w:t>)</w:t>
      </w:r>
    </w:p>
    <w:p w:rsidR="00DF4C23" w:rsidRDefault="00DF4C23">
      <w:pPr>
        <w:tabs>
          <w:tab w:val="center" w:pos="4253"/>
        </w:tabs>
        <w:suppressAutoHyphens/>
        <w:jc w:val="center"/>
        <w:rPr>
          <w:rFonts w:ascii="Helvetica" w:hAnsi="Helvetica"/>
          <w:b/>
          <w:lang w:val="en-US"/>
        </w:rPr>
      </w:pPr>
    </w:p>
    <w:p w:rsidR="00E22A63" w:rsidRPr="00E22A63" w:rsidRDefault="00E22A63" w:rsidP="00DF4C23">
      <w:pPr>
        <w:spacing w:after="0" w:line="360" w:lineRule="auto"/>
        <w:ind w:firstLine="708"/>
        <w:jc w:val="both"/>
        <w:rPr>
          <w:rFonts w:ascii="Arial" w:hAnsi="Arial" w:cs="Arial"/>
          <w:sz w:val="24"/>
          <w:szCs w:val="24"/>
        </w:rPr>
      </w:pPr>
      <w:r w:rsidRPr="00E22A63">
        <w:rPr>
          <w:rFonts w:ascii="Arial" w:hAnsi="Arial" w:cs="Arial"/>
          <w:b/>
          <w:sz w:val="24"/>
          <w:szCs w:val="24"/>
        </w:rPr>
        <w:t xml:space="preserve">VISTO: </w:t>
      </w:r>
      <w:r w:rsidR="00882598">
        <w:rPr>
          <w:rFonts w:ascii="Arial" w:hAnsi="Arial" w:cs="Arial"/>
          <w:sz w:val="24"/>
          <w:szCs w:val="24"/>
        </w:rPr>
        <w:t xml:space="preserve">estos </w:t>
      </w:r>
      <w:r>
        <w:rPr>
          <w:rFonts w:ascii="Arial" w:hAnsi="Arial" w:cs="Arial"/>
          <w:sz w:val="24"/>
          <w:szCs w:val="24"/>
        </w:rPr>
        <w:t>a</w:t>
      </w:r>
      <w:r w:rsidR="00882598">
        <w:rPr>
          <w:rFonts w:ascii="Arial" w:hAnsi="Arial" w:cs="Arial"/>
          <w:sz w:val="24"/>
          <w:szCs w:val="24"/>
        </w:rPr>
        <w:t>ntecedentes remitidos por la</w:t>
      </w:r>
      <w:r>
        <w:rPr>
          <w:rFonts w:ascii="Arial" w:hAnsi="Arial" w:cs="Arial"/>
          <w:sz w:val="24"/>
          <w:szCs w:val="24"/>
        </w:rPr>
        <w:t xml:space="preserve"> Auditoría Destacada en el Ministerio del Interior</w:t>
      </w:r>
      <w:r w:rsidR="00882598">
        <w:rPr>
          <w:rFonts w:ascii="Arial" w:hAnsi="Arial" w:cs="Arial"/>
          <w:sz w:val="24"/>
          <w:szCs w:val="24"/>
        </w:rPr>
        <w:t xml:space="preserve">, </w:t>
      </w:r>
      <w:r>
        <w:rPr>
          <w:rFonts w:ascii="Arial" w:hAnsi="Arial" w:cs="Arial"/>
          <w:sz w:val="24"/>
          <w:szCs w:val="24"/>
        </w:rPr>
        <w:t>relacionados con la Licitación Abreviada N° 10/2018, correspondiente a “Reparación de Filtraciones de Agua en varios Edificios del Ministerio del Interior</w:t>
      </w:r>
      <w:r w:rsidR="00882598">
        <w:rPr>
          <w:rFonts w:ascii="Arial" w:hAnsi="Arial" w:cs="Arial"/>
          <w:sz w:val="24"/>
          <w:szCs w:val="24"/>
        </w:rPr>
        <w:t>”</w:t>
      </w:r>
      <w:r>
        <w:rPr>
          <w:rFonts w:ascii="Arial" w:hAnsi="Arial" w:cs="Arial"/>
          <w:sz w:val="24"/>
          <w:szCs w:val="24"/>
        </w:rPr>
        <w:t>;</w:t>
      </w:r>
    </w:p>
    <w:p w:rsidR="00E22A63" w:rsidRDefault="00E22A63" w:rsidP="00DF4C23">
      <w:pPr>
        <w:spacing w:after="0" w:line="360" w:lineRule="auto"/>
        <w:ind w:firstLine="709"/>
        <w:jc w:val="both"/>
        <w:rPr>
          <w:rFonts w:ascii="Arial" w:hAnsi="Arial" w:cs="Arial"/>
          <w:sz w:val="24"/>
          <w:szCs w:val="24"/>
        </w:rPr>
      </w:pPr>
      <w:r w:rsidRPr="00E22A63">
        <w:rPr>
          <w:rFonts w:ascii="Arial" w:hAnsi="Arial" w:cs="Arial"/>
          <w:b/>
          <w:sz w:val="24"/>
          <w:szCs w:val="24"/>
        </w:rPr>
        <w:t xml:space="preserve">RESULTANDO: </w:t>
      </w:r>
      <w:r>
        <w:rPr>
          <w:rFonts w:ascii="Arial" w:hAnsi="Arial" w:cs="Arial"/>
          <w:sz w:val="24"/>
          <w:szCs w:val="24"/>
        </w:rPr>
        <w:t xml:space="preserve"> </w:t>
      </w:r>
      <w:r>
        <w:rPr>
          <w:rFonts w:ascii="Arial" w:hAnsi="Arial" w:cs="Arial"/>
          <w:b/>
          <w:sz w:val="24"/>
          <w:szCs w:val="24"/>
        </w:rPr>
        <w:t xml:space="preserve">1) </w:t>
      </w:r>
      <w:r w:rsidR="00662D0D">
        <w:rPr>
          <w:rFonts w:ascii="Arial" w:hAnsi="Arial" w:cs="Arial"/>
          <w:sz w:val="24"/>
          <w:szCs w:val="24"/>
        </w:rPr>
        <w:t>que en el marco del</w:t>
      </w:r>
      <w:r w:rsidR="00882598">
        <w:rPr>
          <w:rFonts w:ascii="Arial" w:hAnsi="Arial" w:cs="Arial"/>
          <w:sz w:val="24"/>
          <w:szCs w:val="24"/>
        </w:rPr>
        <w:t xml:space="preserve"> llamado</w:t>
      </w:r>
      <w:r w:rsidR="00662D0D">
        <w:rPr>
          <w:rFonts w:ascii="Arial" w:hAnsi="Arial" w:cs="Arial"/>
          <w:sz w:val="24"/>
          <w:szCs w:val="24"/>
        </w:rPr>
        <w:t>, por Resolución de 25 de junio de 2018 la Administración adjudicó a IMPERPLAST S.R.L el objeto  de la licitación por la suma de 5.572.741,44</w:t>
      </w:r>
      <w:r w:rsidR="008238F0">
        <w:rPr>
          <w:rFonts w:ascii="Arial" w:hAnsi="Arial" w:cs="Arial"/>
          <w:sz w:val="24"/>
          <w:szCs w:val="24"/>
        </w:rPr>
        <w:t>, siendo notific</w:t>
      </w:r>
      <w:r w:rsidR="00294A46">
        <w:rPr>
          <w:rFonts w:ascii="Arial" w:hAnsi="Arial" w:cs="Arial"/>
          <w:sz w:val="24"/>
          <w:szCs w:val="24"/>
        </w:rPr>
        <w:t>ada dicha Resolución a todos los oferentes con fecha 12 de julio de 2018</w:t>
      </w:r>
      <w:r w:rsidR="00662D0D">
        <w:rPr>
          <w:rFonts w:ascii="Arial" w:hAnsi="Arial" w:cs="Arial"/>
          <w:sz w:val="24"/>
          <w:szCs w:val="24"/>
        </w:rPr>
        <w:t>;</w:t>
      </w:r>
    </w:p>
    <w:p w:rsidR="00662D0D" w:rsidRDefault="00662D0D" w:rsidP="00DF4C23">
      <w:pPr>
        <w:spacing w:after="0" w:line="360" w:lineRule="auto"/>
        <w:ind w:firstLine="2693"/>
        <w:jc w:val="both"/>
        <w:rPr>
          <w:rFonts w:ascii="Arial" w:hAnsi="Arial" w:cs="Arial"/>
          <w:sz w:val="24"/>
          <w:szCs w:val="24"/>
        </w:rPr>
      </w:pPr>
      <w:r w:rsidRPr="00662D0D">
        <w:rPr>
          <w:rFonts w:ascii="Arial" w:hAnsi="Arial" w:cs="Arial"/>
          <w:b/>
          <w:sz w:val="24"/>
          <w:szCs w:val="24"/>
        </w:rPr>
        <w:t xml:space="preserve">2) </w:t>
      </w:r>
      <w:r>
        <w:rPr>
          <w:rFonts w:ascii="Arial" w:hAnsi="Arial" w:cs="Arial"/>
          <w:sz w:val="24"/>
          <w:szCs w:val="24"/>
        </w:rPr>
        <w:t xml:space="preserve">que el gasto fue intervenido por la Contadora Auditora </w:t>
      </w:r>
      <w:r w:rsidR="00DF4C23">
        <w:rPr>
          <w:rFonts w:ascii="Arial" w:hAnsi="Arial" w:cs="Arial"/>
          <w:sz w:val="24"/>
          <w:szCs w:val="24"/>
        </w:rPr>
        <w:t>d</w:t>
      </w:r>
      <w:r>
        <w:rPr>
          <w:rFonts w:ascii="Arial" w:hAnsi="Arial" w:cs="Arial"/>
          <w:sz w:val="24"/>
          <w:szCs w:val="24"/>
        </w:rPr>
        <w:t>estacada con fecha 9 de julio de 2018;</w:t>
      </w:r>
    </w:p>
    <w:p w:rsidR="00880597" w:rsidRDefault="00662D0D" w:rsidP="00DF4C23">
      <w:pPr>
        <w:spacing w:after="0" w:line="360" w:lineRule="auto"/>
        <w:ind w:firstLine="2693"/>
        <w:jc w:val="both"/>
        <w:rPr>
          <w:rFonts w:ascii="Arial" w:hAnsi="Arial" w:cs="Arial"/>
          <w:sz w:val="24"/>
          <w:szCs w:val="24"/>
        </w:rPr>
      </w:pPr>
      <w:r>
        <w:rPr>
          <w:rFonts w:ascii="Arial" w:hAnsi="Arial" w:cs="Arial"/>
          <w:b/>
          <w:sz w:val="24"/>
          <w:szCs w:val="24"/>
        </w:rPr>
        <w:t xml:space="preserve">3) </w:t>
      </w:r>
      <w:r w:rsidR="00880597">
        <w:rPr>
          <w:rFonts w:ascii="Arial" w:hAnsi="Arial" w:cs="Arial"/>
          <w:sz w:val="24"/>
          <w:szCs w:val="24"/>
        </w:rPr>
        <w:t>que con fecha 13 de julio de 2018, se presenta la firma PROGRAMA S.R.L, manifestando que existen errores en la planilla de ponderaciones, en cuanto a la puntuación de antecedentes y cálculo realizado para la aplicación del margen de preferencia;</w:t>
      </w:r>
    </w:p>
    <w:p w:rsidR="00662D0D" w:rsidRDefault="00880597" w:rsidP="003D40A0">
      <w:pPr>
        <w:spacing w:line="360" w:lineRule="auto"/>
        <w:jc w:val="both"/>
        <w:rPr>
          <w:rFonts w:ascii="Arial" w:hAnsi="Arial" w:cs="Arial"/>
          <w:sz w:val="24"/>
          <w:szCs w:val="24"/>
        </w:rPr>
      </w:pPr>
      <w:r>
        <w:rPr>
          <w:rFonts w:ascii="Arial" w:hAnsi="Arial" w:cs="Arial"/>
          <w:sz w:val="24"/>
          <w:szCs w:val="24"/>
        </w:rPr>
        <w:t xml:space="preserve">                            </w:t>
      </w:r>
      <w:r w:rsidR="00826572">
        <w:rPr>
          <w:rFonts w:ascii="Arial" w:hAnsi="Arial" w:cs="Arial"/>
          <w:sz w:val="24"/>
          <w:szCs w:val="24"/>
        </w:rPr>
        <w:t xml:space="preserve">  </w:t>
      </w:r>
      <w:r w:rsidR="00DF4C23">
        <w:rPr>
          <w:rFonts w:ascii="Arial" w:hAnsi="Arial" w:cs="Arial"/>
          <w:sz w:val="24"/>
          <w:szCs w:val="24"/>
        </w:rPr>
        <w:t xml:space="preserve">        </w:t>
      </w:r>
      <w:r>
        <w:rPr>
          <w:rFonts w:ascii="Arial" w:hAnsi="Arial" w:cs="Arial"/>
          <w:b/>
          <w:sz w:val="24"/>
          <w:szCs w:val="24"/>
        </w:rPr>
        <w:t xml:space="preserve">4) </w:t>
      </w:r>
      <w:r>
        <w:rPr>
          <w:rFonts w:ascii="Arial" w:hAnsi="Arial" w:cs="Arial"/>
          <w:sz w:val="24"/>
          <w:szCs w:val="24"/>
        </w:rPr>
        <w:t xml:space="preserve"> </w:t>
      </w:r>
      <w:r w:rsidR="00826572">
        <w:rPr>
          <w:rFonts w:ascii="Arial" w:hAnsi="Arial" w:cs="Arial"/>
          <w:sz w:val="24"/>
          <w:szCs w:val="24"/>
        </w:rPr>
        <w:t>que con fecha 23 de julio de 2018, la Comisión Asesora se pronuncia manifestando que</w:t>
      </w:r>
      <w:r w:rsidR="00882598">
        <w:rPr>
          <w:rFonts w:ascii="Arial" w:hAnsi="Arial" w:cs="Arial"/>
          <w:sz w:val="24"/>
          <w:szCs w:val="24"/>
        </w:rPr>
        <w:t>,</w:t>
      </w:r>
      <w:r w:rsidR="00826572">
        <w:rPr>
          <w:rFonts w:ascii="Arial" w:hAnsi="Arial" w:cs="Arial"/>
          <w:sz w:val="24"/>
          <w:szCs w:val="24"/>
        </w:rPr>
        <w:t xml:space="preserve"> en cuanto a la ponderación de antecedentes, no comparte lo manifestado por PROGRAMA S.R.L, pero</w:t>
      </w:r>
      <w:r w:rsidR="00882598">
        <w:rPr>
          <w:rFonts w:ascii="Arial" w:hAnsi="Arial" w:cs="Arial"/>
          <w:sz w:val="24"/>
          <w:szCs w:val="24"/>
        </w:rPr>
        <w:t xml:space="preserve"> señala que</w:t>
      </w:r>
      <w:r w:rsidR="00826572">
        <w:rPr>
          <w:rFonts w:ascii="Arial" w:hAnsi="Arial" w:cs="Arial"/>
          <w:sz w:val="24"/>
          <w:szCs w:val="24"/>
        </w:rPr>
        <w:t xml:space="preserve"> sí le asiste razón</w:t>
      </w:r>
      <w:r w:rsidR="00882598">
        <w:rPr>
          <w:rFonts w:ascii="Arial" w:hAnsi="Arial" w:cs="Arial"/>
          <w:sz w:val="24"/>
          <w:szCs w:val="24"/>
        </w:rPr>
        <w:t xml:space="preserve"> a la </w:t>
      </w:r>
      <w:proofErr w:type="spellStart"/>
      <w:r w:rsidR="00882598">
        <w:rPr>
          <w:rFonts w:ascii="Arial" w:hAnsi="Arial" w:cs="Arial"/>
          <w:sz w:val="24"/>
          <w:szCs w:val="24"/>
        </w:rPr>
        <w:t>peticionante</w:t>
      </w:r>
      <w:proofErr w:type="spellEnd"/>
      <w:r w:rsidR="00826572">
        <w:rPr>
          <w:rFonts w:ascii="Arial" w:hAnsi="Arial" w:cs="Arial"/>
          <w:sz w:val="24"/>
          <w:szCs w:val="24"/>
        </w:rPr>
        <w:t xml:space="preserve"> en cuando a la ponderación de los porcentajes MYPIME, por lo que considera que debería dejarse sin efectos la adjudicación dispuesta el 25 de junio de 2018, dado que la empresa COTEXA S.R.L, resultaría ser la mejor ponderada;</w:t>
      </w:r>
    </w:p>
    <w:p w:rsidR="00826572" w:rsidRDefault="00826572" w:rsidP="00DF4C23">
      <w:pPr>
        <w:spacing w:after="0" w:line="360" w:lineRule="auto"/>
        <w:jc w:val="both"/>
        <w:rPr>
          <w:rFonts w:ascii="Arial" w:hAnsi="Arial" w:cs="Arial"/>
          <w:sz w:val="24"/>
          <w:szCs w:val="24"/>
        </w:rPr>
      </w:pPr>
      <w:r>
        <w:rPr>
          <w:rFonts w:ascii="Arial" w:hAnsi="Arial" w:cs="Arial"/>
          <w:sz w:val="24"/>
          <w:szCs w:val="24"/>
        </w:rPr>
        <w:lastRenderedPageBreak/>
        <w:t xml:space="preserve">                             </w:t>
      </w:r>
      <w:r w:rsidR="00DF4C23">
        <w:rPr>
          <w:rFonts w:ascii="Arial" w:hAnsi="Arial" w:cs="Arial"/>
          <w:sz w:val="24"/>
          <w:szCs w:val="24"/>
        </w:rPr>
        <w:t xml:space="preserve">           </w:t>
      </w:r>
      <w:r>
        <w:rPr>
          <w:rFonts w:ascii="Arial" w:hAnsi="Arial" w:cs="Arial"/>
          <w:b/>
          <w:sz w:val="24"/>
          <w:szCs w:val="24"/>
        </w:rPr>
        <w:t xml:space="preserve">5) </w:t>
      </w:r>
      <w:r>
        <w:rPr>
          <w:rFonts w:ascii="Arial" w:hAnsi="Arial" w:cs="Arial"/>
          <w:sz w:val="24"/>
          <w:szCs w:val="24"/>
        </w:rPr>
        <w:t>que con fecha 23 de julio de 2018, se confiere vista del expediente a todos los oferentes;</w:t>
      </w:r>
    </w:p>
    <w:p w:rsidR="00826572" w:rsidRDefault="00826572" w:rsidP="00DF4C23">
      <w:pPr>
        <w:spacing w:after="0" w:line="360" w:lineRule="auto"/>
        <w:jc w:val="both"/>
        <w:rPr>
          <w:rFonts w:ascii="Arial" w:hAnsi="Arial" w:cs="Arial"/>
          <w:sz w:val="24"/>
          <w:szCs w:val="24"/>
        </w:rPr>
      </w:pPr>
      <w:r>
        <w:rPr>
          <w:rFonts w:ascii="Arial" w:hAnsi="Arial" w:cs="Arial"/>
          <w:sz w:val="24"/>
          <w:szCs w:val="24"/>
        </w:rPr>
        <w:t xml:space="preserve">                          </w:t>
      </w:r>
      <w:r w:rsidR="00CD15D7">
        <w:rPr>
          <w:rFonts w:ascii="Arial" w:hAnsi="Arial" w:cs="Arial"/>
          <w:sz w:val="24"/>
          <w:szCs w:val="24"/>
        </w:rPr>
        <w:t xml:space="preserve">  </w:t>
      </w:r>
      <w:r w:rsidR="00DF4C23">
        <w:rPr>
          <w:rFonts w:ascii="Arial" w:hAnsi="Arial" w:cs="Arial"/>
          <w:sz w:val="24"/>
          <w:szCs w:val="24"/>
        </w:rPr>
        <w:t xml:space="preserve">            </w:t>
      </w:r>
      <w:r>
        <w:rPr>
          <w:rFonts w:ascii="Arial" w:hAnsi="Arial" w:cs="Arial"/>
          <w:b/>
          <w:sz w:val="24"/>
          <w:szCs w:val="24"/>
        </w:rPr>
        <w:t xml:space="preserve">6)  </w:t>
      </w:r>
      <w:r>
        <w:rPr>
          <w:rFonts w:ascii="Arial" w:hAnsi="Arial" w:cs="Arial"/>
          <w:sz w:val="24"/>
          <w:szCs w:val="24"/>
        </w:rPr>
        <w:t>que el 7 de agosto de 2018</w:t>
      </w:r>
      <w:r w:rsidR="00791E79">
        <w:rPr>
          <w:rFonts w:ascii="Arial" w:hAnsi="Arial" w:cs="Arial"/>
          <w:sz w:val="24"/>
          <w:szCs w:val="24"/>
        </w:rPr>
        <w:t>, se presenta la firma IMPERPLAST S.R.L, manifes</w:t>
      </w:r>
      <w:r w:rsidR="00CD15D7">
        <w:rPr>
          <w:rFonts w:ascii="Arial" w:hAnsi="Arial" w:cs="Arial"/>
          <w:sz w:val="24"/>
          <w:szCs w:val="24"/>
        </w:rPr>
        <w:t>tando que al ser notificado el acto de adjudicación, el contrato se perfeccionó, generando un derecho subjetivo a favor de IMPERPLAST S.R.L, como situación excluyente para contratar con la Administración</w:t>
      </w:r>
      <w:r w:rsidR="00A87B08">
        <w:rPr>
          <w:rFonts w:ascii="Arial" w:hAnsi="Arial" w:cs="Arial"/>
          <w:sz w:val="24"/>
          <w:szCs w:val="24"/>
        </w:rPr>
        <w:t>. Solicita que se rechace lo sugerido por la Comisión Asesora</w:t>
      </w:r>
      <w:r w:rsidR="00CD15D7">
        <w:rPr>
          <w:rFonts w:ascii="Arial" w:hAnsi="Arial" w:cs="Arial"/>
          <w:sz w:val="24"/>
          <w:szCs w:val="24"/>
        </w:rPr>
        <w:t>;</w:t>
      </w:r>
    </w:p>
    <w:p w:rsidR="00CD15D7" w:rsidRDefault="00CD15D7" w:rsidP="00DF4C23">
      <w:pPr>
        <w:spacing w:after="0" w:line="360" w:lineRule="auto"/>
        <w:jc w:val="both"/>
        <w:rPr>
          <w:rFonts w:ascii="Arial" w:hAnsi="Arial" w:cs="Arial"/>
          <w:sz w:val="24"/>
          <w:szCs w:val="24"/>
        </w:rPr>
      </w:pPr>
      <w:r>
        <w:rPr>
          <w:rFonts w:ascii="Arial" w:hAnsi="Arial" w:cs="Arial"/>
          <w:sz w:val="24"/>
          <w:szCs w:val="24"/>
        </w:rPr>
        <w:t xml:space="preserve">                        </w:t>
      </w:r>
      <w:r w:rsidR="00DF4C23">
        <w:rPr>
          <w:rFonts w:ascii="Arial" w:hAnsi="Arial" w:cs="Arial"/>
          <w:sz w:val="24"/>
          <w:szCs w:val="24"/>
        </w:rPr>
        <w:t xml:space="preserve">               </w:t>
      </w:r>
      <w:r>
        <w:rPr>
          <w:rFonts w:ascii="Arial" w:hAnsi="Arial" w:cs="Arial"/>
          <w:b/>
          <w:sz w:val="24"/>
          <w:szCs w:val="24"/>
        </w:rPr>
        <w:t xml:space="preserve">7) </w:t>
      </w:r>
      <w:r w:rsidR="001B45E7">
        <w:rPr>
          <w:rFonts w:ascii="Arial" w:hAnsi="Arial" w:cs="Arial"/>
          <w:sz w:val="24"/>
          <w:szCs w:val="24"/>
        </w:rPr>
        <w:t xml:space="preserve">que con fecha </w:t>
      </w:r>
      <w:r w:rsidR="00BB638D">
        <w:rPr>
          <w:rFonts w:ascii="Arial" w:hAnsi="Arial" w:cs="Arial"/>
          <w:sz w:val="24"/>
          <w:szCs w:val="24"/>
        </w:rPr>
        <w:t xml:space="preserve">9 de agosto de 2018, la Comisión Asesora </w:t>
      </w:r>
      <w:r w:rsidR="009923B6">
        <w:rPr>
          <w:rFonts w:ascii="Arial" w:hAnsi="Arial" w:cs="Arial"/>
          <w:sz w:val="24"/>
          <w:szCs w:val="24"/>
        </w:rPr>
        <w:t>señala que la petición administrativa presentada de conformidad con los artículos 30 y 318 de la Constitución, determina que la Administración deba expresarse sobre la misma, de conformidad a la normativa aplicable en la materia. Asimismo, indica que la Administración, dentro de sus potestades y atribuciones, advertida del error, debe corregir el acto</w:t>
      </w:r>
      <w:r w:rsidR="006A28B9">
        <w:rPr>
          <w:rFonts w:ascii="Arial" w:hAnsi="Arial" w:cs="Arial"/>
          <w:sz w:val="24"/>
          <w:szCs w:val="24"/>
        </w:rPr>
        <w:t xml:space="preserve"> y proceder al dictado del correcto, por un principio de buena administración y de justicia con los oferentes, garantizando la libre concurrencia e igualdad</w:t>
      </w:r>
      <w:r w:rsidR="009923B6">
        <w:rPr>
          <w:rFonts w:ascii="Arial" w:hAnsi="Arial" w:cs="Arial"/>
          <w:sz w:val="24"/>
          <w:szCs w:val="24"/>
        </w:rPr>
        <w:t>;</w:t>
      </w:r>
    </w:p>
    <w:p w:rsidR="005E4B54" w:rsidRDefault="00F61AA4" w:rsidP="00DF4C23">
      <w:pPr>
        <w:spacing w:after="0" w:line="360" w:lineRule="auto"/>
        <w:jc w:val="both"/>
        <w:rPr>
          <w:rFonts w:ascii="Arial" w:hAnsi="Arial" w:cs="Arial"/>
          <w:sz w:val="24"/>
          <w:szCs w:val="24"/>
        </w:rPr>
      </w:pPr>
      <w:r>
        <w:rPr>
          <w:rFonts w:ascii="Arial" w:hAnsi="Arial" w:cs="Arial"/>
          <w:sz w:val="24"/>
          <w:szCs w:val="24"/>
        </w:rPr>
        <w:t xml:space="preserve">                   </w:t>
      </w:r>
      <w:r w:rsidR="00CE2C20">
        <w:rPr>
          <w:rFonts w:ascii="Arial" w:hAnsi="Arial" w:cs="Arial"/>
          <w:sz w:val="24"/>
          <w:szCs w:val="24"/>
        </w:rPr>
        <w:t xml:space="preserve">      </w:t>
      </w:r>
      <w:r w:rsidR="00DF4C23">
        <w:rPr>
          <w:rFonts w:ascii="Arial" w:hAnsi="Arial" w:cs="Arial"/>
          <w:sz w:val="24"/>
          <w:szCs w:val="24"/>
        </w:rPr>
        <w:t xml:space="preserve">               </w:t>
      </w:r>
      <w:r w:rsidRPr="00F61AA4">
        <w:rPr>
          <w:rFonts w:ascii="Arial" w:hAnsi="Arial" w:cs="Arial"/>
          <w:b/>
          <w:sz w:val="24"/>
          <w:szCs w:val="24"/>
        </w:rPr>
        <w:t xml:space="preserve">8) </w:t>
      </w:r>
      <w:r>
        <w:rPr>
          <w:rFonts w:ascii="Arial" w:hAnsi="Arial" w:cs="Arial"/>
          <w:sz w:val="24"/>
          <w:szCs w:val="24"/>
        </w:rPr>
        <w:t>que</w:t>
      </w:r>
      <w:r w:rsidR="005E4B54">
        <w:rPr>
          <w:rFonts w:ascii="Arial" w:hAnsi="Arial" w:cs="Arial"/>
          <w:sz w:val="24"/>
          <w:szCs w:val="24"/>
        </w:rPr>
        <w:t xml:space="preserve"> con fecha 14 de agosto de 2018 el Director General de Secretaría del Ministerio del Interior dispone dejar sin efecto la resolución de fecha 25/6/18 y adjudicar –ad referéndum de la intervención del Tribunal- a la firma </w:t>
      </w:r>
      <w:proofErr w:type="spellStart"/>
      <w:r w:rsidR="005E4B54">
        <w:rPr>
          <w:rFonts w:ascii="Arial" w:hAnsi="Arial" w:cs="Arial"/>
          <w:sz w:val="24"/>
          <w:szCs w:val="24"/>
        </w:rPr>
        <w:t>Cotexa</w:t>
      </w:r>
      <w:proofErr w:type="spellEnd"/>
      <w:r w:rsidR="005E4B54">
        <w:rPr>
          <w:rFonts w:ascii="Arial" w:hAnsi="Arial" w:cs="Arial"/>
          <w:sz w:val="24"/>
          <w:szCs w:val="24"/>
        </w:rPr>
        <w:t xml:space="preserve"> SRL el objeto del llamado, por un total de $ 4:974.269,47;</w:t>
      </w:r>
    </w:p>
    <w:p w:rsidR="00F61AA4" w:rsidRPr="00F61AA4" w:rsidRDefault="005E4B54" w:rsidP="003D40A0">
      <w:pPr>
        <w:spacing w:line="360" w:lineRule="auto"/>
        <w:jc w:val="both"/>
        <w:rPr>
          <w:rFonts w:ascii="Arial" w:hAnsi="Arial" w:cs="Arial"/>
          <w:sz w:val="24"/>
          <w:szCs w:val="24"/>
        </w:rPr>
      </w:pPr>
      <w:r>
        <w:rPr>
          <w:rFonts w:ascii="Arial" w:hAnsi="Arial" w:cs="Arial"/>
          <w:sz w:val="24"/>
          <w:szCs w:val="24"/>
        </w:rPr>
        <w:t xml:space="preserve">                         </w:t>
      </w:r>
      <w:r w:rsidR="00DF4C23">
        <w:rPr>
          <w:rFonts w:ascii="Arial" w:hAnsi="Arial" w:cs="Arial"/>
          <w:sz w:val="24"/>
          <w:szCs w:val="24"/>
        </w:rPr>
        <w:t xml:space="preserve">               </w:t>
      </w:r>
      <w:r>
        <w:rPr>
          <w:rFonts w:ascii="Arial" w:hAnsi="Arial" w:cs="Arial"/>
          <w:b/>
          <w:sz w:val="24"/>
          <w:szCs w:val="24"/>
        </w:rPr>
        <w:t>9)</w:t>
      </w:r>
      <w:r w:rsidR="00F61AA4">
        <w:rPr>
          <w:rFonts w:ascii="Arial" w:hAnsi="Arial" w:cs="Arial"/>
          <w:sz w:val="24"/>
          <w:szCs w:val="24"/>
        </w:rPr>
        <w:t xml:space="preserve"> </w:t>
      </w:r>
      <w:r>
        <w:rPr>
          <w:rFonts w:ascii="Arial" w:hAnsi="Arial" w:cs="Arial"/>
          <w:sz w:val="24"/>
          <w:szCs w:val="24"/>
        </w:rPr>
        <w:t xml:space="preserve">que </w:t>
      </w:r>
      <w:r w:rsidR="00F61AA4">
        <w:rPr>
          <w:rFonts w:ascii="Arial" w:hAnsi="Arial" w:cs="Arial"/>
          <w:sz w:val="24"/>
          <w:szCs w:val="24"/>
        </w:rPr>
        <w:t xml:space="preserve">la Auditoría Destacada del Tribunal de Cuentas en el Organismo, </w:t>
      </w:r>
      <w:r w:rsidR="00CE2C20">
        <w:rPr>
          <w:rFonts w:ascii="Arial" w:hAnsi="Arial" w:cs="Arial"/>
          <w:sz w:val="24"/>
          <w:szCs w:val="24"/>
        </w:rPr>
        <w:t>consulta respecto de si la Resolución de 25 de junio de 2018, desplegó efectos jurídicos ante las peticiones presentadas;</w:t>
      </w:r>
    </w:p>
    <w:p w:rsidR="009923B6" w:rsidRPr="00DF4C23" w:rsidRDefault="003D40A0" w:rsidP="00DF4C23">
      <w:pPr>
        <w:spacing w:after="0" w:line="360" w:lineRule="auto"/>
        <w:ind w:firstLine="709"/>
        <w:jc w:val="both"/>
        <w:rPr>
          <w:rFonts w:ascii="Arial" w:hAnsi="Arial" w:cs="Arial"/>
          <w:sz w:val="24"/>
          <w:szCs w:val="24"/>
        </w:rPr>
      </w:pPr>
      <w:r>
        <w:rPr>
          <w:rFonts w:ascii="Arial" w:hAnsi="Arial" w:cs="Arial"/>
          <w:b/>
          <w:sz w:val="24"/>
          <w:szCs w:val="24"/>
        </w:rPr>
        <w:t xml:space="preserve">CONSIDERANDO: </w:t>
      </w:r>
      <w:r w:rsidRPr="00DF4C23">
        <w:rPr>
          <w:rFonts w:ascii="Arial" w:hAnsi="Arial" w:cs="Arial"/>
          <w:b/>
          <w:sz w:val="24"/>
          <w:szCs w:val="24"/>
        </w:rPr>
        <w:t xml:space="preserve">1) </w:t>
      </w:r>
      <w:r w:rsidR="00463983" w:rsidRPr="00DF4C23">
        <w:rPr>
          <w:rFonts w:ascii="Arial" w:hAnsi="Arial" w:cs="Arial"/>
          <w:sz w:val="24"/>
          <w:szCs w:val="24"/>
        </w:rPr>
        <w:t>que el artículo 2 del Decreto 500/991 de 27/9/1991, al incluir determinados principios generales, señala que “la Administración Pública debe servir con objetividad los intereses generales con sometimiento pleno al Derecho y debe actuar de acuerdo con los siguientes principios generales: b) legalidad objetiva”.</w:t>
      </w:r>
    </w:p>
    <w:p w:rsidR="00463983" w:rsidRDefault="00463983" w:rsidP="00DF4C23">
      <w:pPr>
        <w:spacing w:after="0"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91050B">
        <w:rPr>
          <w:rFonts w:ascii="Arial" w:hAnsi="Arial" w:cs="Arial"/>
          <w:sz w:val="24"/>
          <w:szCs w:val="24"/>
        </w:rPr>
        <w:t xml:space="preserve"> </w:t>
      </w:r>
      <w:r w:rsidR="00DF4C23">
        <w:rPr>
          <w:rFonts w:ascii="Arial" w:hAnsi="Arial" w:cs="Arial"/>
          <w:sz w:val="24"/>
          <w:szCs w:val="24"/>
        </w:rPr>
        <w:t xml:space="preserve">            </w:t>
      </w:r>
      <w:r>
        <w:rPr>
          <w:rFonts w:ascii="Arial" w:hAnsi="Arial" w:cs="Arial"/>
          <w:b/>
          <w:sz w:val="24"/>
          <w:szCs w:val="24"/>
        </w:rPr>
        <w:t xml:space="preserve">2) </w:t>
      </w:r>
      <w:r w:rsidR="0091050B">
        <w:rPr>
          <w:rFonts w:ascii="Arial" w:hAnsi="Arial" w:cs="Arial"/>
          <w:sz w:val="24"/>
          <w:szCs w:val="24"/>
        </w:rPr>
        <w:t xml:space="preserve">que en el presente caso, </w:t>
      </w:r>
      <w:r w:rsidR="00B32B00">
        <w:rPr>
          <w:rFonts w:ascii="Arial" w:hAnsi="Arial" w:cs="Arial"/>
          <w:sz w:val="24"/>
          <w:szCs w:val="24"/>
        </w:rPr>
        <w:t xml:space="preserve">corresponde analizar la estabilidad del acto administrativo de </w:t>
      </w:r>
      <w:r w:rsidR="00B32B00" w:rsidRPr="00B32B00">
        <w:rPr>
          <w:rFonts w:ascii="Arial" w:hAnsi="Arial" w:cs="Arial"/>
          <w:sz w:val="24"/>
          <w:szCs w:val="24"/>
        </w:rPr>
        <w:t>25 de junio de 2018</w:t>
      </w:r>
      <w:r w:rsidR="00B32B00">
        <w:rPr>
          <w:rFonts w:ascii="Arial" w:hAnsi="Arial" w:cs="Arial"/>
          <w:sz w:val="24"/>
          <w:szCs w:val="24"/>
        </w:rPr>
        <w:t xml:space="preserve">, que dispuso la adjudicación a </w:t>
      </w:r>
      <w:r w:rsidR="00B32B00" w:rsidRPr="00B32B00">
        <w:rPr>
          <w:rFonts w:ascii="Arial" w:hAnsi="Arial" w:cs="Arial"/>
          <w:sz w:val="24"/>
          <w:szCs w:val="24"/>
        </w:rPr>
        <w:t>IMPERPLAST S.R.L</w:t>
      </w:r>
      <w:r w:rsidR="00CC33D4">
        <w:rPr>
          <w:rFonts w:ascii="Arial" w:hAnsi="Arial" w:cs="Arial"/>
          <w:sz w:val="24"/>
          <w:szCs w:val="24"/>
        </w:rPr>
        <w:t xml:space="preserve">. </w:t>
      </w:r>
    </w:p>
    <w:p w:rsidR="00CC33D4" w:rsidRDefault="00CC33D4" w:rsidP="00DF4C23">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F4C23">
        <w:rPr>
          <w:rFonts w:ascii="Arial" w:hAnsi="Arial" w:cs="Arial"/>
          <w:sz w:val="24"/>
          <w:szCs w:val="24"/>
        </w:rPr>
        <w:t xml:space="preserve">            </w:t>
      </w:r>
      <w:r>
        <w:rPr>
          <w:rFonts w:ascii="Arial" w:hAnsi="Arial" w:cs="Arial"/>
          <w:b/>
          <w:sz w:val="24"/>
          <w:szCs w:val="24"/>
        </w:rPr>
        <w:t xml:space="preserve">3) </w:t>
      </w:r>
      <w:r>
        <w:rPr>
          <w:rFonts w:ascii="Arial" w:hAnsi="Arial" w:cs="Arial"/>
          <w:sz w:val="24"/>
          <w:szCs w:val="24"/>
        </w:rPr>
        <w:t>que advertida la Administraci</w:t>
      </w:r>
      <w:r w:rsidR="00E0540B">
        <w:rPr>
          <w:rFonts w:ascii="Arial" w:hAnsi="Arial" w:cs="Arial"/>
          <w:sz w:val="24"/>
          <w:szCs w:val="24"/>
        </w:rPr>
        <w:t>ón de que dicho acto implica</w:t>
      </w:r>
      <w:r>
        <w:rPr>
          <w:rFonts w:ascii="Arial" w:hAnsi="Arial" w:cs="Arial"/>
          <w:sz w:val="24"/>
          <w:szCs w:val="24"/>
        </w:rPr>
        <w:t xml:space="preserve"> una ilegitimidad, tiene como regla –en aplicación del principio general de legalidad- el deber </w:t>
      </w:r>
      <w:r w:rsidR="00E0540B">
        <w:rPr>
          <w:rFonts w:ascii="Arial" w:hAnsi="Arial" w:cs="Arial"/>
          <w:sz w:val="24"/>
          <w:szCs w:val="24"/>
        </w:rPr>
        <w:t>de adecuar su conducta a derecho. En este caso, cumplir correctamente con los criterios de ponderación previstos en el pliego;</w:t>
      </w:r>
    </w:p>
    <w:p w:rsidR="00DA439A" w:rsidRDefault="00E0540B" w:rsidP="003D40A0">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F4C23">
        <w:rPr>
          <w:rFonts w:ascii="Arial" w:hAnsi="Arial" w:cs="Arial"/>
          <w:sz w:val="24"/>
          <w:szCs w:val="24"/>
        </w:rPr>
        <w:t xml:space="preserve">             </w:t>
      </w:r>
      <w:r>
        <w:rPr>
          <w:rFonts w:ascii="Arial" w:hAnsi="Arial" w:cs="Arial"/>
          <w:b/>
          <w:sz w:val="24"/>
          <w:szCs w:val="24"/>
        </w:rPr>
        <w:t xml:space="preserve">4) </w:t>
      </w:r>
      <w:r>
        <w:rPr>
          <w:rFonts w:ascii="Arial" w:hAnsi="Arial" w:cs="Arial"/>
          <w:sz w:val="24"/>
          <w:szCs w:val="24"/>
        </w:rPr>
        <w:t>que sin perjuicio de lo anterior</w:t>
      </w:r>
      <w:r w:rsidR="003A4363">
        <w:rPr>
          <w:rFonts w:ascii="Arial" w:hAnsi="Arial" w:cs="Arial"/>
          <w:sz w:val="24"/>
          <w:szCs w:val="24"/>
        </w:rPr>
        <w:t>, la estabilidad del acto administrativo también debe</w:t>
      </w:r>
      <w:r w:rsidR="00DA439A">
        <w:rPr>
          <w:rFonts w:ascii="Arial" w:hAnsi="Arial" w:cs="Arial"/>
          <w:sz w:val="24"/>
          <w:szCs w:val="24"/>
        </w:rPr>
        <w:t xml:space="preserve"> ser analizada según las reglas de derecho que incidan en la situación creada</w:t>
      </w:r>
      <w:r w:rsidR="00DA439A">
        <w:rPr>
          <w:rStyle w:val="Refdenotaalpie"/>
          <w:rFonts w:ascii="Arial" w:hAnsi="Arial" w:cs="Arial"/>
          <w:sz w:val="24"/>
          <w:szCs w:val="24"/>
        </w:rPr>
        <w:footnoteReference w:id="1"/>
      </w:r>
      <w:r w:rsidR="00DA439A">
        <w:rPr>
          <w:rFonts w:ascii="Arial" w:hAnsi="Arial" w:cs="Arial"/>
          <w:sz w:val="24"/>
          <w:szCs w:val="24"/>
        </w:rPr>
        <w:t xml:space="preserve">. </w:t>
      </w:r>
      <w:r w:rsidR="00DA439A">
        <w:rPr>
          <w:rFonts w:ascii="Arial" w:hAnsi="Arial" w:cs="Arial"/>
          <w:sz w:val="24"/>
          <w:szCs w:val="24"/>
        </w:rPr>
        <w:tab/>
        <w:t>Habiéndose perfeccionado el contrato</w:t>
      </w:r>
      <w:r w:rsidR="00CE2C20" w:rsidRPr="00CE2C20">
        <w:t xml:space="preserve"> </w:t>
      </w:r>
      <w:r w:rsidR="00CE2C20" w:rsidRPr="00CE2C20">
        <w:rPr>
          <w:rFonts w:ascii="Arial" w:hAnsi="Arial" w:cs="Arial"/>
          <w:sz w:val="24"/>
          <w:szCs w:val="24"/>
        </w:rPr>
        <w:t>con fecha 12 de julio de 2018</w:t>
      </w:r>
      <w:r w:rsidR="00DA439A">
        <w:rPr>
          <w:rFonts w:ascii="Arial" w:hAnsi="Arial" w:cs="Arial"/>
          <w:sz w:val="24"/>
          <w:szCs w:val="24"/>
        </w:rPr>
        <w:t xml:space="preserve"> al notificarse</w:t>
      </w:r>
      <w:r w:rsidR="00CE2C20">
        <w:rPr>
          <w:rFonts w:ascii="Arial" w:hAnsi="Arial" w:cs="Arial"/>
          <w:sz w:val="24"/>
          <w:szCs w:val="24"/>
        </w:rPr>
        <w:t xml:space="preserve"> la adjudicación </w:t>
      </w:r>
      <w:r w:rsidR="00DA439A">
        <w:rPr>
          <w:rFonts w:ascii="Arial" w:hAnsi="Arial" w:cs="Arial"/>
          <w:sz w:val="24"/>
          <w:szCs w:val="24"/>
        </w:rPr>
        <w:t xml:space="preserve"> al oferente, el principio de seguridad jurídica podría influir en la inmutabilidad del acto de adjudicación;</w:t>
      </w:r>
    </w:p>
    <w:p w:rsidR="00DA439A" w:rsidRDefault="00DA439A" w:rsidP="00DF4C23">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F4C23">
        <w:rPr>
          <w:rFonts w:ascii="Arial" w:hAnsi="Arial" w:cs="Arial"/>
          <w:sz w:val="24"/>
          <w:szCs w:val="24"/>
        </w:rPr>
        <w:t xml:space="preserve">            </w:t>
      </w:r>
      <w:r>
        <w:rPr>
          <w:rFonts w:ascii="Arial" w:hAnsi="Arial" w:cs="Arial"/>
          <w:b/>
          <w:sz w:val="24"/>
          <w:szCs w:val="24"/>
        </w:rPr>
        <w:t xml:space="preserve">5) </w:t>
      </w:r>
      <w:r w:rsidR="00F919A8">
        <w:rPr>
          <w:rFonts w:ascii="Arial" w:hAnsi="Arial" w:cs="Arial"/>
          <w:sz w:val="24"/>
          <w:szCs w:val="24"/>
        </w:rPr>
        <w:t xml:space="preserve">que en el caso, la Administración con fecha 23 de julio de 2018, informa </w:t>
      </w:r>
      <w:r w:rsidR="00F61AA4">
        <w:rPr>
          <w:rFonts w:ascii="Arial" w:hAnsi="Arial" w:cs="Arial"/>
          <w:sz w:val="24"/>
          <w:szCs w:val="24"/>
        </w:rPr>
        <w:t xml:space="preserve">y confiere vista a los oferentes, </w:t>
      </w:r>
      <w:r w:rsidR="00F919A8">
        <w:rPr>
          <w:rFonts w:ascii="Arial" w:hAnsi="Arial" w:cs="Arial"/>
          <w:sz w:val="24"/>
          <w:szCs w:val="24"/>
        </w:rPr>
        <w:t xml:space="preserve">respecto de la necesidad de revocar la adjudicación efectuada, con el fin de adecuar el procedimiento licitatorio a la regla de derecho aplicable al mismo. </w:t>
      </w:r>
      <w:r w:rsidR="00F61AA4">
        <w:rPr>
          <w:rFonts w:ascii="Arial" w:hAnsi="Arial" w:cs="Arial"/>
          <w:sz w:val="24"/>
          <w:szCs w:val="24"/>
        </w:rPr>
        <w:t>En este sentido, la Administración actuó con celeridad a los efectos de evitar vulnerar el citado principio de seguridad jurídica que incide en la protección de la situación jurídica subjetiva del adjudicatario</w:t>
      </w:r>
      <w:r w:rsidR="005E4B54">
        <w:rPr>
          <w:rFonts w:ascii="Arial" w:hAnsi="Arial" w:cs="Arial"/>
          <w:sz w:val="24"/>
          <w:szCs w:val="24"/>
        </w:rPr>
        <w:t xml:space="preserve"> inicial</w:t>
      </w:r>
      <w:r w:rsidR="00F61AA4">
        <w:rPr>
          <w:rFonts w:ascii="Arial" w:hAnsi="Arial" w:cs="Arial"/>
          <w:sz w:val="24"/>
          <w:szCs w:val="24"/>
        </w:rPr>
        <w:t>;</w:t>
      </w:r>
    </w:p>
    <w:p w:rsidR="00F61AA4" w:rsidRDefault="00F61AA4" w:rsidP="00DF4C23">
      <w:pPr>
        <w:spacing w:after="0" w:line="360" w:lineRule="auto"/>
        <w:jc w:val="both"/>
        <w:rPr>
          <w:rFonts w:ascii="Arial" w:hAnsi="Arial" w:cs="Arial"/>
          <w:sz w:val="24"/>
          <w:szCs w:val="24"/>
        </w:rPr>
      </w:pPr>
      <w:r>
        <w:rPr>
          <w:rFonts w:ascii="Arial" w:hAnsi="Arial" w:cs="Arial"/>
          <w:sz w:val="24"/>
          <w:szCs w:val="24"/>
        </w:rPr>
        <w:t xml:space="preserve">                                  </w:t>
      </w:r>
      <w:r w:rsidR="00DF4C23">
        <w:rPr>
          <w:rFonts w:ascii="Arial" w:hAnsi="Arial" w:cs="Arial"/>
          <w:sz w:val="24"/>
          <w:szCs w:val="24"/>
        </w:rPr>
        <w:t xml:space="preserve">      </w:t>
      </w:r>
      <w:r>
        <w:rPr>
          <w:rFonts w:ascii="Arial" w:hAnsi="Arial" w:cs="Arial"/>
          <w:b/>
          <w:sz w:val="24"/>
          <w:szCs w:val="24"/>
        </w:rPr>
        <w:t xml:space="preserve">6) </w:t>
      </w:r>
      <w:r>
        <w:rPr>
          <w:rFonts w:ascii="Arial" w:hAnsi="Arial" w:cs="Arial"/>
          <w:sz w:val="24"/>
          <w:szCs w:val="24"/>
        </w:rPr>
        <w:t>que teniendo presente lo anterior, se debe concluir que en el caso, no se contravino un derecho adquirido del oferente, en tanto la Administración, en forma inmediata a constatar el error cometido y previo al comienzo de las obras, informó y confirió vista respecto de la necesidad de revocación del acto administrativo ilegítimo;</w:t>
      </w:r>
    </w:p>
    <w:p w:rsidR="00F61AA4" w:rsidRDefault="00F61AA4" w:rsidP="00DF4C23">
      <w:pPr>
        <w:spacing w:after="0"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DF4C23">
        <w:rPr>
          <w:rFonts w:ascii="Arial" w:hAnsi="Arial" w:cs="Arial"/>
          <w:sz w:val="24"/>
          <w:szCs w:val="24"/>
        </w:rPr>
        <w:t xml:space="preserve">                 </w:t>
      </w:r>
      <w:r>
        <w:rPr>
          <w:rFonts w:ascii="Arial" w:hAnsi="Arial" w:cs="Arial"/>
          <w:b/>
          <w:sz w:val="24"/>
          <w:szCs w:val="24"/>
        </w:rPr>
        <w:t xml:space="preserve">7) </w:t>
      </w:r>
      <w:r>
        <w:rPr>
          <w:rFonts w:ascii="Arial" w:hAnsi="Arial" w:cs="Arial"/>
          <w:sz w:val="24"/>
          <w:szCs w:val="24"/>
        </w:rPr>
        <w:t>que en resumen, la Administración actuó en el marco del principio de legalidad, sin vulnerar el principio de seguridad jurídica reconocido en nuestro ordenamiento;</w:t>
      </w:r>
    </w:p>
    <w:p w:rsidR="00CE2C20" w:rsidRDefault="00CE2C20" w:rsidP="00DF4C23">
      <w:pPr>
        <w:spacing w:after="0" w:line="360" w:lineRule="auto"/>
        <w:ind w:firstLine="709"/>
        <w:jc w:val="both"/>
        <w:rPr>
          <w:rFonts w:ascii="Arial" w:hAnsi="Arial" w:cs="Arial"/>
          <w:sz w:val="24"/>
          <w:szCs w:val="24"/>
        </w:rPr>
      </w:pPr>
      <w:r>
        <w:rPr>
          <w:rFonts w:ascii="Arial" w:hAnsi="Arial" w:cs="Arial"/>
          <w:b/>
          <w:sz w:val="24"/>
          <w:szCs w:val="24"/>
        </w:rPr>
        <w:t xml:space="preserve">ATENTO: </w:t>
      </w:r>
      <w:r>
        <w:rPr>
          <w:rFonts w:ascii="Arial" w:hAnsi="Arial" w:cs="Arial"/>
          <w:sz w:val="24"/>
          <w:szCs w:val="24"/>
        </w:rPr>
        <w:t>a lo precedentemente expuesto;</w:t>
      </w:r>
    </w:p>
    <w:p w:rsidR="00CE2C20" w:rsidRDefault="00CE2C20" w:rsidP="00DF4C23">
      <w:pPr>
        <w:spacing w:after="0" w:line="360" w:lineRule="auto"/>
        <w:jc w:val="center"/>
        <w:rPr>
          <w:rFonts w:ascii="Arial" w:hAnsi="Arial" w:cs="Arial"/>
          <w:b/>
          <w:sz w:val="24"/>
          <w:szCs w:val="24"/>
        </w:rPr>
      </w:pPr>
      <w:r>
        <w:rPr>
          <w:rFonts w:ascii="Arial" w:hAnsi="Arial" w:cs="Arial"/>
          <w:b/>
          <w:sz w:val="24"/>
          <w:szCs w:val="24"/>
        </w:rPr>
        <w:t>EL TRIBUNAL ACUERDA</w:t>
      </w:r>
    </w:p>
    <w:p w:rsidR="00CE2C20" w:rsidRPr="00CE2C20" w:rsidRDefault="00CE2C20" w:rsidP="00DF4C23">
      <w:pPr>
        <w:pStyle w:val="Prrafodelista"/>
        <w:numPr>
          <w:ilvl w:val="0"/>
          <w:numId w:val="2"/>
        </w:numPr>
        <w:spacing w:after="0" w:line="360" w:lineRule="auto"/>
        <w:ind w:left="284" w:hanging="284"/>
        <w:jc w:val="both"/>
        <w:rPr>
          <w:rFonts w:ascii="Arial" w:hAnsi="Arial" w:cs="Arial"/>
          <w:b/>
          <w:sz w:val="24"/>
          <w:szCs w:val="24"/>
        </w:rPr>
      </w:pPr>
      <w:r>
        <w:rPr>
          <w:rFonts w:ascii="Arial" w:hAnsi="Arial" w:cs="Arial"/>
          <w:sz w:val="24"/>
          <w:szCs w:val="24"/>
        </w:rPr>
        <w:t>Expedirse en los términos de los Considerandos</w:t>
      </w:r>
      <w:r w:rsidR="005E4B54">
        <w:rPr>
          <w:rFonts w:ascii="Arial" w:hAnsi="Arial" w:cs="Arial"/>
          <w:sz w:val="24"/>
          <w:szCs w:val="24"/>
        </w:rPr>
        <w:t xml:space="preserve"> de la presente resolución</w:t>
      </w:r>
      <w:r>
        <w:rPr>
          <w:rFonts w:ascii="Arial" w:hAnsi="Arial" w:cs="Arial"/>
          <w:sz w:val="24"/>
          <w:szCs w:val="24"/>
        </w:rPr>
        <w:t>;</w:t>
      </w:r>
    </w:p>
    <w:p w:rsidR="00CE2C20" w:rsidRPr="00CE2C20" w:rsidRDefault="002E2486" w:rsidP="00DF4C23">
      <w:pPr>
        <w:pStyle w:val="Prrafodelista"/>
        <w:numPr>
          <w:ilvl w:val="0"/>
          <w:numId w:val="2"/>
        </w:numPr>
        <w:spacing w:after="0" w:line="360" w:lineRule="auto"/>
        <w:ind w:left="284" w:hanging="284"/>
        <w:jc w:val="both"/>
        <w:rPr>
          <w:rFonts w:ascii="Arial" w:hAnsi="Arial" w:cs="Arial"/>
          <w:b/>
          <w:sz w:val="24"/>
          <w:szCs w:val="24"/>
        </w:rPr>
      </w:pPr>
      <w:r>
        <w:rPr>
          <w:rFonts w:ascii="Arial" w:hAnsi="Arial" w:cs="Arial"/>
          <w:sz w:val="24"/>
          <w:szCs w:val="24"/>
        </w:rPr>
        <w:t>Revocar la intervención realizada por la Contadora Auditora con fecha 9 de julio de 2018</w:t>
      </w:r>
      <w:r w:rsidR="005E4B54">
        <w:rPr>
          <w:rFonts w:ascii="Arial" w:hAnsi="Arial" w:cs="Arial"/>
          <w:sz w:val="24"/>
          <w:szCs w:val="24"/>
        </w:rPr>
        <w:t>;</w:t>
      </w:r>
    </w:p>
    <w:p w:rsidR="00CE2C20" w:rsidRPr="005E4B54" w:rsidRDefault="00CE2C20" w:rsidP="00DF4C23">
      <w:pPr>
        <w:pStyle w:val="Prrafodelista"/>
        <w:numPr>
          <w:ilvl w:val="0"/>
          <w:numId w:val="2"/>
        </w:numPr>
        <w:spacing w:after="0" w:line="360" w:lineRule="auto"/>
        <w:ind w:left="284" w:hanging="284"/>
        <w:jc w:val="both"/>
        <w:rPr>
          <w:rFonts w:ascii="Arial" w:hAnsi="Arial" w:cs="Arial"/>
          <w:b/>
          <w:sz w:val="24"/>
          <w:szCs w:val="24"/>
        </w:rPr>
      </w:pPr>
      <w:r>
        <w:rPr>
          <w:rFonts w:ascii="Arial" w:hAnsi="Arial" w:cs="Arial"/>
          <w:sz w:val="24"/>
          <w:szCs w:val="24"/>
        </w:rPr>
        <w:t>Cometer al Auditor Destacado la intervención del gasto dispuesto por la Resolución de 14 de agosto de 2018</w:t>
      </w:r>
      <w:r w:rsidR="005E4B54">
        <w:rPr>
          <w:rFonts w:ascii="Arial" w:hAnsi="Arial" w:cs="Arial"/>
          <w:sz w:val="24"/>
          <w:szCs w:val="24"/>
        </w:rPr>
        <w:t xml:space="preserve"> (Resultando 8)</w:t>
      </w:r>
      <w:r w:rsidR="002E2486">
        <w:rPr>
          <w:rFonts w:ascii="Arial" w:hAnsi="Arial" w:cs="Arial"/>
          <w:sz w:val="24"/>
          <w:szCs w:val="24"/>
        </w:rPr>
        <w:t xml:space="preserve">, previo control de su imputación con cargo a </w:t>
      </w:r>
      <w:r w:rsidR="005E4B54">
        <w:rPr>
          <w:rFonts w:ascii="Arial" w:hAnsi="Arial" w:cs="Arial"/>
          <w:sz w:val="24"/>
          <w:szCs w:val="24"/>
        </w:rPr>
        <w:t>G</w:t>
      </w:r>
      <w:r w:rsidR="002E2486">
        <w:rPr>
          <w:rFonts w:ascii="Arial" w:hAnsi="Arial" w:cs="Arial"/>
          <w:sz w:val="24"/>
          <w:szCs w:val="24"/>
        </w:rPr>
        <w:t>rupo adecuado con disponibilidad suficiente;</w:t>
      </w:r>
      <w:r w:rsidR="00DF4C23">
        <w:rPr>
          <w:rFonts w:ascii="Arial" w:hAnsi="Arial" w:cs="Arial"/>
          <w:sz w:val="24"/>
          <w:szCs w:val="24"/>
        </w:rPr>
        <w:t xml:space="preserve"> y</w:t>
      </w:r>
    </w:p>
    <w:p w:rsidR="005E4B54" w:rsidRPr="00CE2C20" w:rsidRDefault="005E4B54" w:rsidP="00DF4C23">
      <w:pPr>
        <w:pStyle w:val="Prrafodelista"/>
        <w:numPr>
          <w:ilvl w:val="0"/>
          <w:numId w:val="2"/>
        </w:numPr>
        <w:spacing w:after="0" w:line="360" w:lineRule="auto"/>
        <w:ind w:left="284" w:hanging="284"/>
        <w:jc w:val="both"/>
        <w:rPr>
          <w:rFonts w:ascii="Arial" w:hAnsi="Arial" w:cs="Arial"/>
          <w:b/>
          <w:sz w:val="24"/>
          <w:szCs w:val="24"/>
        </w:rPr>
      </w:pPr>
      <w:r>
        <w:rPr>
          <w:rFonts w:ascii="Arial" w:hAnsi="Arial" w:cs="Arial"/>
          <w:sz w:val="24"/>
          <w:szCs w:val="24"/>
        </w:rPr>
        <w:t>Devolver las actuaciones.</w:t>
      </w:r>
    </w:p>
    <w:p w:rsidR="00BF6610" w:rsidRDefault="00694358" w:rsidP="00DF4C23">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DF4C23" w:rsidRDefault="00DF4C23" w:rsidP="00DF4C23">
      <w:pPr>
        <w:spacing w:after="0" w:line="360" w:lineRule="auto"/>
        <w:jc w:val="both"/>
        <w:rPr>
          <w:rFonts w:ascii="Arial" w:hAnsi="Arial" w:cs="Arial"/>
          <w:b/>
          <w:sz w:val="24"/>
          <w:szCs w:val="24"/>
        </w:rPr>
      </w:pPr>
    </w:p>
    <w:p w:rsidR="00DF4C23" w:rsidRDefault="00DF4C23" w:rsidP="00DF4C23">
      <w:pPr>
        <w:spacing w:after="0" w:line="360" w:lineRule="auto"/>
        <w:jc w:val="both"/>
        <w:rPr>
          <w:rFonts w:ascii="Arial" w:hAnsi="Arial" w:cs="Arial"/>
          <w:b/>
          <w:sz w:val="24"/>
          <w:szCs w:val="24"/>
        </w:rPr>
      </w:pPr>
    </w:p>
    <w:p w:rsidR="00DF4C23" w:rsidRDefault="00DF4C23" w:rsidP="00DF4C23">
      <w:pPr>
        <w:spacing w:after="0" w:line="360" w:lineRule="auto"/>
        <w:jc w:val="both"/>
        <w:rPr>
          <w:rFonts w:ascii="Arial" w:hAnsi="Arial" w:cs="Arial"/>
          <w:b/>
          <w:sz w:val="24"/>
          <w:szCs w:val="24"/>
        </w:rPr>
      </w:pPr>
    </w:p>
    <w:p w:rsidR="00DF4C23" w:rsidRDefault="00DF4C23" w:rsidP="00DF4C23">
      <w:pPr>
        <w:spacing w:after="0" w:line="360" w:lineRule="auto"/>
        <w:jc w:val="both"/>
        <w:rPr>
          <w:rFonts w:ascii="Arial" w:hAnsi="Arial" w:cs="Arial"/>
          <w:b/>
          <w:sz w:val="24"/>
          <w:szCs w:val="24"/>
        </w:rPr>
      </w:pPr>
    </w:p>
    <w:p w:rsidR="00DF4C23" w:rsidRPr="00DF4C23" w:rsidRDefault="00DF4C23" w:rsidP="00DF4C23">
      <w:pPr>
        <w:spacing w:after="0" w:line="360" w:lineRule="auto"/>
        <w:jc w:val="both"/>
        <w:rPr>
          <w:rFonts w:ascii="Arial" w:hAnsi="Arial" w:cs="Arial"/>
          <w:sz w:val="24"/>
          <w:szCs w:val="24"/>
        </w:rPr>
      </w:pPr>
      <w:proofErr w:type="spellStart"/>
      <w:proofErr w:type="gramStart"/>
      <w:r w:rsidRPr="00DF4C23">
        <w:rPr>
          <w:rFonts w:ascii="Arial" w:hAnsi="Arial" w:cs="Arial"/>
          <w:sz w:val="24"/>
          <w:szCs w:val="24"/>
        </w:rPr>
        <w:t>cr</w:t>
      </w:r>
      <w:proofErr w:type="spellEnd"/>
      <w:proofErr w:type="gramEnd"/>
    </w:p>
    <w:sectPr w:rsidR="00DF4C23" w:rsidRPr="00DF4C23" w:rsidSect="00DF4C23">
      <w:pgSz w:w="11906" w:h="16838" w:code="9"/>
      <w:pgMar w:top="3402" w:right="1701" w:bottom="1418" w:left="1701"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11" w:rsidRDefault="009B0311" w:rsidP="00D6024A">
      <w:pPr>
        <w:spacing w:after="0" w:line="240" w:lineRule="auto"/>
      </w:pPr>
      <w:r>
        <w:separator/>
      </w:r>
    </w:p>
  </w:endnote>
  <w:endnote w:type="continuationSeparator" w:id="0">
    <w:p w:rsidR="009B0311" w:rsidRDefault="009B0311" w:rsidP="00D6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11" w:rsidRDefault="009B0311" w:rsidP="00D6024A">
      <w:pPr>
        <w:spacing w:after="0" w:line="240" w:lineRule="auto"/>
      </w:pPr>
      <w:r>
        <w:separator/>
      </w:r>
    </w:p>
  </w:footnote>
  <w:footnote w:type="continuationSeparator" w:id="0">
    <w:p w:rsidR="009B0311" w:rsidRDefault="009B0311" w:rsidP="00D6024A">
      <w:pPr>
        <w:spacing w:after="0" w:line="240" w:lineRule="auto"/>
      </w:pPr>
      <w:r>
        <w:continuationSeparator/>
      </w:r>
    </w:p>
  </w:footnote>
  <w:footnote w:id="1">
    <w:p w:rsidR="00DA439A" w:rsidRPr="00DA439A" w:rsidRDefault="00DA439A">
      <w:pPr>
        <w:pStyle w:val="Textonotapie"/>
        <w:rPr>
          <w:lang w:val="es-UY"/>
        </w:rPr>
      </w:pPr>
      <w:r>
        <w:rPr>
          <w:rStyle w:val="Refdenotaalpie"/>
        </w:rPr>
        <w:footnoteRef/>
      </w:r>
      <w:r>
        <w:t xml:space="preserve"> </w:t>
      </w:r>
      <w:proofErr w:type="spellStart"/>
      <w:r>
        <w:rPr>
          <w:lang w:val="es-UY"/>
        </w:rPr>
        <w:t>Cajarville</w:t>
      </w:r>
      <w:proofErr w:type="spellEnd"/>
      <w:r>
        <w:rPr>
          <w:lang w:val="es-UY"/>
        </w:rPr>
        <w:t xml:space="preserve"> </w:t>
      </w:r>
      <w:proofErr w:type="spellStart"/>
      <w:r>
        <w:rPr>
          <w:lang w:val="es-UY"/>
        </w:rPr>
        <w:t>Peluffo</w:t>
      </w:r>
      <w:proofErr w:type="spellEnd"/>
      <w:r>
        <w:rPr>
          <w:lang w:val="es-UY"/>
        </w:rPr>
        <w:t>, Juan Pablo, “Cuestiones sobre la “revocación” o “reforma” de los actos administrativos”, en “Sobre Derecho Administrativo” Tomo II, pág. 129, FCU.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47DC"/>
    <w:multiLevelType w:val="hybridMultilevel"/>
    <w:tmpl w:val="202A431A"/>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7B7B638A"/>
    <w:multiLevelType w:val="hybridMultilevel"/>
    <w:tmpl w:val="113C90E6"/>
    <w:lvl w:ilvl="0" w:tplc="7A965518">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30"/>
    <w:rsid w:val="0001134F"/>
    <w:rsid w:val="000739BA"/>
    <w:rsid w:val="00187089"/>
    <w:rsid w:val="001B45E7"/>
    <w:rsid w:val="00210A40"/>
    <w:rsid w:val="00294A46"/>
    <w:rsid w:val="002A6C2D"/>
    <w:rsid w:val="002E2486"/>
    <w:rsid w:val="00376DBF"/>
    <w:rsid w:val="00381FEE"/>
    <w:rsid w:val="003A4363"/>
    <w:rsid w:val="003D40A0"/>
    <w:rsid w:val="00463983"/>
    <w:rsid w:val="00475288"/>
    <w:rsid w:val="005445CE"/>
    <w:rsid w:val="00581BC9"/>
    <w:rsid w:val="005D388B"/>
    <w:rsid w:val="005E4B54"/>
    <w:rsid w:val="0062517B"/>
    <w:rsid w:val="00626CBA"/>
    <w:rsid w:val="00662D0D"/>
    <w:rsid w:val="00694358"/>
    <w:rsid w:val="006A28B9"/>
    <w:rsid w:val="00791E79"/>
    <w:rsid w:val="007E5330"/>
    <w:rsid w:val="008238F0"/>
    <w:rsid w:val="00826572"/>
    <w:rsid w:val="00831447"/>
    <w:rsid w:val="00880597"/>
    <w:rsid w:val="00882598"/>
    <w:rsid w:val="00891E68"/>
    <w:rsid w:val="0091050B"/>
    <w:rsid w:val="00962A5D"/>
    <w:rsid w:val="009923B6"/>
    <w:rsid w:val="009B0311"/>
    <w:rsid w:val="00A01080"/>
    <w:rsid w:val="00A87B08"/>
    <w:rsid w:val="00B05AE6"/>
    <w:rsid w:val="00B32B00"/>
    <w:rsid w:val="00B76F00"/>
    <w:rsid w:val="00BB638D"/>
    <w:rsid w:val="00BF6610"/>
    <w:rsid w:val="00CC33D4"/>
    <w:rsid w:val="00CD15D7"/>
    <w:rsid w:val="00CE2C20"/>
    <w:rsid w:val="00D17EA9"/>
    <w:rsid w:val="00D2391A"/>
    <w:rsid w:val="00D57A0B"/>
    <w:rsid w:val="00D6024A"/>
    <w:rsid w:val="00DA439A"/>
    <w:rsid w:val="00DF4C23"/>
    <w:rsid w:val="00E0540B"/>
    <w:rsid w:val="00E22A63"/>
    <w:rsid w:val="00E9702C"/>
    <w:rsid w:val="00EF24A5"/>
    <w:rsid w:val="00F02D54"/>
    <w:rsid w:val="00F61AA4"/>
    <w:rsid w:val="00F91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2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024A"/>
  </w:style>
  <w:style w:type="paragraph" w:styleId="Piedepgina">
    <w:name w:val="footer"/>
    <w:basedOn w:val="Normal"/>
    <w:link w:val="PiedepginaCar"/>
    <w:uiPriority w:val="99"/>
    <w:unhideWhenUsed/>
    <w:rsid w:val="00D602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024A"/>
  </w:style>
  <w:style w:type="paragraph" w:styleId="Prrafodelista">
    <w:name w:val="List Paragraph"/>
    <w:basedOn w:val="Normal"/>
    <w:uiPriority w:val="34"/>
    <w:qFormat/>
    <w:rsid w:val="00F02D54"/>
    <w:pPr>
      <w:ind w:left="720"/>
      <w:contextualSpacing/>
    </w:pPr>
  </w:style>
  <w:style w:type="paragraph" w:styleId="Textonotapie">
    <w:name w:val="footnote text"/>
    <w:basedOn w:val="Normal"/>
    <w:link w:val="TextonotapieCar"/>
    <w:uiPriority w:val="99"/>
    <w:semiHidden/>
    <w:unhideWhenUsed/>
    <w:rsid w:val="00DA43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439A"/>
    <w:rPr>
      <w:sz w:val="20"/>
      <w:szCs w:val="20"/>
    </w:rPr>
  </w:style>
  <w:style w:type="character" w:styleId="Refdenotaalpie">
    <w:name w:val="footnote reference"/>
    <w:basedOn w:val="Fuentedeprrafopredeter"/>
    <w:uiPriority w:val="99"/>
    <w:semiHidden/>
    <w:unhideWhenUsed/>
    <w:rsid w:val="00DA439A"/>
    <w:rPr>
      <w:vertAlign w:val="superscript"/>
    </w:rPr>
  </w:style>
  <w:style w:type="character" w:styleId="Hipervnculo">
    <w:name w:val="Hyperlink"/>
    <w:basedOn w:val="Fuentedeprrafopredeter"/>
    <w:uiPriority w:val="99"/>
    <w:unhideWhenUsed/>
    <w:rsid w:val="00376DBF"/>
    <w:rPr>
      <w:color w:val="0000FF" w:themeColor="hyperlink"/>
      <w:u w:val="single"/>
    </w:rPr>
  </w:style>
  <w:style w:type="paragraph" w:styleId="Textodeglobo">
    <w:name w:val="Balloon Text"/>
    <w:basedOn w:val="Normal"/>
    <w:link w:val="TextodegloboCar"/>
    <w:uiPriority w:val="99"/>
    <w:semiHidden/>
    <w:unhideWhenUsed/>
    <w:rsid w:val="00DF4C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2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024A"/>
  </w:style>
  <w:style w:type="paragraph" w:styleId="Piedepgina">
    <w:name w:val="footer"/>
    <w:basedOn w:val="Normal"/>
    <w:link w:val="PiedepginaCar"/>
    <w:uiPriority w:val="99"/>
    <w:unhideWhenUsed/>
    <w:rsid w:val="00D602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024A"/>
  </w:style>
  <w:style w:type="paragraph" w:styleId="Prrafodelista">
    <w:name w:val="List Paragraph"/>
    <w:basedOn w:val="Normal"/>
    <w:uiPriority w:val="34"/>
    <w:qFormat/>
    <w:rsid w:val="00F02D54"/>
    <w:pPr>
      <w:ind w:left="720"/>
      <w:contextualSpacing/>
    </w:pPr>
  </w:style>
  <w:style w:type="paragraph" w:styleId="Textonotapie">
    <w:name w:val="footnote text"/>
    <w:basedOn w:val="Normal"/>
    <w:link w:val="TextonotapieCar"/>
    <w:uiPriority w:val="99"/>
    <w:semiHidden/>
    <w:unhideWhenUsed/>
    <w:rsid w:val="00DA43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439A"/>
    <w:rPr>
      <w:sz w:val="20"/>
      <w:szCs w:val="20"/>
    </w:rPr>
  </w:style>
  <w:style w:type="character" w:styleId="Refdenotaalpie">
    <w:name w:val="footnote reference"/>
    <w:basedOn w:val="Fuentedeprrafopredeter"/>
    <w:uiPriority w:val="99"/>
    <w:semiHidden/>
    <w:unhideWhenUsed/>
    <w:rsid w:val="00DA439A"/>
    <w:rPr>
      <w:vertAlign w:val="superscript"/>
    </w:rPr>
  </w:style>
  <w:style w:type="character" w:styleId="Hipervnculo">
    <w:name w:val="Hyperlink"/>
    <w:basedOn w:val="Fuentedeprrafopredeter"/>
    <w:uiPriority w:val="99"/>
    <w:unhideWhenUsed/>
    <w:rsid w:val="00376DBF"/>
    <w:rPr>
      <w:color w:val="0000FF" w:themeColor="hyperlink"/>
      <w:u w:val="single"/>
    </w:rPr>
  </w:style>
  <w:style w:type="paragraph" w:styleId="Textodeglobo">
    <w:name w:val="Balloon Text"/>
    <w:basedOn w:val="Normal"/>
    <w:link w:val="TextodegloboCar"/>
    <w:uiPriority w:val="99"/>
    <w:semiHidden/>
    <w:unhideWhenUsed/>
    <w:rsid w:val="00DF4C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19EE-B85F-4061-8B0F-B4B081A9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Tribunal1</dc:creator>
  <cp:lastModifiedBy>Miriam Cristina Rivero</cp:lastModifiedBy>
  <cp:revision>2</cp:revision>
  <cp:lastPrinted>2018-10-17T19:00:00Z</cp:lastPrinted>
  <dcterms:created xsi:type="dcterms:W3CDTF">2018-10-17T19:10:00Z</dcterms:created>
  <dcterms:modified xsi:type="dcterms:W3CDTF">2018-10-17T19:10:00Z</dcterms:modified>
</cp:coreProperties>
</file>