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54A" w:rsidRPr="00786EEB" w:rsidRDefault="0017354A" w:rsidP="00786EEB">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3193/18</w:t>
      </w:r>
    </w:p>
    <w:p w:rsidR="0017354A" w:rsidRDefault="0017354A" w:rsidP="00786EEB">
      <w:pPr>
        <w:tabs>
          <w:tab w:val="center" w:pos="4253"/>
        </w:tabs>
        <w:suppressAutoHyphens/>
        <w:jc w:val="right"/>
        <w:rPr>
          <w:rFonts w:ascii="Arial" w:hAnsi="Arial" w:cs="Arial"/>
          <w:b/>
          <w:lang w:val="es-ES_tradnl"/>
        </w:rPr>
      </w:pPr>
    </w:p>
    <w:p w:rsidR="0017354A" w:rsidRPr="00E0442B" w:rsidRDefault="0017354A" w:rsidP="0017354A">
      <w:pPr>
        <w:tabs>
          <w:tab w:val="center" w:pos="4253"/>
        </w:tabs>
        <w:suppressAutoHyphens/>
        <w:spacing w:after="0" w:line="240" w:lineRule="auto"/>
        <w:jc w:val="center"/>
        <w:rPr>
          <w:rFonts w:ascii="Arial" w:hAnsi="Arial" w:cs="Arial"/>
          <w:b/>
          <w:sz w:val="24"/>
          <w:szCs w:val="24"/>
          <w:lang w:val="es-ES_tradnl"/>
        </w:rPr>
      </w:pPr>
      <w:r w:rsidRPr="00E0442B">
        <w:rPr>
          <w:rFonts w:ascii="Arial" w:hAnsi="Arial" w:cs="Arial"/>
          <w:b/>
          <w:sz w:val="24"/>
          <w:szCs w:val="24"/>
          <w:lang w:val="es-ES_tradnl"/>
        </w:rPr>
        <w:t>RESOLUCION ADOPTADA POR EL</w:t>
      </w:r>
    </w:p>
    <w:p w:rsidR="0017354A" w:rsidRPr="00E0442B" w:rsidRDefault="0017354A" w:rsidP="0017354A">
      <w:pPr>
        <w:tabs>
          <w:tab w:val="left" w:pos="-720"/>
        </w:tabs>
        <w:suppressAutoHyphens/>
        <w:spacing w:after="0" w:line="240" w:lineRule="auto"/>
        <w:jc w:val="center"/>
        <w:rPr>
          <w:rFonts w:ascii="Arial" w:hAnsi="Arial" w:cs="Arial"/>
          <w:b/>
          <w:sz w:val="24"/>
          <w:szCs w:val="24"/>
          <w:lang w:val="es-ES_tradnl"/>
        </w:rPr>
      </w:pPr>
    </w:p>
    <w:p w:rsidR="0017354A" w:rsidRPr="00E0442B" w:rsidRDefault="0017354A" w:rsidP="0017354A">
      <w:pPr>
        <w:tabs>
          <w:tab w:val="center" w:pos="4253"/>
        </w:tabs>
        <w:suppressAutoHyphens/>
        <w:spacing w:after="0" w:line="240" w:lineRule="auto"/>
        <w:jc w:val="center"/>
        <w:rPr>
          <w:rFonts w:ascii="Arial" w:hAnsi="Arial" w:cs="Arial"/>
          <w:b/>
          <w:sz w:val="24"/>
          <w:szCs w:val="24"/>
          <w:lang w:val="es-ES_tradnl"/>
        </w:rPr>
      </w:pPr>
      <w:r w:rsidRPr="00E0442B">
        <w:rPr>
          <w:rFonts w:ascii="Arial" w:hAnsi="Arial" w:cs="Arial"/>
          <w:b/>
          <w:sz w:val="24"/>
          <w:szCs w:val="24"/>
          <w:lang w:val="es-ES_tradnl"/>
        </w:rPr>
        <w:t>TRIBUNAL DE CUENTAS</w:t>
      </w:r>
    </w:p>
    <w:p w:rsidR="0017354A" w:rsidRPr="00E0442B" w:rsidRDefault="0017354A" w:rsidP="0017354A">
      <w:pPr>
        <w:tabs>
          <w:tab w:val="left" w:pos="-720"/>
        </w:tabs>
        <w:suppressAutoHyphens/>
        <w:spacing w:after="0" w:line="240" w:lineRule="auto"/>
        <w:jc w:val="center"/>
        <w:rPr>
          <w:rFonts w:ascii="Arial" w:hAnsi="Arial" w:cs="Arial"/>
          <w:b/>
          <w:sz w:val="24"/>
          <w:szCs w:val="24"/>
          <w:lang w:val="es-ES_tradnl"/>
        </w:rPr>
      </w:pPr>
    </w:p>
    <w:p w:rsidR="0017354A" w:rsidRPr="00E0442B" w:rsidRDefault="0017354A" w:rsidP="0017354A">
      <w:pPr>
        <w:tabs>
          <w:tab w:val="center" w:pos="4253"/>
        </w:tabs>
        <w:suppressAutoHyphens/>
        <w:spacing w:after="0" w:line="240" w:lineRule="auto"/>
        <w:jc w:val="center"/>
        <w:rPr>
          <w:rFonts w:ascii="Arial" w:hAnsi="Arial" w:cs="Arial"/>
          <w:b/>
          <w:sz w:val="24"/>
          <w:szCs w:val="24"/>
          <w:lang w:val="es-ES_tradnl"/>
        </w:rPr>
      </w:pPr>
      <w:r w:rsidRPr="00E0442B">
        <w:rPr>
          <w:rFonts w:ascii="Arial" w:hAnsi="Arial" w:cs="Arial"/>
          <w:b/>
          <w:sz w:val="24"/>
          <w:szCs w:val="24"/>
          <w:lang w:val="es-ES_tradnl"/>
        </w:rPr>
        <w:t xml:space="preserve">EN SESION DE FECHA 10 DE OCTUBRE </w:t>
      </w:r>
      <w:r w:rsidRPr="00E0442B">
        <w:rPr>
          <w:rFonts w:ascii="Helvetica" w:hAnsi="Helvetica"/>
          <w:b/>
          <w:sz w:val="24"/>
          <w:szCs w:val="24"/>
          <w:lang w:val="es-ES_tradnl"/>
        </w:rPr>
        <w:t>DE 2018</w:t>
      </w:r>
    </w:p>
    <w:p w:rsidR="0017354A" w:rsidRPr="00E0442B" w:rsidRDefault="0017354A" w:rsidP="0017354A">
      <w:pPr>
        <w:tabs>
          <w:tab w:val="center" w:pos="4253"/>
        </w:tabs>
        <w:suppressAutoHyphens/>
        <w:spacing w:after="0" w:line="240" w:lineRule="auto"/>
        <w:jc w:val="center"/>
        <w:rPr>
          <w:rFonts w:ascii="Arial" w:hAnsi="Arial" w:cs="Arial"/>
          <w:b/>
          <w:sz w:val="24"/>
          <w:szCs w:val="24"/>
          <w:lang w:val="es-ES_tradnl"/>
        </w:rPr>
      </w:pPr>
    </w:p>
    <w:p w:rsidR="0017354A" w:rsidRPr="00E0442B" w:rsidRDefault="0017354A" w:rsidP="0017354A">
      <w:pPr>
        <w:tabs>
          <w:tab w:val="center" w:pos="4253"/>
        </w:tabs>
        <w:suppressAutoHyphens/>
        <w:spacing w:after="0" w:line="240" w:lineRule="auto"/>
        <w:jc w:val="center"/>
        <w:rPr>
          <w:rFonts w:ascii="Arial" w:hAnsi="Arial" w:cs="Arial"/>
          <w:b/>
          <w:sz w:val="24"/>
          <w:szCs w:val="24"/>
        </w:rPr>
      </w:pPr>
      <w:r w:rsidRPr="00E0442B">
        <w:rPr>
          <w:rFonts w:ascii="Arial" w:hAnsi="Arial" w:cs="Arial"/>
          <w:b/>
          <w:sz w:val="24"/>
          <w:szCs w:val="24"/>
        </w:rPr>
        <w:t xml:space="preserve">(E. E. Nº  2018-17-1-0004230, </w:t>
      </w:r>
      <w:proofErr w:type="spellStart"/>
      <w:r w:rsidRPr="00E0442B">
        <w:rPr>
          <w:rFonts w:ascii="Arial" w:hAnsi="Arial" w:cs="Arial"/>
          <w:b/>
          <w:sz w:val="24"/>
          <w:szCs w:val="24"/>
        </w:rPr>
        <w:t>Ent</w:t>
      </w:r>
      <w:proofErr w:type="spellEnd"/>
      <w:r w:rsidRPr="00E0442B">
        <w:rPr>
          <w:rFonts w:ascii="Arial" w:hAnsi="Arial" w:cs="Arial"/>
          <w:b/>
          <w:sz w:val="24"/>
          <w:szCs w:val="24"/>
        </w:rPr>
        <w:t>. N° 3237/18)</w:t>
      </w:r>
    </w:p>
    <w:p w:rsidR="0017354A" w:rsidRPr="0017354A" w:rsidRDefault="0017354A">
      <w:pPr>
        <w:tabs>
          <w:tab w:val="center" w:pos="4253"/>
        </w:tabs>
        <w:suppressAutoHyphens/>
        <w:jc w:val="center"/>
        <w:rPr>
          <w:rFonts w:ascii="Helvetica" w:hAnsi="Helvetica"/>
          <w:b/>
        </w:rPr>
      </w:pPr>
    </w:p>
    <w:p w:rsidR="004E017A" w:rsidRDefault="004E017A" w:rsidP="00E0442B">
      <w:pPr>
        <w:tabs>
          <w:tab w:val="center" w:pos="4253"/>
        </w:tabs>
        <w:spacing w:after="0" w:line="360" w:lineRule="auto"/>
        <w:ind w:firstLine="851"/>
        <w:jc w:val="both"/>
        <w:rPr>
          <w:rFonts w:ascii="Arial" w:hAnsi="Arial" w:cs="Arial"/>
          <w:sz w:val="24"/>
          <w:szCs w:val="24"/>
          <w:lang w:val="es-ES"/>
        </w:rPr>
      </w:pPr>
      <w:r w:rsidRPr="004E017A">
        <w:rPr>
          <w:rFonts w:ascii="Arial" w:hAnsi="Arial" w:cs="Arial"/>
          <w:b/>
          <w:sz w:val="24"/>
          <w:szCs w:val="24"/>
          <w:lang w:val="es-ES"/>
        </w:rPr>
        <w:t xml:space="preserve">VISTO: </w:t>
      </w:r>
      <w:r w:rsidRPr="004E017A">
        <w:rPr>
          <w:rFonts w:ascii="Arial" w:hAnsi="Arial" w:cs="Arial"/>
          <w:sz w:val="24"/>
          <w:szCs w:val="24"/>
          <w:lang w:val="es-ES"/>
        </w:rPr>
        <w:t xml:space="preserve">la Rendición de Cuentas y Balance de Ejecución Presupuestal de la Junta Departamental de </w:t>
      </w:r>
      <w:r w:rsidR="00662E8F">
        <w:rPr>
          <w:rFonts w:ascii="Arial" w:hAnsi="Arial" w:cs="Arial"/>
          <w:sz w:val="24"/>
          <w:szCs w:val="24"/>
          <w:lang w:val="es-ES"/>
        </w:rPr>
        <w:t>T</w:t>
      </w:r>
      <w:r w:rsidR="00213C08">
        <w:rPr>
          <w:rFonts w:ascii="Arial" w:hAnsi="Arial" w:cs="Arial"/>
          <w:sz w:val="24"/>
          <w:szCs w:val="24"/>
          <w:lang w:val="es-ES"/>
        </w:rPr>
        <w:t>a</w:t>
      </w:r>
      <w:r w:rsidR="00662E8F">
        <w:rPr>
          <w:rFonts w:ascii="Arial" w:hAnsi="Arial" w:cs="Arial"/>
          <w:sz w:val="24"/>
          <w:szCs w:val="24"/>
          <w:lang w:val="es-ES"/>
        </w:rPr>
        <w:t>cuarembó</w:t>
      </w:r>
      <w:r w:rsidRPr="004E017A">
        <w:rPr>
          <w:rFonts w:ascii="Arial" w:hAnsi="Arial" w:cs="Arial"/>
          <w:sz w:val="24"/>
          <w:szCs w:val="24"/>
          <w:lang w:val="es-ES"/>
        </w:rPr>
        <w:t xml:space="preserve"> correspondiente al </w:t>
      </w:r>
      <w:r w:rsidR="00414A4C">
        <w:rPr>
          <w:rFonts w:ascii="Arial" w:hAnsi="Arial" w:cs="Arial"/>
          <w:sz w:val="24"/>
          <w:szCs w:val="24"/>
          <w:lang w:val="es-ES"/>
        </w:rPr>
        <w:t>e</w:t>
      </w:r>
      <w:r w:rsidRPr="004E017A">
        <w:rPr>
          <w:rFonts w:ascii="Arial" w:hAnsi="Arial" w:cs="Arial"/>
          <w:sz w:val="24"/>
          <w:szCs w:val="24"/>
          <w:lang w:val="es-ES"/>
        </w:rPr>
        <w:t>jercicio 201</w:t>
      </w:r>
      <w:r w:rsidR="00080F21">
        <w:rPr>
          <w:rFonts w:ascii="Arial" w:hAnsi="Arial" w:cs="Arial"/>
          <w:sz w:val="24"/>
          <w:szCs w:val="24"/>
          <w:lang w:val="es-ES"/>
        </w:rPr>
        <w:t>7</w:t>
      </w:r>
      <w:r w:rsidRPr="004E017A">
        <w:rPr>
          <w:rFonts w:ascii="Arial" w:hAnsi="Arial" w:cs="Arial"/>
          <w:sz w:val="24"/>
          <w:szCs w:val="24"/>
          <w:lang w:val="es-ES"/>
        </w:rPr>
        <w:t>;</w:t>
      </w:r>
    </w:p>
    <w:p w:rsidR="0033211D" w:rsidRDefault="004E017A" w:rsidP="00E0442B">
      <w:pPr>
        <w:spacing w:after="0" w:line="360" w:lineRule="auto"/>
        <w:ind w:firstLine="851"/>
        <w:jc w:val="both"/>
        <w:rPr>
          <w:rFonts w:ascii="Arial" w:hAnsi="Arial" w:cs="Arial"/>
          <w:sz w:val="24"/>
          <w:szCs w:val="24"/>
          <w:lang w:val="es-ES"/>
        </w:rPr>
      </w:pPr>
      <w:r w:rsidRPr="004E017A">
        <w:rPr>
          <w:rFonts w:ascii="Arial" w:hAnsi="Arial" w:cs="Arial"/>
          <w:b/>
          <w:sz w:val="24"/>
          <w:szCs w:val="24"/>
          <w:lang w:val="es-ES"/>
        </w:rPr>
        <w:t>RESULTANDO:</w:t>
      </w:r>
      <w:r>
        <w:rPr>
          <w:rFonts w:ascii="Arial" w:hAnsi="Arial" w:cs="Arial"/>
          <w:sz w:val="24"/>
          <w:szCs w:val="24"/>
          <w:lang w:val="es-ES"/>
        </w:rPr>
        <w:t xml:space="preserve"> que el examen se efectuó de acuerdo con los</w:t>
      </w:r>
      <w:r w:rsidR="00C9376F">
        <w:rPr>
          <w:rFonts w:ascii="Arial" w:hAnsi="Arial" w:cs="Arial"/>
          <w:sz w:val="24"/>
          <w:szCs w:val="24"/>
          <w:lang w:val="es-ES"/>
        </w:rPr>
        <w:t xml:space="preserve"> Principios Fundamentales de Auditoría (ISSAI 100 y 200) y las Directrices de Auditoría Financiera </w:t>
      </w:r>
      <w:r w:rsidR="00385933">
        <w:rPr>
          <w:rFonts w:ascii="Arial" w:hAnsi="Arial" w:cs="Arial"/>
          <w:sz w:val="24"/>
          <w:szCs w:val="24"/>
          <w:lang w:val="es-ES"/>
        </w:rPr>
        <w:t xml:space="preserve">(ISSAI 1000 a 1810) </w:t>
      </w:r>
      <w:r w:rsidR="00C9376F">
        <w:rPr>
          <w:rFonts w:ascii="Arial" w:hAnsi="Arial" w:cs="Arial"/>
          <w:sz w:val="24"/>
          <w:szCs w:val="24"/>
          <w:lang w:val="es-ES"/>
        </w:rPr>
        <w:t>de la Organización Internacional de Entidades Fiscalizadoras Superiores (INTOSAI), habiéndose llevado a cabo los procedimientos considerados necesarios en las circunstancias</w:t>
      </w:r>
      <w:r w:rsidR="0033211D">
        <w:rPr>
          <w:rFonts w:ascii="Arial" w:hAnsi="Arial" w:cs="Arial"/>
          <w:sz w:val="24"/>
          <w:szCs w:val="24"/>
          <w:lang w:val="es-ES"/>
        </w:rPr>
        <w:t>;</w:t>
      </w:r>
    </w:p>
    <w:p w:rsidR="004E017A" w:rsidRDefault="0033211D" w:rsidP="00E0442B">
      <w:pPr>
        <w:spacing w:after="0" w:line="360" w:lineRule="auto"/>
        <w:ind w:firstLine="851"/>
        <w:jc w:val="both"/>
        <w:rPr>
          <w:rFonts w:ascii="Arial" w:hAnsi="Arial" w:cs="Arial"/>
          <w:sz w:val="24"/>
          <w:szCs w:val="24"/>
          <w:lang w:val="es-ES"/>
        </w:rPr>
      </w:pPr>
      <w:r w:rsidRPr="0033211D">
        <w:rPr>
          <w:rFonts w:ascii="Arial" w:hAnsi="Arial" w:cs="Arial"/>
          <w:b/>
          <w:sz w:val="24"/>
          <w:szCs w:val="24"/>
          <w:lang w:val="es-ES"/>
        </w:rPr>
        <w:t>CONSIDERANDO:</w:t>
      </w:r>
      <w:r>
        <w:rPr>
          <w:rFonts w:ascii="Arial" w:hAnsi="Arial" w:cs="Arial"/>
          <w:sz w:val="24"/>
          <w:szCs w:val="24"/>
          <w:lang w:val="es-ES"/>
        </w:rPr>
        <w:t xml:space="preserve"> que las conclusiones y evidencias obtenidas son</w:t>
      </w:r>
      <w:r w:rsidR="0052632E">
        <w:rPr>
          <w:rFonts w:ascii="Arial" w:hAnsi="Arial" w:cs="Arial"/>
          <w:sz w:val="24"/>
          <w:szCs w:val="24"/>
          <w:lang w:val="es-ES"/>
        </w:rPr>
        <w:t xml:space="preserve"> </w:t>
      </w:r>
      <w:r>
        <w:rPr>
          <w:rFonts w:ascii="Arial" w:hAnsi="Arial" w:cs="Arial"/>
          <w:sz w:val="24"/>
          <w:szCs w:val="24"/>
          <w:lang w:val="es-ES"/>
        </w:rPr>
        <w:t>las que se expresan en el Informe de Auditoría, que incluye Dictamen e Informe a la Administración;</w:t>
      </w:r>
    </w:p>
    <w:p w:rsidR="0033211D" w:rsidRDefault="0033211D" w:rsidP="00E0442B">
      <w:pPr>
        <w:spacing w:after="0" w:line="360" w:lineRule="auto"/>
        <w:ind w:firstLine="851"/>
        <w:jc w:val="both"/>
        <w:rPr>
          <w:rFonts w:ascii="Arial" w:hAnsi="Arial" w:cs="Arial"/>
          <w:sz w:val="24"/>
          <w:szCs w:val="24"/>
          <w:lang w:val="es-ES"/>
        </w:rPr>
      </w:pPr>
      <w:r w:rsidRPr="0033211D">
        <w:rPr>
          <w:rFonts w:ascii="Arial" w:hAnsi="Arial" w:cs="Arial"/>
          <w:b/>
          <w:sz w:val="24"/>
          <w:szCs w:val="24"/>
          <w:lang w:val="es-ES"/>
        </w:rPr>
        <w:t>ATENTO:</w:t>
      </w:r>
      <w:r>
        <w:rPr>
          <w:rFonts w:ascii="Arial" w:hAnsi="Arial" w:cs="Arial"/>
          <w:sz w:val="24"/>
          <w:szCs w:val="24"/>
          <w:lang w:val="es-ES"/>
        </w:rPr>
        <w:t xml:space="preserve"> a lo dispuesto por el Artículo 211 Literal C) de la Constitución de la República;</w:t>
      </w:r>
    </w:p>
    <w:p w:rsidR="00CA53DF" w:rsidRDefault="00CA53DF" w:rsidP="00CA53DF">
      <w:pPr>
        <w:spacing w:after="0" w:line="360" w:lineRule="auto"/>
        <w:jc w:val="center"/>
        <w:rPr>
          <w:rFonts w:ascii="Arial" w:hAnsi="Arial" w:cs="Arial"/>
          <w:b/>
          <w:sz w:val="24"/>
          <w:szCs w:val="24"/>
          <w:lang w:val="es-ES"/>
        </w:rPr>
      </w:pPr>
      <w:r w:rsidRPr="00CA53DF">
        <w:rPr>
          <w:rFonts w:ascii="Arial" w:hAnsi="Arial" w:cs="Arial"/>
          <w:b/>
          <w:sz w:val="24"/>
          <w:szCs w:val="24"/>
          <w:lang w:val="es-ES"/>
        </w:rPr>
        <w:t>EL TRIBUNAL ACUERDA</w:t>
      </w:r>
    </w:p>
    <w:p w:rsidR="00CA53DF" w:rsidRDefault="00CA53DF" w:rsidP="00866D8D">
      <w:pPr>
        <w:pStyle w:val="Prrafodelista"/>
        <w:numPr>
          <w:ilvl w:val="0"/>
          <w:numId w:val="2"/>
        </w:numPr>
        <w:spacing w:after="0" w:line="360" w:lineRule="auto"/>
        <w:ind w:left="284" w:hanging="284"/>
        <w:jc w:val="both"/>
        <w:rPr>
          <w:rFonts w:ascii="Arial" w:hAnsi="Arial" w:cs="Arial"/>
          <w:sz w:val="24"/>
          <w:szCs w:val="24"/>
          <w:lang w:val="es-ES"/>
        </w:rPr>
      </w:pPr>
      <w:r w:rsidRPr="00CA53DF">
        <w:rPr>
          <w:rFonts w:ascii="Arial" w:hAnsi="Arial" w:cs="Arial"/>
          <w:sz w:val="24"/>
          <w:szCs w:val="24"/>
          <w:lang w:val="es-ES"/>
        </w:rPr>
        <w:t>Expedirse en los términos del Info</w:t>
      </w:r>
      <w:r w:rsidR="00E0442B">
        <w:rPr>
          <w:rFonts w:ascii="Arial" w:hAnsi="Arial" w:cs="Arial"/>
          <w:sz w:val="24"/>
          <w:szCs w:val="24"/>
          <w:lang w:val="es-ES"/>
        </w:rPr>
        <w:t>rme de Auditoría que se adjunta;</w:t>
      </w:r>
    </w:p>
    <w:p w:rsidR="00CA53DF" w:rsidRDefault="00CA53DF" w:rsidP="00866D8D">
      <w:pPr>
        <w:pStyle w:val="Prrafodelista"/>
        <w:numPr>
          <w:ilvl w:val="0"/>
          <w:numId w:val="2"/>
        </w:numPr>
        <w:spacing w:after="0" w:line="360" w:lineRule="auto"/>
        <w:ind w:left="284" w:hanging="284"/>
        <w:jc w:val="both"/>
        <w:rPr>
          <w:rFonts w:ascii="Arial" w:hAnsi="Arial" w:cs="Arial"/>
          <w:sz w:val="24"/>
          <w:szCs w:val="24"/>
          <w:lang w:val="es-ES"/>
        </w:rPr>
      </w:pPr>
      <w:r>
        <w:rPr>
          <w:rFonts w:ascii="Arial" w:hAnsi="Arial" w:cs="Arial"/>
          <w:sz w:val="24"/>
          <w:szCs w:val="24"/>
          <w:lang w:val="es-ES"/>
        </w:rPr>
        <w:t>Comunic</w:t>
      </w:r>
      <w:r w:rsidR="008F7831">
        <w:rPr>
          <w:rFonts w:ascii="Arial" w:hAnsi="Arial" w:cs="Arial"/>
          <w:sz w:val="24"/>
          <w:szCs w:val="24"/>
          <w:lang w:val="es-ES"/>
        </w:rPr>
        <w:t xml:space="preserve">ar la presente Resolución a la </w:t>
      </w:r>
      <w:r w:rsidR="00A52EC0">
        <w:rPr>
          <w:rFonts w:ascii="Arial" w:hAnsi="Arial" w:cs="Arial"/>
          <w:sz w:val="24"/>
          <w:szCs w:val="24"/>
          <w:lang w:val="es-ES"/>
        </w:rPr>
        <w:t xml:space="preserve">Intendencia </w:t>
      </w:r>
      <w:r>
        <w:rPr>
          <w:rFonts w:ascii="Arial" w:hAnsi="Arial" w:cs="Arial"/>
          <w:sz w:val="24"/>
          <w:szCs w:val="24"/>
          <w:lang w:val="es-ES"/>
        </w:rPr>
        <w:t xml:space="preserve">de </w:t>
      </w:r>
      <w:r w:rsidR="00662E8F">
        <w:rPr>
          <w:rFonts w:ascii="Arial" w:hAnsi="Arial" w:cs="Arial"/>
          <w:sz w:val="24"/>
          <w:szCs w:val="24"/>
          <w:lang w:val="es-ES"/>
        </w:rPr>
        <w:t>Tacuarembó</w:t>
      </w:r>
      <w:r w:rsidR="00E0442B">
        <w:rPr>
          <w:rFonts w:ascii="Arial" w:hAnsi="Arial" w:cs="Arial"/>
          <w:sz w:val="24"/>
          <w:szCs w:val="24"/>
          <w:lang w:val="es-ES"/>
        </w:rPr>
        <w:t>;</w:t>
      </w:r>
    </w:p>
    <w:p w:rsidR="00CA53DF" w:rsidRDefault="00CA53DF" w:rsidP="00866D8D">
      <w:pPr>
        <w:pStyle w:val="Prrafodelista"/>
        <w:numPr>
          <w:ilvl w:val="0"/>
          <w:numId w:val="2"/>
        </w:numPr>
        <w:spacing w:after="0" w:line="360" w:lineRule="auto"/>
        <w:ind w:left="284" w:hanging="284"/>
        <w:jc w:val="both"/>
        <w:rPr>
          <w:rFonts w:ascii="Arial" w:hAnsi="Arial" w:cs="Arial"/>
          <w:sz w:val="24"/>
          <w:szCs w:val="24"/>
          <w:lang w:val="es-ES"/>
        </w:rPr>
      </w:pPr>
      <w:r>
        <w:rPr>
          <w:rFonts w:ascii="Arial" w:hAnsi="Arial" w:cs="Arial"/>
          <w:sz w:val="24"/>
          <w:szCs w:val="24"/>
          <w:lang w:val="es-ES"/>
        </w:rPr>
        <w:t>D</w:t>
      </w:r>
      <w:r w:rsidR="00866D8D">
        <w:rPr>
          <w:rFonts w:ascii="Arial" w:hAnsi="Arial" w:cs="Arial"/>
          <w:sz w:val="24"/>
          <w:szCs w:val="24"/>
          <w:lang w:val="es-ES"/>
        </w:rPr>
        <w:t>ar cuenta a la Asamblea General; y</w:t>
      </w:r>
    </w:p>
    <w:p w:rsidR="00CA53DF" w:rsidRDefault="00CA53DF" w:rsidP="00866D8D">
      <w:pPr>
        <w:pStyle w:val="Prrafodelista"/>
        <w:numPr>
          <w:ilvl w:val="0"/>
          <w:numId w:val="2"/>
        </w:numPr>
        <w:spacing w:after="0" w:line="360" w:lineRule="auto"/>
        <w:ind w:left="284" w:hanging="284"/>
        <w:jc w:val="both"/>
        <w:rPr>
          <w:rFonts w:ascii="Arial" w:hAnsi="Arial" w:cs="Arial"/>
          <w:sz w:val="24"/>
          <w:szCs w:val="24"/>
          <w:lang w:val="es-ES"/>
        </w:rPr>
      </w:pPr>
      <w:r>
        <w:rPr>
          <w:rFonts w:ascii="Arial" w:hAnsi="Arial" w:cs="Arial"/>
          <w:sz w:val="24"/>
          <w:szCs w:val="24"/>
          <w:lang w:val="es-ES"/>
        </w:rPr>
        <w:t>Devuélvase</w:t>
      </w:r>
      <w:r w:rsidR="0017354A">
        <w:rPr>
          <w:rFonts w:ascii="Arial" w:hAnsi="Arial" w:cs="Arial"/>
          <w:sz w:val="24"/>
          <w:szCs w:val="24"/>
          <w:lang w:val="es-ES"/>
        </w:rPr>
        <w:t>.</w:t>
      </w:r>
    </w:p>
    <w:p w:rsidR="00CA53DF" w:rsidRDefault="00CA53DF" w:rsidP="00CA53DF">
      <w:pPr>
        <w:spacing w:after="0" w:line="360" w:lineRule="auto"/>
        <w:jc w:val="both"/>
        <w:rPr>
          <w:rFonts w:ascii="Arial" w:hAnsi="Arial" w:cs="Arial"/>
          <w:sz w:val="24"/>
          <w:szCs w:val="24"/>
          <w:lang w:val="es-ES"/>
        </w:rPr>
      </w:pPr>
    </w:p>
    <w:p w:rsidR="0017354A" w:rsidRDefault="0017354A" w:rsidP="00CA53DF">
      <w:pPr>
        <w:spacing w:after="0" w:line="360" w:lineRule="auto"/>
        <w:jc w:val="both"/>
        <w:rPr>
          <w:rFonts w:ascii="Arial" w:hAnsi="Arial" w:cs="Arial"/>
          <w:sz w:val="24"/>
          <w:szCs w:val="24"/>
          <w:lang w:val="es-ES"/>
        </w:rPr>
      </w:pPr>
    </w:p>
    <w:p w:rsidR="00CA53DF" w:rsidRDefault="0017354A" w:rsidP="0017354A">
      <w:pPr>
        <w:spacing w:after="0" w:line="360" w:lineRule="auto"/>
        <w:jc w:val="both"/>
        <w:rPr>
          <w:rFonts w:ascii="Arial" w:hAnsi="Arial" w:cs="Arial"/>
          <w:sz w:val="24"/>
          <w:szCs w:val="24"/>
          <w:lang w:val="es-ES"/>
        </w:rPr>
      </w:pPr>
      <w:proofErr w:type="spellStart"/>
      <w:proofErr w:type="gramStart"/>
      <w:r>
        <w:rPr>
          <w:rFonts w:ascii="Arial" w:hAnsi="Arial" w:cs="Arial"/>
          <w:sz w:val="24"/>
          <w:szCs w:val="24"/>
          <w:lang w:val="es-ES"/>
        </w:rPr>
        <w:t>cr</w:t>
      </w:r>
      <w:proofErr w:type="spellEnd"/>
      <w:proofErr w:type="gramEnd"/>
    </w:p>
    <w:p w:rsidR="00DB7DAC" w:rsidRPr="00DB7DAC" w:rsidRDefault="00DB7DAC" w:rsidP="00420ADA">
      <w:pPr>
        <w:jc w:val="center"/>
        <w:rPr>
          <w:rFonts w:ascii="Arial" w:hAnsi="Arial" w:cs="Arial"/>
          <w:b/>
          <w:sz w:val="24"/>
          <w:szCs w:val="24"/>
        </w:rPr>
      </w:pPr>
      <w:r w:rsidRPr="00DB7DAC">
        <w:rPr>
          <w:rFonts w:ascii="Arial" w:hAnsi="Arial" w:cs="Arial"/>
          <w:b/>
          <w:sz w:val="24"/>
          <w:szCs w:val="24"/>
        </w:rPr>
        <w:lastRenderedPageBreak/>
        <w:t>DICTAMEN</w:t>
      </w:r>
    </w:p>
    <w:p w:rsidR="00DB7DAC" w:rsidRPr="00DB7DAC" w:rsidRDefault="00DB7DAC" w:rsidP="00420ADA">
      <w:pPr>
        <w:jc w:val="center"/>
        <w:rPr>
          <w:rFonts w:ascii="Arial" w:hAnsi="Arial" w:cs="Arial"/>
          <w:b/>
          <w:sz w:val="24"/>
          <w:szCs w:val="24"/>
        </w:rPr>
      </w:pPr>
    </w:p>
    <w:p w:rsidR="00DB7DAC" w:rsidRPr="00DB7DAC" w:rsidRDefault="00E0442B" w:rsidP="00420ADA">
      <w:pPr>
        <w:spacing w:line="360" w:lineRule="auto"/>
        <w:jc w:val="both"/>
        <w:rPr>
          <w:rFonts w:ascii="Arial" w:hAnsi="Arial" w:cs="Arial"/>
          <w:b/>
          <w:sz w:val="24"/>
          <w:szCs w:val="24"/>
        </w:rPr>
      </w:pPr>
      <w:r>
        <w:rPr>
          <w:rFonts w:ascii="Arial" w:hAnsi="Arial" w:cs="Arial"/>
          <w:b/>
          <w:sz w:val="24"/>
          <w:szCs w:val="24"/>
        </w:rPr>
        <w:t>Opinión sin salvedades</w:t>
      </w:r>
    </w:p>
    <w:p w:rsidR="00DB7DAC" w:rsidRPr="00DB7DAC" w:rsidRDefault="00DB7DAC" w:rsidP="00420ADA">
      <w:pPr>
        <w:spacing w:line="360" w:lineRule="auto"/>
        <w:jc w:val="both"/>
        <w:rPr>
          <w:rFonts w:ascii="Arial" w:hAnsi="Arial" w:cs="Arial"/>
          <w:sz w:val="24"/>
          <w:szCs w:val="24"/>
          <w:highlight w:val="yellow"/>
        </w:rPr>
      </w:pPr>
      <w:r w:rsidRPr="00DB7DAC">
        <w:rPr>
          <w:rFonts w:ascii="Arial" w:hAnsi="Arial" w:cs="Arial"/>
          <w:sz w:val="24"/>
          <w:szCs w:val="24"/>
        </w:rPr>
        <w:t>El Tribunal de Cuentas ha auditado la Rendición de Cuentas y el Balance de Ejecución Presupuestal de la Junta Departamental de Tacuarembó que comprenden a los estados de ejecución presupuestal con relación a los créditos, de evolución de las obligaciones presupuestales impagas, de fondos indisponibles, y otros estados complementarios por el ejer</w:t>
      </w:r>
      <w:r w:rsidR="00E0442B">
        <w:rPr>
          <w:rFonts w:ascii="Arial" w:hAnsi="Arial" w:cs="Arial"/>
          <w:sz w:val="24"/>
          <w:szCs w:val="24"/>
        </w:rPr>
        <w:t>cicio finalizado el 31/12/2017.</w:t>
      </w:r>
    </w:p>
    <w:p w:rsidR="00DB7DAC" w:rsidRPr="00DB7DAC" w:rsidRDefault="00DB7DAC" w:rsidP="00420ADA">
      <w:pPr>
        <w:spacing w:line="360" w:lineRule="auto"/>
        <w:jc w:val="both"/>
        <w:rPr>
          <w:rFonts w:ascii="Arial" w:hAnsi="Arial" w:cs="Arial"/>
          <w:sz w:val="24"/>
          <w:szCs w:val="24"/>
        </w:rPr>
      </w:pPr>
      <w:r w:rsidRPr="00DB7DAC">
        <w:rPr>
          <w:rFonts w:ascii="Arial" w:hAnsi="Arial" w:cs="Arial"/>
          <w:sz w:val="24"/>
          <w:szCs w:val="24"/>
        </w:rPr>
        <w:t>En opinión del Tribunal de Cuentas, los estados mencionados, presentan razonablemente, en todos sus aspectos significativos, la ejecución presupuestal de la Junta Departamental de Tacuarembó correspondiente al ejercicio finalizado el 31/12/2017, la evolución de las obligaciones presupuestales impagas y de fondos indisponibles de acuerdo con las normas establecidas en el TOCAF y el instructivo vigente a la fecha de presentación de los mismos.</w:t>
      </w:r>
    </w:p>
    <w:p w:rsidR="00DB7DAC" w:rsidRPr="00DB7DAC" w:rsidRDefault="00DB7DAC" w:rsidP="00420ADA">
      <w:pPr>
        <w:spacing w:line="360" w:lineRule="auto"/>
        <w:jc w:val="both"/>
        <w:rPr>
          <w:rFonts w:ascii="Arial" w:hAnsi="Arial" w:cs="Arial"/>
          <w:b/>
          <w:sz w:val="24"/>
          <w:szCs w:val="24"/>
        </w:rPr>
      </w:pPr>
      <w:r w:rsidRPr="00DB7DAC">
        <w:rPr>
          <w:rFonts w:ascii="Arial" w:hAnsi="Arial" w:cs="Arial"/>
          <w:b/>
          <w:sz w:val="24"/>
          <w:szCs w:val="24"/>
        </w:rPr>
        <w:t>Opinión respecto al cumplimiento de la normativa legal aplicable</w:t>
      </w:r>
    </w:p>
    <w:p w:rsidR="00DB7DAC" w:rsidRPr="00DB7DAC" w:rsidRDefault="00DB7DAC" w:rsidP="00420ADA">
      <w:pPr>
        <w:spacing w:line="360" w:lineRule="auto"/>
        <w:jc w:val="both"/>
        <w:rPr>
          <w:rFonts w:ascii="Arial" w:hAnsi="Arial" w:cs="Arial"/>
          <w:sz w:val="24"/>
          <w:szCs w:val="24"/>
        </w:rPr>
      </w:pPr>
      <w:r w:rsidRPr="00DB7DAC">
        <w:rPr>
          <w:rFonts w:ascii="Arial" w:hAnsi="Arial" w:cs="Arial"/>
          <w:sz w:val="24"/>
          <w:szCs w:val="24"/>
        </w:rPr>
        <w:t>En el curso de la auditoría se han constatado los siguientes incumplimientos:</w:t>
      </w:r>
    </w:p>
    <w:p w:rsidR="00DB7DAC" w:rsidRPr="00DB7DAC" w:rsidRDefault="00DB7DAC" w:rsidP="00A65D8B">
      <w:pPr>
        <w:widowControl w:val="0"/>
        <w:spacing w:line="360" w:lineRule="auto"/>
        <w:jc w:val="both"/>
        <w:rPr>
          <w:rFonts w:ascii="Arial" w:hAnsi="Arial" w:cs="Arial"/>
          <w:sz w:val="24"/>
          <w:szCs w:val="24"/>
        </w:rPr>
      </w:pPr>
      <w:r w:rsidRPr="00DB7DAC">
        <w:rPr>
          <w:rFonts w:ascii="Arial" w:hAnsi="Arial" w:cs="Arial"/>
          <w:bCs/>
          <w:kern w:val="18"/>
          <w:sz w:val="24"/>
          <w:szCs w:val="24"/>
          <w:lang w:val="es-ES_tradnl"/>
        </w:rPr>
        <w:t xml:space="preserve">Artículos 94 y 102 (numeral 3º) del TOCAF, Ordenanzas </w:t>
      </w:r>
      <w:proofErr w:type="spellStart"/>
      <w:r w:rsidRPr="00DB7DAC">
        <w:rPr>
          <w:rFonts w:ascii="Arial" w:hAnsi="Arial" w:cs="Arial"/>
          <w:bCs/>
          <w:kern w:val="18"/>
          <w:sz w:val="24"/>
          <w:szCs w:val="24"/>
          <w:lang w:val="es-ES_tradnl"/>
        </w:rPr>
        <w:t>Nros</w:t>
      </w:r>
      <w:proofErr w:type="spellEnd"/>
      <w:r w:rsidRPr="00DB7DAC">
        <w:rPr>
          <w:rFonts w:ascii="Arial" w:hAnsi="Arial" w:cs="Arial"/>
          <w:bCs/>
          <w:kern w:val="18"/>
          <w:sz w:val="24"/>
          <w:szCs w:val="24"/>
          <w:lang w:val="es-ES_tradnl"/>
        </w:rPr>
        <w:t>. 65 y 89 y Resoluciones de fecha 28/01/2004 y 22/12/2010 del Tribunal de Cuentas.</w:t>
      </w:r>
    </w:p>
    <w:p w:rsidR="00DB7DAC" w:rsidRPr="00DB7DAC" w:rsidRDefault="00DB7DAC" w:rsidP="00420ADA">
      <w:pPr>
        <w:spacing w:line="360" w:lineRule="auto"/>
        <w:jc w:val="both"/>
        <w:rPr>
          <w:rFonts w:ascii="Arial" w:hAnsi="Arial" w:cs="Arial"/>
          <w:b/>
          <w:bCs/>
          <w:sz w:val="24"/>
          <w:szCs w:val="24"/>
        </w:rPr>
      </w:pPr>
      <w:r w:rsidRPr="00DB7DAC">
        <w:rPr>
          <w:rFonts w:ascii="Arial" w:hAnsi="Arial" w:cs="Arial"/>
          <w:b/>
          <w:bCs/>
          <w:sz w:val="24"/>
          <w:szCs w:val="24"/>
        </w:rPr>
        <w:t>Bases para la Opinión sin salvedades</w:t>
      </w:r>
    </w:p>
    <w:p w:rsidR="00DB7DAC" w:rsidRPr="00DB7DAC" w:rsidRDefault="00DB7DAC" w:rsidP="00420ADA">
      <w:pPr>
        <w:spacing w:line="360" w:lineRule="auto"/>
        <w:jc w:val="both"/>
        <w:rPr>
          <w:rFonts w:ascii="Arial" w:hAnsi="Arial" w:cs="Arial"/>
          <w:bCs/>
          <w:sz w:val="24"/>
          <w:szCs w:val="24"/>
        </w:rPr>
      </w:pPr>
      <w:r w:rsidRPr="00DB7DAC">
        <w:rPr>
          <w:rFonts w:ascii="Arial" w:hAnsi="Arial" w:cs="Arial"/>
          <w:bCs/>
          <w:sz w:val="24"/>
          <w:szCs w:val="24"/>
        </w:rPr>
        <w:t>Esta auditoría fue realizada de acuerdo con  los Principios Fundamentales de Auditoría (ISSAI 100 y 200) y las Directrices de Auditoría Financiera (ISSAI 1000 a 1810) de la Organización Internacional de Entidades Fiscalizadoras Superiores (INTOSAI). La responsabilidad del Tribunal bajo estas normas se describe con más detalle en la sección de Responsabilidad del Tribunal de Cuentas por la auditoría de los estados financieros. Este Tribunal es independiente de la Junta Departamental de Tacuarembó y ha cumplido con las disposiciones de su Código de Ética, elaborado en concordancia con el Código de Ética de la INTOSAI. Se considera que la evidencia de auditoría obtenida es suficiente y adecuada para proporcionar una base razonable para sustentar la opinión.</w:t>
      </w:r>
    </w:p>
    <w:p w:rsidR="00DB7DAC" w:rsidRPr="00DB7DAC" w:rsidRDefault="00DB7DAC" w:rsidP="00420ADA">
      <w:pPr>
        <w:spacing w:line="360" w:lineRule="auto"/>
        <w:jc w:val="both"/>
        <w:rPr>
          <w:rFonts w:ascii="Arial" w:hAnsi="Arial" w:cs="Arial"/>
          <w:b/>
          <w:bCs/>
          <w:sz w:val="24"/>
          <w:szCs w:val="24"/>
        </w:rPr>
      </w:pPr>
      <w:r w:rsidRPr="00DB7DAC">
        <w:rPr>
          <w:rFonts w:ascii="Arial" w:hAnsi="Arial" w:cs="Arial"/>
          <w:b/>
          <w:bCs/>
          <w:sz w:val="24"/>
          <w:szCs w:val="24"/>
        </w:rPr>
        <w:t>Responsabilidad de la Junta Departamental en relación con la Rendición  de Cuentas y Balance de Ejecución Presupuestal</w:t>
      </w:r>
    </w:p>
    <w:p w:rsidR="00DB7DAC" w:rsidRPr="00DB7DAC" w:rsidRDefault="00DB7DAC" w:rsidP="00420ADA">
      <w:pPr>
        <w:spacing w:line="360" w:lineRule="auto"/>
        <w:jc w:val="both"/>
        <w:rPr>
          <w:rFonts w:ascii="Arial" w:hAnsi="Arial" w:cs="Arial"/>
          <w:bCs/>
          <w:sz w:val="24"/>
          <w:szCs w:val="24"/>
        </w:rPr>
      </w:pPr>
      <w:r w:rsidRPr="00DB7DAC">
        <w:rPr>
          <w:rFonts w:ascii="Arial" w:hAnsi="Arial" w:cs="Arial"/>
          <w:bCs/>
          <w:sz w:val="24"/>
          <w:szCs w:val="24"/>
        </w:rPr>
        <w:t>La Junta Departamental de Tacuarembó es responsable por la preparación y presentación razonable de la Rendición de Cuentas y Balance de Ejecución Presupuestal de la Junta Departamental de Tacuarembó de acuerdo con el instructivo vigente a la fecha de presentación de la misma y del control interno que la administración de la Junta Departamental consideró necesario para permitir la preparación de la Rendición de Cuentas y Balance de Ejecución Presupuestal libres de errores significativos ya sea debido a fraude o error.</w:t>
      </w:r>
    </w:p>
    <w:p w:rsidR="00DB7DAC" w:rsidRPr="00DB7DAC" w:rsidRDefault="00DB7DAC" w:rsidP="00420ADA">
      <w:pPr>
        <w:spacing w:line="360" w:lineRule="auto"/>
        <w:jc w:val="both"/>
        <w:rPr>
          <w:rFonts w:ascii="Arial" w:hAnsi="Arial" w:cs="Arial"/>
          <w:bCs/>
          <w:sz w:val="24"/>
          <w:szCs w:val="24"/>
        </w:rPr>
      </w:pPr>
      <w:r w:rsidRPr="00DB7DAC">
        <w:rPr>
          <w:rFonts w:ascii="Arial" w:hAnsi="Arial" w:cs="Arial"/>
          <w:bCs/>
          <w:sz w:val="24"/>
          <w:szCs w:val="24"/>
        </w:rPr>
        <w:t>La Junta Departamental de Tacuarembó es responsable de supervisar el proceso de preparación de la Rendición de Cuentas y Bala</w:t>
      </w:r>
      <w:r w:rsidR="00E0442B">
        <w:rPr>
          <w:rFonts w:ascii="Arial" w:hAnsi="Arial" w:cs="Arial"/>
          <w:bCs/>
          <w:sz w:val="24"/>
          <w:szCs w:val="24"/>
        </w:rPr>
        <w:t>nce de Ejecución Presupuestal.</w:t>
      </w:r>
    </w:p>
    <w:p w:rsidR="00DB7DAC" w:rsidRPr="00DB7DAC" w:rsidRDefault="00DB7DAC" w:rsidP="00420ADA">
      <w:pPr>
        <w:spacing w:line="360" w:lineRule="auto"/>
        <w:jc w:val="both"/>
        <w:rPr>
          <w:rFonts w:ascii="Arial" w:hAnsi="Arial" w:cs="Arial"/>
          <w:b/>
          <w:bCs/>
          <w:sz w:val="24"/>
          <w:szCs w:val="24"/>
        </w:rPr>
      </w:pPr>
      <w:r w:rsidRPr="00DB7DAC">
        <w:rPr>
          <w:rFonts w:ascii="Arial" w:hAnsi="Arial" w:cs="Arial"/>
          <w:b/>
          <w:bCs/>
          <w:sz w:val="24"/>
          <w:szCs w:val="24"/>
        </w:rPr>
        <w:t>Responsabilidad del Tribunal de Cuentas por la audito</w:t>
      </w:r>
      <w:r w:rsidR="00E0442B">
        <w:rPr>
          <w:rFonts w:ascii="Arial" w:hAnsi="Arial" w:cs="Arial"/>
          <w:b/>
          <w:bCs/>
          <w:sz w:val="24"/>
          <w:szCs w:val="24"/>
        </w:rPr>
        <w:t>ría de los estados financieros.</w:t>
      </w:r>
    </w:p>
    <w:p w:rsidR="00DB7DAC" w:rsidRPr="00DB7DAC" w:rsidRDefault="00DB7DAC" w:rsidP="00420ADA">
      <w:pPr>
        <w:spacing w:line="360" w:lineRule="auto"/>
        <w:jc w:val="both"/>
        <w:rPr>
          <w:rFonts w:ascii="Arial" w:hAnsi="Arial" w:cs="Arial"/>
          <w:bCs/>
          <w:sz w:val="24"/>
          <w:szCs w:val="24"/>
        </w:rPr>
      </w:pPr>
      <w:r w:rsidRPr="00DB7DAC">
        <w:rPr>
          <w:rFonts w:ascii="Arial" w:hAnsi="Arial" w:cs="Arial"/>
          <w:bCs/>
          <w:sz w:val="24"/>
          <w:szCs w:val="24"/>
        </w:rPr>
        <w:t>El objetivo de la auditoría consiste en obtener una seguridad razonable acerca de que los estados financieros en su conjunto están libres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 los estados.</w:t>
      </w:r>
    </w:p>
    <w:p w:rsidR="00DB7DAC" w:rsidRPr="00DB7DAC" w:rsidRDefault="00DB7DAC" w:rsidP="00420ADA">
      <w:pPr>
        <w:spacing w:line="360" w:lineRule="auto"/>
        <w:jc w:val="both"/>
        <w:rPr>
          <w:rFonts w:ascii="Arial" w:hAnsi="Arial" w:cs="Arial"/>
          <w:bCs/>
          <w:sz w:val="24"/>
          <w:szCs w:val="24"/>
        </w:rPr>
      </w:pPr>
      <w:r w:rsidRPr="00DB7DAC">
        <w:rPr>
          <w:rFonts w:ascii="Arial" w:hAnsi="Arial" w:cs="Arial"/>
          <w:bCs/>
          <w:sz w:val="24"/>
          <w:szCs w:val="24"/>
        </w:rPr>
        <w:t>Como parte de una auditoría de acuerdo con las ISSAI referidas en la sección Bases para la Opinión, el Tribunal de Cuentas aplica su juicio profesional y mantiene el escepticismo profesional durante el proceso de auditoría. Asimismo:</w:t>
      </w:r>
    </w:p>
    <w:p w:rsidR="00DB7DAC" w:rsidRPr="00DB7DAC" w:rsidRDefault="00DB7DAC" w:rsidP="00DB7DAC">
      <w:pPr>
        <w:pStyle w:val="Prrafodelista"/>
        <w:numPr>
          <w:ilvl w:val="0"/>
          <w:numId w:val="3"/>
        </w:numPr>
        <w:suppressAutoHyphens/>
        <w:spacing w:after="0" w:line="360" w:lineRule="auto"/>
        <w:ind w:left="0" w:firstLine="360"/>
        <w:jc w:val="both"/>
        <w:rPr>
          <w:rFonts w:ascii="Arial" w:hAnsi="Arial" w:cs="Arial"/>
          <w:bCs/>
          <w:sz w:val="24"/>
          <w:szCs w:val="24"/>
        </w:rPr>
      </w:pPr>
      <w:r w:rsidRPr="00DB7DAC">
        <w:rPr>
          <w:rFonts w:ascii="Arial" w:hAnsi="Arial" w:cs="Arial"/>
          <w:bCs/>
          <w:sz w:val="24"/>
          <w:szCs w:val="24"/>
        </w:rPr>
        <w:t>Identifica y evalúa el riesgo de que existan errores significativos en los estados financieros,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intencionalmente incorrectas o apartamientos de control interno.</w:t>
      </w:r>
    </w:p>
    <w:p w:rsidR="00DB7DAC" w:rsidRPr="00DB7DAC" w:rsidRDefault="00DB7DAC" w:rsidP="00DB7DAC">
      <w:pPr>
        <w:pStyle w:val="Prrafodelista"/>
        <w:numPr>
          <w:ilvl w:val="0"/>
          <w:numId w:val="3"/>
        </w:numPr>
        <w:suppressAutoHyphens/>
        <w:spacing w:after="0" w:line="360" w:lineRule="auto"/>
        <w:ind w:left="0" w:firstLine="360"/>
        <w:jc w:val="both"/>
        <w:rPr>
          <w:rFonts w:ascii="Arial" w:hAnsi="Arial" w:cs="Arial"/>
          <w:bCs/>
          <w:sz w:val="24"/>
          <w:szCs w:val="24"/>
        </w:rPr>
      </w:pPr>
      <w:r w:rsidRPr="00DB7DAC">
        <w:rPr>
          <w:rFonts w:ascii="Arial" w:hAnsi="Arial" w:cs="Arial"/>
          <w:bCs/>
          <w:sz w:val="24"/>
          <w:szCs w:val="24"/>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DB7DAC" w:rsidRPr="00DB7DAC" w:rsidRDefault="00DB7DAC" w:rsidP="00DB7DAC">
      <w:pPr>
        <w:pStyle w:val="Prrafodelista"/>
        <w:numPr>
          <w:ilvl w:val="0"/>
          <w:numId w:val="3"/>
        </w:numPr>
        <w:suppressAutoHyphens/>
        <w:spacing w:after="0" w:line="360" w:lineRule="auto"/>
        <w:ind w:left="0" w:firstLine="360"/>
        <w:jc w:val="both"/>
        <w:rPr>
          <w:rFonts w:ascii="Arial" w:hAnsi="Arial" w:cs="Arial"/>
          <w:bCs/>
          <w:sz w:val="24"/>
          <w:szCs w:val="24"/>
        </w:rPr>
      </w:pPr>
      <w:r w:rsidRPr="00DB7DAC">
        <w:rPr>
          <w:rFonts w:ascii="Arial" w:hAnsi="Arial" w:cs="Arial"/>
          <w:bCs/>
          <w:sz w:val="24"/>
          <w:szCs w:val="24"/>
        </w:rPr>
        <w:t>Evalúa la presentación general, la estructura y  contenido de los estados, incluyendo las revelaciones y si los estados representan las transacciones y eventos subyacentes de un modo que se logre una representación fiel de los mismos.</w:t>
      </w:r>
    </w:p>
    <w:p w:rsidR="00DB7DAC" w:rsidRPr="00DB7DAC" w:rsidRDefault="00DB7DAC" w:rsidP="00420ADA">
      <w:pPr>
        <w:spacing w:line="360" w:lineRule="auto"/>
        <w:jc w:val="both"/>
        <w:rPr>
          <w:rFonts w:ascii="Arial" w:hAnsi="Arial" w:cs="Arial"/>
          <w:bCs/>
          <w:sz w:val="24"/>
          <w:szCs w:val="24"/>
        </w:rPr>
      </w:pPr>
      <w:r w:rsidRPr="00DB7DAC">
        <w:rPr>
          <w:rFonts w:ascii="Arial" w:hAnsi="Arial" w:cs="Arial"/>
          <w:bCs/>
          <w:sz w:val="24"/>
          <w:szCs w:val="24"/>
        </w:rPr>
        <w:t>El Tribunal de Cuentas se comunicó con la Junta Departamental en relación al alcance y oportunidad de los procedimientos de auditoría, y a los hallazgos significativos de auditoría incluidos.</w:t>
      </w:r>
    </w:p>
    <w:p w:rsidR="00DB7DAC" w:rsidRPr="00DB7DAC" w:rsidRDefault="00DB7DAC" w:rsidP="00FD1BFD">
      <w:pPr>
        <w:spacing w:line="360" w:lineRule="auto"/>
        <w:jc w:val="both"/>
        <w:rPr>
          <w:rFonts w:ascii="Arial" w:hAnsi="Arial" w:cs="Arial"/>
          <w:b/>
          <w:bCs/>
          <w:sz w:val="24"/>
          <w:szCs w:val="24"/>
        </w:rPr>
      </w:pPr>
      <w:r w:rsidRPr="00DB7DAC">
        <w:rPr>
          <w:rFonts w:ascii="Arial" w:hAnsi="Arial" w:cs="Arial"/>
          <w:b/>
          <w:bCs/>
          <w:sz w:val="24"/>
          <w:szCs w:val="24"/>
        </w:rPr>
        <w:t>Informe de cumplimiento de la normativa vigente</w:t>
      </w:r>
    </w:p>
    <w:p w:rsidR="00DB7DAC" w:rsidRPr="00DB7DAC" w:rsidRDefault="00DB7DAC" w:rsidP="00FD1BFD">
      <w:pPr>
        <w:spacing w:line="360" w:lineRule="auto"/>
        <w:jc w:val="both"/>
        <w:rPr>
          <w:rFonts w:ascii="Arial" w:hAnsi="Arial" w:cs="Arial"/>
          <w:bCs/>
          <w:sz w:val="24"/>
          <w:szCs w:val="24"/>
          <w:highlight w:val="yellow"/>
        </w:rPr>
      </w:pPr>
      <w:r w:rsidRPr="00DB7DAC">
        <w:rPr>
          <w:rFonts w:ascii="Arial" w:hAnsi="Arial" w:cs="Arial"/>
          <w:bCs/>
          <w:sz w:val="24"/>
          <w:szCs w:val="24"/>
        </w:rPr>
        <w:t>Respecto a los incumplimientos mencionados en el párrafo Opinión respecto al cumplimiento de la normativa legal aplicable corresponde señalar lo siguiente:</w:t>
      </w:r>
    </w:p>
    <w:p w:rsidR="00DB7DAC" w:rsidRPr="00DB7DAC" w:rsidRDefault="00DB7DAC" w:rsidP="00FD1BFD">
      <w:pPr>
        <w:spacing w:line="360" w:lineRule="auto"/>
        <w:jc w:val="both"/>
        <w:rPr>
          <w:rFonts w:ascii="Arial" w:hAnsi="Arial" w:cs="Arial"/>
          <w:b/>
          <w:bCs/>
          <w:kern w:val="18"/>
          <w:sz w:val="24"/>
          <w:szCs w:val="24"/>
          <w:lang w:val="es-ES_tradnl"/>
        </w:rPr>
      </w:pPr>
      <w:r w:rsidRPr="00DB7DAC">
        <w:rPr>
          <w:rFonts w:ascii="Arial" w:hAnsi="Arial" w:cs="Arial"/>
          <w:sz w:val="24"/>
          <w:szCs w:val="24"/>
        </w:rPr>
        <w:t xml:space="preserve"> </w:t>
      </w:r>
      <w:r w:rsidRPr="00DB7DAC">
        <w:rPr>
          <w:rFonts w:ascii="Arial" w:hAnsi="Arial" w:cs="Arial"/>
          <w:b/>
          <w:sz w:val="24"/>
          <w:szCs w:val="24"/>
        </w:rPr>
        <w:t xml:space="preserve">1.- </w:t>
      </w:r>
      <w:r w:rsidRPr="00DB7DAC">
        <w:rPr>
          <w:rFonts w:ascii="Arial" w:hAnsi="Arial" w:cs="Arial"/>
          <w:b/>
          <w:bCs/>
          <w:kern w:val="18"/>
          <w:sz w:val="24"/>
          <w:szCs w:val="24"/>
          <w:lang w:val="es-ES_tradnl"/>
        </w:rPr>
        <w:t xml:space="preserve">Artículo 94 del TOCAF y Ordenanza N° 89 del Tribunal de Cuentas: </w:t>
      </w:r>
      <w:r w:rsidRPr="00DB7DAC">
        <w:rPr>
          <w:rFonts w:ascii="Arial" w:hAnsi="Arial" w:cs="Arial"/>
          <w:bCs/>
          <w:kern w:val="18"/>
          <w:sz w:val="24"/>
          <w:szCs w:val="24"/>
          <w:lang w:val="es-ES_tradnl"/>
        </w:rPr>
        <w:t>La Junta Departamental no cuenta con un sistema contable que le permita cumplir con lo establecido por las mencionadas normas en lo referente a su gestión patrimonial.</w:t>
      </w:r>
    </w:p>
    <w:p w:rsidR="00DB7DAC" w:rsidRPr="00DB7DAC" w:rsidRDefault="00DB7DAC" w:rsidP="00FD1BFD">
      <w:pPr>
        <w:spacing w:line="360" w:lineRule="auto"/>
        <w:outlineLvl w:val="1"/>
        <w:rPr>
          <w:rFonts w:ascii="Arial" w:hAnsi="Arial" w:cs="Arial"/>
          <w:kern w:val="18"/>
          <w:sz w:val="24"/>
          <w:szCs w:val="24"/>
        </w:rPr>
      </w:pPr>
      <w:r w:rsidRPr="00DB7DAC">
        <w:rPr>
          <w:rFonts w:ascii="Arial" w:hAnsi="Arial" w:cs="Arial"/>
          <w:b/>
          <w:bCs/>
          <w:sz w:val="24"/>
          <w:szCs w:val="24"/>
        </w:rPr>
        <w:t>2.- A</w:t>
      </w:r>
      <w:r w:rsidRPr="00DB7DAC">
        <w:rPr>
          <w:rFonts w:ascii="Arial" w:hAnsi="Arial" w:cs="Arial"/>
          <w:b/>
          <w:kern w:val="18"/>
          <w:sz w:val="24"/>
          <w:szCs w:val="24"/>
        </w:rPr>
        <w:t xml:space="preserve">rt. 102 Numeral 3) TOCAF: </w:t>
      </w:r>
      <w:r w:rsidRPr="00DB7DAC">
        <w:rPr>
          <w:rFonts w:ascii="Arial" w:hAnsi="Arial" w:cs="Arial"/>
          <w:kern w:val="18"/>
          <w:sz w:val="24"/>
          <w:szCs w:val="24"/>
        </w:rPr>
        <w:t>La Junta deberá realizar la imputación previa al objeto correspondiente, de los gastos autorizados en el ejercicio.</w:t>
      </w:r>
    </w:p>
    <w:p w:rsidR="00DB7DAC" w:rsidRPr="00DB7DAC" w:rsidRDefault="00DB7DAC" w:rsidP="00A3074A">
      <w:pPr>
        <w:spacing w:line="360" w:lineRule="auto"/>
        <w:jc w:val="both"/>
        <w:outlineLvl w:val="1"/>
        <w:rPr>
          <w:rFonts w:ascii="Arial" w:hAnsi="Arial" w:cs="Arial"/>
          <w:kern w:val="18"/>
          <w:sz w:val="24"/>
          <w:szCs w:val="24"/>
        </w:rPr>
      </w:pPr>
      <w:r w:rsidRPr="00DB7DAC">
        <w:rPr>
          <w:rFonts w:ascii="Arial" w:hAnsi="Arial" w:cs="Arial"/>
          <w:b/>
          <w:bCs/>
          <w:sz w:val="24"/>
          <w:szCs w:val="24"/>
        </w:rPr>
        <w:t>3.- A</w:t>
      </w:r>
      <w:r w:rsidRPr="00DB7DAC">
        <w:rPr>
          <w:rFonts w:ascii="Arial" w:hAnsi="Arial" w:cs="Arial"/>
          <w:b/>
          <w:kern w:val="18"/>
          <w:sz w:val="24"/>
          <w:szCs w:val="24"/>
        </w:rPr>
        <w:t xml:space="preserve">rt. 119 del TOCAF: </w:t>
      </w:r>
      <w:r w:rsidRPr="00DB7DAC">
        <w:rPr>
          <w:rFonts w:ascii="Arial" w:hAnsi="Arial" w:cs="Arial"/>
          <w:kern w:val="18"/>
          <w:sz w:val="24"/>
          <w:szCs w:val="24"/>
        </w:rPr>
        <w:t>En la Tesorería de la Junta no se realizan arqueos periódicamente</w:t>
      </w:r>
      <w:r w:rsidRPr="00E0442B">
        <w:rPr>
          <w:rFonts w:ascii="Arial" w:hAnsi="Arial" w:cs="Arial"/>
          <w:kern w:val="18"/>
          <w:sz w:val="24"/>
          <w:szCs w:val="24"/>
        </w:rPr>
        <w:t>.</w:t>
      </w:r>
    </w:p>
    <w:p w:rsidR="00DB7DAC" w:rsidRPr="00DB7DAC" w:rsidRDefault="00DB7DAC" w:rsidP="00A65D8B">
      <w:pPr>
        <w:tabs>
          <w:tab w:val="left" w:pos="0"/>
        </w:tabs>
        <w:spacing w:line="360" w:lineRule="auto"/>
        <w:jc w:val="both"/>
        <w:rPr>
          <w:rFonts w:ascii="Arial" w:hAnsi="Arial" w:cs="Arial"/>
          <w:color w:val="000000"/>
          <w:sz w:val="24"/>
          <w:szCs w:val="24"/>
        </w:rPr>
      </w:pPr>
      <w:r w:rsidRPr="00DB7DAC">
        <w:rPr>
          <w:rFonts w:ascii="Arial" w:hAnsi="Arial" w:cs="Arial"/>
          <w:b/>
          <w:kern w:val="2"/>
          <w:sz w:val="24"/>
          <w:szCs w:val="24"/>
          <w:lang w:eastAsia="ar-SA"/>
        </w:rPr>
        <w:t>4.-Ordenanza Nº 65 del Tribunal de Cuentas:</w:t>
      </w:r>
      <w:r w:rsidRPr="00DB7DAC">
        <w:rPr>
          <w:rFonts w:ascii="Arial" w:hAnsi="Arial" w:cs="Arial"/>
          <w:b/>
          <w:color w:val="000000"/>
          <w:sz w:val="24"/>
          <w:szCs w:val="24"/>
        </w:rPr>
        <w:t xml:space="preserve"> </w:t>
      </w:r>
      <w:r w:rsidRPr="00DB7DAC">
        <w:rPr>
          <w:rFonts w:ascii="Arial" w:hAnsi="Arial" w:cs="Arial"/>
          <w:color w:val="000000"/>
          <w:sz w:val="24"/>
          <w:szCs w:val="24"/>
        </w:rPr>
        <w:t>La Junta autorizó la reposición de Fondo Fijo, según Orden de Pago No. 17746 de fecha 20/04/2017, sin intervención del Contador Delegado, ya que se había aceptado su  renuncia con fecha 7/4/2017.</w:t>
      </w:r>
    </w:p>
    <w:p w:rsidR="00DB7DAC" w:rsidRPr="00DB7DAC" w:rsidRDefault="00DB7DAC" w:rsidP="006304C2">
      <w:pPr>
        <w:spacing w:line="360" w:lineRule="auto"/>
        <w:jc w:val="both"/>
        <w:outlineLvl w:val="1"/>
        <w:rPr>
          <w:rFonts w:ascii="Arial" w:hAnsi="Arial" w:cs="Arial"/>
          <w:kern w:val="18"/>
          <w:sz w:val="24"/>
          <w:szCs w:val="24"/>
          <w:lang w:val="es-ES_tradnl"/>
        </w:rPr>
      </w:pPr>
      <w:r w:rsidRPr="00DB7DAC">
        <w:rPr>
          <w:rFonts w:ascii="Arial" w:hAnsi="Arial" w:cs="Arial"/>
          <w:b/>
          <w:bCs/>
          <w:sz w:val="24"/>
          <w:szCs w:val="24"/>
        </w:rPr>
        <w:t xml:space="preserve">5.- </w:t>
      </w:r>
      <w:r w:rsidRPr="00DB7DAC">
        <w:rPr>
          <w:rFonts w:ascii="Arial" w:hAnsi="Arial" w:cs="Arial"/>
          <w:b/>
          <w:kern w:val="18"/>
          <w:sz w:val="24"/>
          <w:szCs w:val="24"/>
        </w:rPr>
        <w:t xml:space="preserve">Resolución del Tribunal de Cuentas de 28/01/04: </w:t>
      </w:r>
      <w:r w:rsidRPr="00DB7DAC">
        <w:rPr>
          <w:rFonts w:ascii="Arial" w:hAnsi="Arial" w:cs="Arial"/>
          <w:sz w:val="24"/>
          <w:szCs w:val="24"/>
          <w:lang w:val="es-ES_tradnl"/>
        </w:rPr>
        <w:t>La Junta Departamental deberá ajustar la forma de presentación del Cuadro 3.8</w:t>
      </w:r>
      <w:r w:rsidRPr="00DB7DAC">
        <w:rPr>
          <w:rFonts w:ascii="Arial" w:hAnsi="Arial" w:cs="Arial"/>
          <w:kern w:val="18"/>
          <w:sz w:val="24"/>
          <w:szCs w:val="24"/>
          <w:lang w:val="es-ES_tradnl"/>
        </w:rPr>
        <w:t xml:space="preserve"> “Evolución de obligaciones presupuestales impagas y detalle de obligaciones presupuestales impagas” a lo establecido por esta Resolución</w:t>
      </w:r>
      <w:r w:rsidR="00E0442B">
        <w:rPr>
          <w:rFonts w:ascii="Arial" w:hAnsi="Arial" w:cs="Arial"/>
          <w:kern w:val="18"/>
          <w:sz w:val="24"/>
          <w:szCs w:val="24"/>
          <w:lang w:val="es-ES_tradnl"/>
        </w:rPr>
        <w:t>.</w:t>
      </w:r>
    </w:p>
    <w:p w:rsidR="00DB7DAC" w:rsidRPr="00DB7DAC" w:rsidRDefault="00DB7DAC" w:rsidP="00816138">
      <w:pPr>
        <w:widowControl w:val="0"/>
        <w:spacing w:line="360" w:lineRule="auto"/>
        <w:jc w:val="both"/>
        <w:rPr>
          <w:rFonts w:ascii="Arial" w:hAnsi="Arial" w:cs="Arial"/>
          <w:kern w:val="18"/>
          <w:sz w:val="24"/>
          <w:szCs w:val="24"/>
          <w:lang w:val="es-ES_tradnl"/>
        </w:rPr>
      </w:pPr>
      <w:r w:rsidRPr="00DB7DAC">
        <w:rPr>
          <w:rFonts w:ascii="Arial" w:hAnsi="Arial" w:cs="Arial"/>
          <w:b/>
          <w:kern w:val="18"/>
          <w:sz w:val="24"/>
          <w:szCs w:val="24"/>
          <w:lang w:val="es-ES_tradnl"/>
        </w:rPr>
        <w:t>6.-</w:t>
      </w:r>
      <w:r w:rsidRPr="00DB7DAC">
        <w:rPr>
          <w:rFonts w:ascii="Arial" w:hAnsi="Arial" w:cs="Arial"/>
          <w:kern w:val="18"/>
          <w:sz w:val="24"/>
          <w:szCs w:val="24"/>
          <w:lang w:val="es-ES_tradnl"/>
        </w:rPr>
        <w:t xml:space="preserve"> </w:t>
      </w:r>
      <w:r w:rsidRPr="00DB7DAC">
        <w:rPr>
          <w:rFonts w:ascii="Arial" w:hAnsi="Arial" w:cs="Arial"/>
          <w:b/>
          <w:bCs/>
          <w:kern w:val="18"/>
          <w:sz w:val="24"/>
          <w:szCs w:val="24"/>
          <w:lang w:val="es-ES_tradnl"/>
        </w:rPr>
        <w:t xml:space="preserve">Resolución del Tribunal de Cuentas de 22/12/2010: </w:t>
      </w:r>
      <w:r w:rsidRPr="00DB7DAC">
        <w:rPr>
          <w:rFonts w:ascii="Arial" w:hAnsi="Arial" w:cs="Arial"/>
          <w:kern w:val="18"/>
          <w:sz w:val="24"/>
          <w:szCs w:val="24"/>
          <w:lang w:val="es-ES_tradnl"/>
        </w:rPr>
        <w:t>El reglamento de partidas para gastos de traslado, alimentación y alojamiento de la Junta Departamental no se ajusta a lo preceptuado en la Resolución del Tribunal de fecha 22/12/2010.</w:t>
      </w:r>
    </w:p>
    <w:p w:rsidR="00DB7DAC" w:rsidRPr="00DB7DAC" w:rsidRDefault="00DB7DAC" w:rsidP="005B46C9">
      <w:pPr>
        <w:ind w:left="3969" w:firstLine="5"/>
        <w:jc w:val="both"/>
        <w:rPr>
          <w:rFonts w:ascii="Arial" w:hAnsi="Arial" w:cs="Arial"/>
          <w:sz w:val="24"/>
          <w:szCs w:val="24"/>
        </w:rPr>
      </w:pPr>
      <w:r w:rsidRPr="00DB7DAC">
        <w:rPr>
          <w:rFonts w:ascii="Arial" w:hAnsi="Arial" w:cs="Arial"/>
          <w:sz w:val="24"/>
          <w:szCs w:val="24"/>
        </w:rPr>
        <w:t xml:space="preserve">           Montevideo, 10 de octubre de 2018</w:t>
      </w:r>
    </w:p>
    <w:p w:rsidR="00DB7DAC" w:rsidRPr="00DB7DAC" w:rsidRDefault="00DB7DAC" w:rsidP="00FD1BFD">
      <w:pPr>
        <w:rPr>
          <w:rFonts w:ascii="Arial" w:hAnsi="Arial" w:cs="Arial"/>
          <w:sz w:val="24"/>
          <w:szCs w:val="24"/>
          <w:lang w:eastAsia="ar-SA"/>
        </w:rPr>
      </w:pPr>
      <w:proofErr w:type="spellStart"/>
      <w:proofErr w:type="gramStart"/>
      <w:r w:rsidRPr="00DB7DAC">
        <w:rPr>
          <w:rFonts w:ascii="Arial" w:hAnsi="Arial" w:cs="Arial"/>
          <w:sz w:val="24"/>
          <w:szCs w:val="24"/>
        </w:rPr>
        <w:t>cr</w:t>
      </w:r>
      <w:proofErr w:type="spellEnd"/>
      <w:proofErr w:type="gramEnd"/>
    </w:p>
    <w:p w:rsidR="00DB7DAC" w:rsidRPr="00DB7DAC" w:rsidRDefault="00DB7DAC" w:rsidP="0081015C">
      <w:pPr>
        <w:pStyle w:val="Ttulo1"/>
        <w:jc w:val="center"/>
      </w:pPr>
      <w:bookmarkStart w:id="1" w:name="_Toc390872931"/>
      <w:r w:rsidRPr="00DB7DAC">
        <w:t>INFORME A LA ADMINISTRACIÓN</w:t>
      </w:r>
      <w:bookmarkEnd w:id="1"/>
    </w:p>
    <w:p w:rsidR="00DB7DAC" w:rsidRPr="00DB7DAC" w:rsidRDefault="00DB7DAC" w:rsidP="003E4056">
      <w:pPr>
        <w:jc w:val="both"/>
        <w:rPr>
          <w:rFonts w:ascii="Arial" w:hAnsi="Arial" w:cs="Arial"/>
          <w:sz w:val="24"/>
          <w:szCs w:val="24"/>
        </w:rPr>
      </w:pPr>
    </w:p>
    <w:p w:rsidR="00DB7DAC" w:rsidRPr="00DB7DAC" w:rsidRDefault="00DB7DAC" w:rsidP="0019752B">
      <w:pPr>
        <w:pStyle w:val="Textoindependiente"/>
        <w:rPr>
          <w:rFonts w:cs="Arial"/>
        </w:rPr>
      </w:pPr>
      <w:r w:rsidRPr="00DB7DAC">
        <w:rPr>
          <w:rFonts w:cs="Arial"/>
        </w:rPr>
        <w:t>El Tribunal de Cuentas ha examinado la Rendición de Cuentas y Balance de Ejecución Presupuestal de la Junta Departamental de Tacuarembó por el ejercicio finalizado al 31/12/2017 y ha emitido su correspondiente Dictamen.</w:t>
      </w:r>
    </w:p>
    <w:p w:rsidR="00DB7DAC" w:rsidRPr="00DB7DAC" w:rsidRDefault="00DB7DAC" w:rsidP="0044742A">
      <w:pPr>
        <w:spacing w:line="360" w:lineRule="auto"/>
        <w:jc w:val="both"/>
        <w:rPr>
          <w:rFonts w:ascii="Arial" w:hAnsi="Arial" w:cs="Arial"/>
          <w:sz w:val="24"/>
          <w:szCs w:val="24"/>
        </w:rPr>
      </w:pPr>
      <w:r w:rsidRPr="00DB7DAC">
        <w:rPr>
          <w:rFonts w:ascii="Arial" w:hAnsi="Arial" w:cs="Arial"/>
          <w:sz w:val="24"/>
          <w:szCs w:val="24"/>
        </w:rPr>
        <w:t>Este informe contiene consideraciones relativas a la evaluación del control interno. Se incluyen además, comentarios que se ha entendido pertinente exponer, relacionados a la situación de determinados capítulos y rubros de los estados examinados y a disposiciones legales vigentes.</w:t>
      </w:r>
    </w:p>
    <w:p w:rsidR="00DB7DAC" w:rsidRPr="00DB7DAC" w:rsidRDefault="00DB7DAC" w:rsidP="0044742A">
      <w:pPr>
        <w:spacing w:line="360" w:lineRule="auto"/>
        <w:jc w:val="both"/>
        <w:rPr>
          <w:rFonts w:ascii="Arial" w:hAnsi="Arial" w:cs="Arial"/>
          <w:sz w:val="24"/>
          <w:szCs w:val="24"/>
        </w:rPr>
      </w:pPr>
      <w:r w:rsidRPr="00DB7DAC">
        <w:rPr>
          <w:rFonts w:ascii="Arial" w:hAnsi="Arial" w:cs="Arial"/>
          <w:sz w:val="24"/>
          <w:szCs w:val="24"/>
        </w:rPr>
        <w:t xml:space="preserve">También se agregan las principales recomendaciones que </w:t>
      </w:r>
      <w:proofErr w:type="gramStart"/>
      <w:r w:rsidRPr="00DB7DAC">
        <w:rPr>
          <w:rFonts w:ascii="Arial" w:hAnsi="Arial" w:cs="Arial"/>
          <w:sz w:val="24"/>
          <w:szCs w:val="24"/>
        </w:rPr>
        <w:t>deberá</w:t>
      </w:r>
      <w:proofErr w:type="gramEnd"/>
      <w:r w:rsidRPr="00DB7DAC">
        <w:rPr>
          <w:rFonts w:ascii="Arial" w:hAnsi="Arial" w:cs="Arial"/>
          <w:sz w:val="24"/>
          <w:szCs w:val="24"/>
        </w:rPr>
        <w:t xml:space="preserve"> atender el Organismo y una evaluación del cumplimiento de las recomendaciones presentadas en el informe de auditoría del ejercicio anterior.</w:t>
      </w:r>
    </w:p>
    <w:p w:rsidR="00DB7DAC" w:rsidRPr="00DB7DAC" w:rsidRDefault="00E0442B" w:rsidP="00DB7DAC">
      <w:pPr>
        <w:numPr>
          <w:ilvl w:val="0"/>
          <w:numId w:val="4"/>
        </w:numPr>
        <w:spacing w:after="0" w:line="360" w:lineRule="auto"/>
        <w:rPr>
          <w:rFonts w:ascii="Arial" w:hAnsi="Arial" w:cs="Arial"/>
          <w:b/>
          <w:sz w:val="24"/>
          <w:szCs w:val="24"/>
        </w:rPr>
      </w:pPr>
      <w:r>
        <w:rPr>
          <w:rFonts w:ascii="Arial" w:hAnsi="Arial" w:cs="Arial"/>
          <w:b/>
          <w:sz w:val="24"/>
          <w:szCs w:val="24"/>
        </w:rPr>
        <w:t>Presentación de los Estados</w:t>
      </w:r>
    </w:p>
    <w:p w:rsidR="00DB7DAC" w:rsidRPr="00DB7DAC" w:rsidRDefault="00DB7DAC" w:rsidP="0019752B">
      <w:pPr>
        <w:spacing w:line="360" w:lineRule="auto"/>
        <w:jc w:val="both"/>
        <w:rPr>
          <w:rFonts w:ascii="Arial" w:hAnsi="Arial" w:cs="Arial"/>
          <w:sz w:val="24"/>
          <w:szCs w:val="24"/>
        </w:rPr>
      </w:pPr>
      <w:r w:rsidRPr="00DB7DAC">
        <w:rPr>
          <w:rFonts w:ascii="Arial" w:hAnsi="Arial" w:cs="Arial"/>
          <w:sz w:val="24"/>
          <w:szCs w:val="24"/>
        </w:rPr>
        <w:t>La Rendición de Cuentas y Balance de Ejecución Presupuestal de la Junta Departamental de Tacuarembó correspondientes al ejercicio finalizado el 31/12/2017, fueron remitidos por Oficio No. 0309/18 para su examen a este Tribunal el 15/06/2018.</w:t>
      </w:r>
    </w:p>
    <w:p w:rsidR="00DB7DAC" w:rsidRPr="00DB7DAC" w:rsidRDefault="00DB7DAC" w:rsidP="0019752B">
      <w:pPr>
        <w:spacing w:line="360" w:lineRule="auto"/>
        <w:jc w:val="both"/>
        <w:rPr>
          <w:rFonts w:ascii="Arial" w:hAnsi="Arial" w:cs="Arial"/>
          <w:sz w:val="24"/>
          <w:szCs w:val="24"/>
        </w:rPr>
      </w:pPr>
      <w:r w:rsidRPr="00DB7DAC">
        <w:rPr>
          <w:rFonts w:ascii="Arial" w:hAnsi="Arial" w:cs="Arial"/>
          <w:sz w:val="24"/>
          <w:szCs w:val="24"/>
        </w:rPr>
        <w:t>Dichos estados se presentan de acuerdo a la Resolución del Tribunal vigente a la fecha de presentación de los mismos.</w:t>
      </w:r>
    </w:p>
    <w:p w:rsidR="00DB7DAC" w:rsidRDefault="00DB7DAC" w:rsidP="0019752B">
      <w:pPr>
        <w:spacing w:line="360" w:lineRule="auto"/>
        <w:jc w:val="both"/>
        <w:rPr>
          <w:rFonts w:ascii="Arial" w:hAnsi="Arial" w:cs="Arial"/>
          <w:sz w:val="24"/>
          <w:szCs w:val="24"/>
        </w:rPr>
      </w:pPr>
      <w:r w:rsidRPr="00DB7DAC">
        <w:rPr>
          <w:rFonts w:ascii="Arial" w:hAnsi="Arial" w:cs="Arial"/>
          <w:sz w:val="24"/>
          <w:szCs w:val="24"/>
        </w:rPr>
        <w:t>En base a los estados incluidos en la Rendición de Cuentas, se presenta el siguiente resumen de la situación en materia de fondos de la Junta Departamental con relación a la Intendencia, en pesos uruguayos:</w:t>
      </w:r>
    </w:p>
    <w:p w:rsidR="00E0442B" w:rsidRDefault="00E0442B" w:rsidP="0019752B">
      <w:pPr>
        <w:spacing w:line="360" w:lineRule="auto"/>
        <w:jc w:val="both"/>
        <w:rPr>
          <w:rFonts w:ascii="Arial" w:hAnsi="Arial" w:cs="Arial"/>
          <w:sz w:val="24"/>
          <w:szCs w:val="24"/>
        </w:rPr>
      </w:pPr>
    </w:p>
    <w:p w:rsidR="00E0442B" w:rsidRPr="00DB7DAC" w:rsidRDefault="00E0442B" w:rsidP="0019752B">
      <w:pPr>
        <w:spacing w:line="360" w:lineRule="auto"/>
        <w:jc w:val="both"/>
        <w:rPr>
          <w:rFonts w:ascii="Arial" w:hAnsi="Arial" w:cs="Arial"/>
          <w:sz w:val="24"/>
          <w:szCs w:val="24"/>
        </w:rPr>
      </w:pPr>
    </w:p>
    <w:tbl>
      <w:tblPr>
        <w:tblW w:w="0" w:type="auto"/>
        <w:tblInd w:w="1418" w:type="dxa"/>
        <w:tblLayout w:type="fixed"/>
        <w:tblCellMar>
          <w:left w:w="0" w:type="dxa"/>
          <w:right w:w="0" w:type="dxa"/>
        </w:tblCellMar>
        <w:tblLook w:val="0000" w:firstRow="0" w:lastRow="0" w:firstColumn="0" w:lastColumn="0" w:noHBand="0" w:noVBand="0"/>
      </w:tblPr>
      <w:tblGrid>
        <w:gridCol w:w="4600"/>
        <w:gridCol w:w="2320"/>
      </w:tblGrid>
      <w:tr w:rsidR="00DB7DAC" w:rsidRPr="00DB7DAC" w:rsidTr="0066057B">
        <w:trPr>
          <w:trHeight w:val="315"/>
        </w:trPr>
        <w:tc>
          <w:tcPr>
            <w:tcW w:w="4600" w:type="dxa"/>
          </w:tcPr>
          <w:p w:rsidR="00DB7DAC" w:rsidRPr="00DB7DAC" w:rsidRDefault="00DB7DAC" w:rsidP="0066057B">
            <w:pPr>
              <w:snapToGrid w:val="0"/>
              <w:spacing w:line="360" w:lineRule="auto"/>
              <w:rPr>
                <w:rFonts w:ascii="Arial" w:hAnsi="Arial" w:cs="Arial"/>
                <w:color w:val="000000"/>
                <w:sz w:val="24"/>
                <w:szCs w:val="24"/>
              </w:rPr>
            </w:pPr>
            <w:r w:rsidRPr="00DB7DAC">
              <w:rPr>
                <w:rFonts w:ascii="Arial" w:hAnsi="Arial" w:cs="Arial"/>
                <w:color w:val="000000"/>
                <w:sz w:val="24"/>
                <w:szCs w:val="24"/>
              </w:rPr>
              <w:t>Disponibilidades</w:t>
            </w:r>
          </w:p>
        </w:tc>
        <w:tc>
          <w:tcPr>
            <w:tcW w:w="2320" w:type="dxa"/>
          </w:tcPr>
          <w:p w:rsidR="00DB7DAC" w:rsidRPr="00DB7DAC" w:rsidRDefault="00DB7DAC" w:rsidP="0066057B">
            <w:pPr>
              <w:snapToGrid w:val="0"/>
              <w:spacing w:line="360" w:lineRule="auto"/>
              <w:jc w:val="center"/>
              <w:rPr>
                <w:rFonts w:ascii="Arial" w:eastAsia="Arial Unicode MS" w:hAnsi="Arial" w:cs="Arial"/>
                <w:color w:val="000000"/>
                <w:sz w:val="24"/>
                <w:szCs w:val="24"/>
              </w:rPr>
            </w:pPr>
          </w:p>
          <w:p w:rsidR="00DB7DAC" w:rsidRPr="00DB7DAC" w:rsidRDefault="00DB7DAC" w:rsidP="0066057B">
            <w:pPr>
              <w:snapToGrid w:val="0"/>
              <w:spacing w:line="360" w:lineRule="auto"/>
              <w:jc w:val="center"/>
              <w:rPr>
                <w:rFonts w:ascii="Arial" w:eastAsia="Arial Unicode MS" w:hAnsi="Arial" w:cs="Arial"/>
                <w:color w:val="000000"/>
                <w:sz w:val="24"/>
                <w:szCs w:val="24"/>
              </w:rPr>
            </w:pPr>
            <w:r w:rsidRPr="00DB7DAC">
              <w:rPr>
                <w:rFonts w:ascii="Arial" w:eastAsia="Arial Unicode MS" w:hAnsi="Arial" w:cs="Arial"/>
                <w:color w:val="000000"/>
                <w:sz w:val="24"/>
                <w:szCs w:val="24"/>
              </w:rPr>
              <w:t xml:space="preserve">    1.641.573</w:t>
            </w:r>
          </w:p>
        </w:tc>
      </w:tr>
      <w:tr w:rsidR="00DB7DAC" w:rsidRPr="00DB7DAC" w:rsidTr="0066057B">
        <w:trPr>
          <w:trHeight w:val="315"/>
        </w:trPr>
        <w:tc>
          <w:tcPr>
            <w:tcW w:w="4600" w:type="dxa"/>
          </w:tcPr>
          <w:p w:rsidR="00DB7DAC" w:rsidRPr="00DB7DAC" w:rsidRDefault="00DB7DAC" w:rsidP="0066057B">
            <w:pPr>
              <w:snapToGrid w:val="0"/>
              <w:spacing w:line="360" w:lineRule="auto"/>
              <w:rPr>
                <w:rFonts w:ascii="Arial" w:hAnsi="Arial" w:cs="Arial"/>
                <w:color w:val="000000"/>
                <w:sz w:val="24"/>
                <w:szCs w:val="24"/>
              </w:rPr>
            </w:pPr>
            <w:r w:rsidRPr="00DB7DAC">
              <w:rPr>
                <w:rFonts w:ascii="Arial" w:hAnsi="Arial" w:cs="Arial"/>
                <w:color w:val="000000"/>
                <w:sz w:val="24"/>
                <w:szCs w:val="24"/>
              </w:rPr>
              <w:t xml:space="preserve">Menos: </w:t>
            </w:r>
          </w:p>
        </w:tc>
        <w:tc>
          <w:tcPr>
            <w:tcW w:w="2320" w:type="dxa"/>
            <w:vAlign w:val="bottom"/>
          </w:tcPr>
          <w:p w:rsidR="00DB7DAC" w:rsidRPr="00DB7DAC" w:rsidRDefault="00DB7DAC" w:rsidP="0066057B">
            <w:pPr>
              <w:snapToGrid w:val="0"/>
              <w:spacing w:line="360" w:lineRule="auto"/>
              <w:jc w:val="right"/>
              <w:rPr>
                <w:rFonts w:ascii="Arial" w:eastAsia="Arial Unicode MS" w:hAnsi="Arial" w:cs="Arial"/>
                <w:color w:val="000000"/>
                <w:sz w:val="24"/>
                <w:szCs w:val="24"/>
              </w:rPr>
            </w:pPr>
          </w:p>
        </w:tc>
      </w:tr>
      <w:tr w:rsidR="00DB7DAC" w:rsidRPr="00DB7DAC" w:rsidTr="0066057B">
        <w:trPr>
          <w:trHeight w:val="315"/>
        </w:trPr>
        <w:tc>
          <w:tcPr>
            <w:tcW w:w="4600" w:type="dxa"/>
          </w:tcPr>
          <w:p w:rsidR="00DB7DAC" w:rsidRPr="00DB7DAC" w:rsidRDefault="00DB7DAC" w:rsidP="0066057B">
            <w:pPr>
              <w:snapToGrid w:val="0"/>
              <w:spacing w:line="360" w:lineRule="auto"/>
              <w:rPr>
                <w:rFonts w:ascii="Arial" w:hAnsi="Arial" w:cs="Arial"/>
                <w:color w:val="000000"/>
                <w:sz w:val="24"/>
                <w:szCs w:val="24"/>
              </w:rPr>
            </w:pPr>
            <w:proofErr w:type="spellStart"/>
            <w:r w:rsidRPr="00DB7DAC">
              <w:rPr>
                <w:rFonts w:ascii="Arial" w:hAnsi="Arial" w:cs="Arial"/>
                <w:color w:val="000000"/>
                <w:sz w:val="24"/>
                <w:szCs w:val="24"/>
              </w:rPr>
              <w:t>Oblig</w:t>
            </w:r>
            <w:proofErr w:type="spellEnd"/>
            <w:r w:rsidRPr="00DB7DAC">
              <w:rPr>
                <w:rFonts w:ascii="Arial" w:hAnsi="Arial" w:cs="Arial"/>
                <w:color w:val="000000"/>
                <w:sz w:val="24"/>
                <w:szCs w:val="24"/>
              </w:rPr>
              <w:t xml:space="preserve">. </w:t>
            </w:r>
            <w:proofErr w:type="spellStart"/>
            <w:r w:rsidRPr="00DB7DAC">
              <w:rPr>
                <w:rFonts w:ascii="Arial" w:hAnsi="Arial" w:cs="Arial"/>
                <w:color w:val="000000"/>
                <w:sz w:val="24"/>
                <w:szCs w:val="24"/>
              </w:rPr>
              <w:t>Presup</w:t>
            </w:r>
            <w:proofErr w:type="spellEnd"/>
            <w:r w:rsidRPr="00DB7DAC">
              <w:rPr>
                <w:rFonts w:ascii="Arial" w:hAnsi="Arial" w:cs="Arial"/>
                <w:color w:val="000000"/>
                <w:sz w:val="24"/>
                <w:szCs w:val="24"/>
              </w:rPr>
              <w:t>. Impagas      1.668.080</w:t>
            </w:r>
          </w:p>
        </w:tc>
        <w:tc>
          <w:tcPr>
            <w:tcW w:w="2320" w:type="dxa"/>
            <w:vAlign w:val="bottom"/>
          </w:tcPr>
          <w:p w:rsidR="00DB7DAC" w:rsidRPr="00DB7DAC" w:rsidRDefault="00DB7DAC" w:rsidP="0066057B">
            <w:pPr>
              <w:snapToGrid w:val="0"/>
              <w:spacing w:line="360" w:lineRule="auto"/>
              <w:jc w:val="center"/>
              <w:rPr>
                <w:rFonts w:ascii="Arial" w:eastAsia="Arial Unicode MS" w:hAnsi="Arial" w:cs="Arial"/>
                <w:color w:val="000000"/>
                <w:sz w:val="24"/>
                <w:szCs w:val="24"/>
              </w:rPr>
            </w:pPr>
          </w:p>
        </w:tc>
      </w:tr>
      <w:tr w:rsidR="00DB7DAC" w:rsidRPr="00DB7DAC" w:rsidTr="0066057B">
        <w:trPr>
          <w:trHeight w:val="315"/>
        </w:trPr>
        <w:tc>
          <w:tcPr>
            <w:tcW w:w="4600" w:type="dxa"/>
          </w:tcPr>
          <w:p w:rsidR="00DB7DAC" w:rsidRPr="00DB7DAC" w:rsidRDefault="00DB7DAC" w:rsidP="0066057B">
            <w:pPr>
              <w:snapToGrid w:val="0"/>
              <w:spacing w:line="360" w:lineRule="auto"/>
              <w:rPr>
                <w:rFonts w:ascii="Arial" w:hAnsi="Arial" w:cs="Arial"/>
                <w:color w:val="000000"/>
                <w:sz w:val="24"/>
                <w:szCs w:val="24"/>
              </w:rPr>
            </w:pPr>
            <w:r w:rsidRPr="00DB7DAC">
              <w:rPr>
                <w:rFonts w:ascii="Arial" w:hAnsi="Arial" w:cs="Arial"/>
                <w:color w:val="000000"/>
                <w:sz w:val="24"/>
                <w:szCs w:val="24"/>
              </w:rPr>
              <w:t>Indisponibles                       1.218.094</w:t>
            </w:r>
          </w:p>
        </w:tc>
        <w:tc>
          <w:tcPr>
            <w:tcW w:w="2320" w:type="dxa"/>
            <w:vAlign w:val="bottom"/>
          </w:tcPr>
          <w:p w:rsidR="00DB7DAC" w:rsidRPr="00DB7DAC" w:rsidRDefault="00DB7DAC" w:rsidP="0066057B">
            <w:pPr>
              <w:snapToGrid w:val="0"/>
              <w:spacing w:line="360" w:lineRule="auto"/>
              <w:jc w:val="center"/>
              <w:rPr>
                <w:rFonts w:ascii="Arial" w:hAnsi="Arial" w:cs="Arial"/>
                <w:color w:val="000000"/>
                <w:sz w:val="24"/>
                <w:szCs w:val="24"/>
                <w:u w:val="single"/>
              </w:rPr>
            </w:pPr>
            <w:r w:rsidRPr="00DB7DAC">
              <w:rPr>
                <w:rFonts w:ascii="Arial" w:hAnsi="Arial" w:cs="Arial"/>
                <w:color w:val="000000"/>
                <w:sz w:val="24"/>
                <w:szCs w:val="24"/>
                <w:u w:val="single"/>
              </w:rPr>
              <w:t xml:space="preserve">   (2.886.174)</w:t>
            </w:r>
          </w:p>
        </w:tc>
      </w:tr>
      <w:tr w:rsidR="00DB7DAC" w:rsidRPr="00DB7DAC" w:rsidTr="0066057B">
        <w:trPr>
          <w:trHeight w:val="315"/>
        </w:trPr>
        <w:tc>
          <w:tcPr>
            <w:tcW w:w="4600" w:type="dxa"/>
          </w:tcPr>
          <w:p w:rsidR="00DB7DAC" w:rsidRPr="00DB7DAC" w:rsidRDefault="00DB7DAC" w:rsidP="0066057B">
            <w:pPr>
              <w:snapToGrid w:val="0"/>
              <w:spacing w:line="360" w:lineRule="auto"/>
              <w:rPr>
                <w:rFonts w:ascii="Arial" w:hAnsi="Arial" w:cs="Arial"/>
                <w:color w:val="000000"/>
                <w:sz w:val="24"/>
                <w:szCs w:val="24"/>
              </w:rPr>
            </w:pPr>
            <w:r w:rsidRPr="00DB7DAC">
              <w:rPr>
                <w:rFonts w:ascii="Arial" w:hAnsi="Arial" w:cs="Arial"/>
                <w:color w:val="000000"/>
                <w:sz w:val="24"/>
                <w:szCs w:val="24"/>
              </w:rPr>
              <w:t>Saldo a favor de la Junta Departamental</w:t>
            </w:r>
          </w:p>
        </w:tc>
        <w:tc>
          <w:tcPr>
            <w:tcW w:w="2320" w:type="dxa"/>
            <w:vAlign w:val="bottom"/>
          </w:tcPr>
          <w:p w:rsidR="00DB7DAC" w:rsidRPr="00DB7DAC" w:rsidRDefault="00DB7DAC" w:rsidP="0066057B">
            <w:pPr>
              <w:snapToGrid w:val="0"/>
              <w:spacing w:line="360" w:lineRule="auto"/>
              <w:jc w:val="center"/>
              <w:rPr>
                <w:rFonts w:ascii="Arial" w:hAnsi="Arial" w:cs="Arial"/>
                <w:bCs/>
                <w:color w:val="000000"/>
                <w:sz w:val="24"/>
                <w:szCs w:val="24"/>
              </w:rPr>
            </w:pPr>
            <w:r w:rsidRPr="00DB7DAC">
              <w:rPr>
                <w:rFonts w:ascii="Arial" w:hAnsi="Arial" w:cs="Arial"/>
                <w:bCs/>
                <w:color w:val="000000"/>
                <w:sz w:val="24"/>
                <w:szCs w:val="24"/>
              </w:rPr>
              <w:t xml:space="preserve">  1.244.601  </w:t>
            </w:r>
          </w:p>
        </w:tc>
      </w:tr>
    </w:tbl>
    <w:p w:rsidR="00DB7DAC" w:rsidRPr="00DB7DAC" w:rsidRDefault="00DB7DAC" w:rsidP="00405272">
      <w:pPr>
        <w:spacing w:line="360" w:lineRule="auto"/>
        <w:ind w:left="720"/>
        <w:rPr>
          <w:rFonts w:ascii="Arial" w:hAnsi="Arial" w:cs="Arial"/>
          <w:b/>
          <w:sz w:val="24"/>
          <w:szCs w:val="24"/>
        </w:rPr>
      </w:pPr>
      <w:bookmarkStart w:id="2" w:name="_Toc390872933"/>
    </w:p>
    <w:p w:rsidR="00DB7DAC" w:rsidRPr="00DB7DAC" w:rsidRDefault="00DB7DAC" w:rsidP="00DB7DAC">
      <w:pPr>
        <w:numPr>
          <w:ilvl w:val="0"/>
          <w:numId w:val="4"/>
        </w:numPr>
        <w:spacing w:after="0" w:line="360" w:lineRule="auto"/>
        <w:rPr>
          <w:rFonts w:ascii="Arial" w:hAnsi="Arial" w:cs="Arial"/>
          <w:b/>
          <w:sz w:val="24"/>
          <w:szCs w:val="24"/>
        </w:rPr>
      </w:pPr>
      <w:r w:rsidRPr="00DB7DAC">
        <w:rPr>
          <w:rFonts w:ascii="Arial" w:hAnsi="Arial" w:cs="Arial"/>
          <w:b/>
          <w:sz w:val="24"/>
          <w:szCs w:val="24"/>
        </w:rPr>
        <w:t>Evaluación del control interno</w:t>
      </w:r>
    </w:p>
    <w:p w:rsidR="00DB7DAC" w:rsidRPr="00DB7DAC" w:rsidRDefault="00DB7DAC" w:rsidP="00405272">
      <w:pPr>
        <w:pStyle w:val="Textoindependiente"/>
        <w:rPr>
          <w:rFonts w:cs="Arial"/>
        </w:rPr>
      </w:pPr>
      <w:r w:rsidRPr="00DB7DAC">
        <w:rPr>
          <w:rFonts w:cs="Arial"/>
          <w:bCs/>
        </w:rPr>
        <w:t xml:space="preserve">El examen de los aspectos de control interno relevantes para la preparación y presentación razonable de </w:t>
      </w:r>
      <w:r w:rsidRPr="00DB7DAC">
        <w:rPr>
          <w:rFonts w:cs="Arial"/>
        </w:rPr>
        <w:t>la Rendición de Cuentas y Balance de Ejecución Presupuestal no permitió constatar debilidades.</w:t>
      </w:r>
    </w:p>
    <w:p w:rsidR="00DB7DAC" w:rsidRPr="00DB7DAC" w:rsidRDefault="00DB7DAC" w:rsidP="00DB7DAC">
      <w:pPr>
        <w:numPr>
          <w:ilvl w:val="0"/>
          <w:numId w:val="4"/>
        </w:numPr>
        <w:suppressAutoHyphens/>
        <w:spacing w:after="0" w:line="360" w:lineRule="auto"/>
        <w:rPr>
          <w:rFonts w:ascii="Arial" w:hAnsi="Arial" w:cs="Arial"/>
          <w:b/>
          <w:color w:val="000000"/>
          <w:sz w:val="24"/>
          <w:szCs w:val="24"/>
          <w:lang w:eastAsia="zh-CN"/>
        </w:rPr>
      </w:pPr>
      <w:r w:rsidRPr="00DB7DAC">
        <w:rPr>
          <w:rFonts w:ascii="Arial" w:hAnsi="Arial" w:cs="Arial"/>
          <w:b/>
          <w:color w:val="000000"/>
          <w:sz w:val="24"/>
          <w:szCs w:val="24"/>
          <w:lang w:eastAsia="zh-CN"/>
        </w:rPr>
        <w:t>Incumplimiento de disposiciones legales y reglamentarias</w:t>
      </w:r>
    </w:p>
    <w:bookmarkEnd w:id="2"/>
    <w:p w:rsidR="00DB7DAC" w:rsidRPr="00DB7DAC" w:rsidRDefault="00DB7DAC" w:rsidP="00405272">
      <w:pPr>
        <w:widowControl w:val="0"/>
        <w:spacing w:line="360" w:lineRule="auto"/>
        <w:jc w:val="both"/>
        <w:rPr>
          <w:rFonts w:ascii="Arial" w:hAnsi="Arial" w:cs="Arial"/>
          <w:kern w:val="18"/>
          <w:sz w:val="24"/>
          <w:szCs w:val="24"/>
          <w:lang w:val="es-ES_tradnl"/>
        </w:rPr>
      </w:pPr>
      <w:r w:rsidRPr="00DB7DAC">
        <w:rPr>
          <w:rFonts w:ascii="Arial" w:hAnsi="Arial" w:cs="Arial"/>
          <w:b/>
          <w:bCs/>
          <w:kern w:val="18"/>
          <w:sz w:val="24"/>
          <w:szCs w:val="24"/>
          <w:lang w:val="es-ES_tradnl"/>
        </w:rPr>
        <w:t xml:space="preserve">Resolución del Tribunal de Cuentas de 22/12/2010: </w:t>
      </w:r>
      <w:r w:rsidRPr="00DB7DAC">
        <w:rPr>
          <w:rFonts w:ascii="Arial" w:hAnsi="Arial" w:cs="Arial"/>
          <w:kern w:val="18"/>
          <w:sz w:val="24"/>
          <w:szCs w:val="24"/>
          <w:lang w:val="es-ES_tradnl"/>
        </w:rPr>
        <w:t>El reglamento de partidas para gastos de traslado, alimentación y alojamiento de la Junta Departamental no se ajusta a lo preceptuado en la Resolución del Tribunal de fecha 22/12/2010.</w:t>
      </w:r>
    </w:p>
    <w:p w:rsidR="00DB7DAC" w:rsidRPr="00DB7DAC" w:rsidRDefault="00DB7DAC" w:rsidP="00405272">
      <w:pPr>
        <w:spacing w:line="360" w:lineRule="auto"/>
        <w:jc w:val="both"/>
        <w:rPr>
          <w:rFonts w:ascii="Arial" w:hAnsi="Arial" w:cs="Arial"/>
          <w:color w:val="000000"/>
          <w:sz w:val="24"/>
          <w:szCs w:val="24"/>
        </w:rPr>
      </w:pPr>
      <w:r w:rsidRPr="00DB7DAC">
        <w:rPr>
          <w:rFonts w:ascii="Arial" w:hAnsi="Arial" w:cs="Arial"/>
          <w:color w:val="000000"/>
          <w:sz w:val="24"/>
          <w:szCs w:val="24"/>
        </w:rPr>
        <w:t xml:space="preserve">Los ediles, reciben viáticos para gastos, sujetos a rendición de cuentas según Resolución del Tribunal de Cuentas del año 2010, instrumentando una planilla para la rendición de los mismos, donde el Edil firma en carácter de Declaración Jurada. Hay gastos imputados al rubro </w:t>
      </w:r>
      <w:r w:rsidRPr="00DB7DAC">
        <w:rPr>
          <w:rFonts w:ascii="Arial" w:hAnsi="Arial" w:cs="Arial"/>
          <w:sz w:val="24"/>
          <w:szCs w:val="24"/>
        </w:rPr>
        <w:t xml:space="preserve">viáticos, en los que no hay coincidencia entre el lugar en que se efectuó el gasto y aquel al cual se trasladó el Edil, lo que no permite determinar que dichos gastos hayan sido incurridos como consecuencia del desarrollo de la función de Edil. </w:t>
      </w:r>
      <w:r w:rsidRPr="00DB7DAC">
        <w:rPr>
          <w:rFonts w:ascii="Arial" w:hAnsi="Arial" w:cs="Arial"/>
          <w:color w:val="000000"/>
          <w:sz w:val="24"/>
          <w:szCs w:val="24"/>
        </w:rPr>
        <w:t>Además de estos viáticos, los ediles reciben otros cuando concurren a misiones oficiales o eventos que organiza la Junta Departamental. En estos casos el Edil, no firma la Declaración Jurada ni pasa por la Comisión correspondiente, sino que rinde cuentas solo presentando boletas que firma el Ordenador de la Junta Departamental de Tacuarembó, de los gastos que realizaron en el viaje oficial.</w:t>
      </w:r>
    </w:p>
    <w:p w:rsidR="00DB7DAC" w:rsidRPr="00DB7DAC" w:rsidRDefault="00DB7DAC" w:rsidP="00405272">
      <w:pPr>
        <w:pStyle w:val="Ttulo2"/>
        <w:spacing w:before="0" w:line="360" w:lineRule="auto"/>
        <w:jc w:val="both"/>
        <w:rPr>
          <w:rFonts w:ascii="Arial" w:hAnsi="Arial" w:cs="Arial"/>
          <w:color w:val="auto"/>
          <w:sz w:val="24"/>
          <w:szCs w:val="24"/>
        </w:rPr>
      </w:pPr>
      <w:bookmarkStart w:id="3" w:name="_Toc390872943"/>
      <w:r w:rsidRPr="00DB7DAC">
        <w:rPr>
          <w:rFonts w:ascii="Arial" w:hAnsi="Arial" w:cs="Arial"/>
          <w:color w:val="auto"/>
          <w:sz w:val="24"/>
          <w:szCs w:val="24"/>
        </w:rPr>
        <w:t>4 - Recomendaciones</w:t>
      </w:r>
      <w:bookmarkEnd w:id="3"/>
    </w:p>
    <w:p w:rsidR="00DB7DAC" w:rsidRPr="00DB7DAC" w:rsidRDefault="00DB7DAC" w:rsidP="00405272">
      <w:pPr>
        <w:pStyle w:val="Ttulo2"/>
        <w:spacing w:before="0" w:line="360" w:lineRule="auto"/>
        <w:jc w:val="both"/>
        <w:rPr>
          <w:rFonts w:ascii="Arial" w:hAnsi="Arial" w:cs="Arial"/>
          <w:color w:val="auto"/>
          <w:sz w:val="24"/>
          <w:szCs w:val="24"/>
        </w:rPr>
      </w:pPr>
      <w:r w:rsidRPr="00DB7DAC">
        <w:rPr>
          <w:rFonts w:ascii="Arial" w:hAnsi="Arial" w:cs="Arial"/>
          <w:color w:val="auto"/>
          <w:sz w:val="24"/>
          <w:szCs w:val="24"/>
        </w:rPr>
        <w:t>4.1 Recomendaciones del ejercicio anterior:</w:t>
      </w:r>
    </w:p>
    <w:p w:rsidR="00DB7DAC" w:rsidRPr="00DB7DAC" w:rsidRDefault="00DB7DAC" w:rsidP="00405272">
      <w:pPr>
        <w:pStyle w:val="Ttulo2"/>
        <w:spacing w:before="0" w:line="360" w:lineRule="auto"/>
        <w:jc w:val="both"/>
        <w:rPr>
          <w:rFonts w:ascii="Arial" w:hAnsi="Arial" w:cs="Arial"/>
          <w:color w:val="auto"/>
          <w:sz w:val="24"/>
          <w:szCs w:val="24"/>
        </w:rPr>
      </w:pPr>
      <w:r w:rsidRPr="00DB7DAC">
        <w:rPr>
          <w:rFonts w:ascii="Arial" w:hAnsi="Arial" w:cs="Arial"/>
          <w:color w:val="auto"/>
          <w:sz w:val="24"/>
          <w:szCs w:val="24"/>
        </w:rPr>
        <w:t>4.1.1 Cumplidas</w:t>
      </w:r>
    </w:p>
    <w:p w:rsidR="00DB7DAC" w:rsidRPr="00DB7DAC" w:rsidRDefault="00DB7DAC" w:rsidP="00405272">
      <w:pPr>
        <w:spacing w:line="360" w:lineRule="auto"/>
        <w:jc w:val="both"/>
        <w:rPr>
          <w:rFonts w:ascii="Arial" w:hAnsi="Arial" w:cs="Arial"/>
          <w:sz w:val="24"/>
          <w:szCs w:val="24"/>
        </w:rPr>
      </w:pPr>
      <w:bookmarkStart w:id="4" w:name="_Toc390872950"/>
      <w:r w:rsidRPr="00DB7DAC">
        <w:rPr>
          <w:rFonts w:ascii="Arial" w:hAnsi="Arial" w:cs="Arial"/>
          <w:b/>
          <w:bCs/>
          <w:sz w:val="24"/>
          <w:szCs w:val="24"/>
        </w:rPr>
        <w:t>Artículo 15 del TOCAF:</w:t>
      </w:r>
      <w:r w:rsidRPr="00DB7DAC">
        <w:rPr>
          <w:rFonts w:ascii="Arial" w:hAnsi="Arial" w:cs="Arial"/>
          <w:sz w:val="24"/>
          <w:szCs w:val="24"/>
        </w:rPr>
        <w:t xml:space="preserve"> En el ejercicio 2017, no se realizaron gastos sin contar con la disponibilidad presupuestal correspondiente.</w:t>
      </w:r>
    </w:p>
    <w:p w:rsidR="00DB7DAC" w:rsidRPr="00DB7DAC" w:rsidRDefault="00DB7DAC" w:rsidP="007957D9">
      <w:pPr>
        <w:suppressAutoHyphens/>
        <w:spacing w:line="360" w:lineRule="auto"/>
        <w:rPr>
          <w:rFonts w:ascii="Arial" w:eastAsia="Arial Unicode MS" w:hAnsi="Arial" w:cs="Arial"/>
          <w:b/>
          <w:bCs/>
          <w:noProof/>
          <w:color w:val="000000"/>
          <w:sz w:val="24"/>
          <w:szCs w:val="24"/>
          <w:lang w:val="es-MX" w:eastAsia="zh-CN"/>
        </w:rPr>
      </w:pPr>
      <w:r w:rsidRPr="00DB7DAC">
        <w:rPr>
          <w:rFonts w:ascii="Arial" w:hAnsi="Arial" w:cs="Arial"/>
          <w:b/>
          <w:sz w:val="24"/>
          <w:szCs w:val="24"/>
        </w:rPr>
        <w:t>4.</w:t>
      </w:r>
      <w:r w:rsidRPr="00DB7DAC">
        <w:rPr>
          <w:rFonts w:ascii="Arial" w:eastAsia="Arial Unicode MS" w:hAnsi="Arial" w:cs="Arial"/>
          <w:b/>
          <w:bCs/>
          <w:noProof/>
          <w:color w:val="000000"/>
          <w:sz w:val="24"/>
          <w:szCs w:val="24"/>
          <w:lang w:val="es-MX" w:eastAsia="zh-CN"/>
        </w:rPr>
        <w:t xml:space="preserve">1.2 </w:t>
      </w:r>
      <w:bookmarkStart w:id="5" w:name="_Toc267318802"/>
      <w:r w:rsidRPr="00DB7DAC">
        <w:rPr>
          <w:rFonts w:ascii="Arial" w:eastAsia="Arial Unicode MS" w:hAnsi="Arial" w:cs="Arial"/>
          <w:b/>
          <w:bCs/>
          <w:noProof/>
          <w:color w:val="000000"/>
          <w:sz w:val="24"/>
          <w:szCs w:val="24"/>
          <w:lang w:val="es-MX" w:eastAsia="zh-CN"/>
        </w:rPr>
        <w:t>No cumplidas</w:t>
      </w:r>
      <w:bookmarkEnd w:id="5"/>
    </w:p>
    <w:p w:rsidR="00DB7DAC" w:rsidRPr="00DB7DAC" w:rsidRDefault="00DB7DAC" w:rsidP="007957D9">
      <w:pPr>
        <w:spacing w:line="360" w:lineRule="auto"/>
        <w:jc w:val="both"/>
        <w:rPr>
          <w:rFonts w:ascii="Arial" w:hAnsi="Arial" w:cs="Arial"/>
          <w:sz w:val="24"/>
          <w:szCs w:val="24"/>
        </w:rPr>
      </w:pPr>
      <w:bookmarkStart w:id="6" w:name="_Toc390872945"/>
      <w:bookmarkEnd w:id="4"/>
      <w:r w:rsidRPr="00DB7DAC">
        <w:rPr>
          <w:rFonts w:ascii="Arial" w:hAnsi="Arial" w:cs="Arial"/>
          <w:sz w:val="24"/>
          <w:szCs w:val="24"/>
        </w:rPr>
        <w:t>La Junta no ha implementado medidas correctivas respecto a los siguientes     aspectos:</w:t>
      </w:r>
    </w:p>
    <w:p w:rsidR="00DB7DAC" w:rsidRPr="00DB7DAC" w:rsidRDefault="00DB7DAC" w:rsidP="001C3A85">
      <w:pPr>
        <w:spacing w:line="360" w:lineRule="auto"/>
        <w:jc w:val="both"/>
        <w:outlineLvl w:val="1"/>
        <w:rPr>
          <w:rFonts w:ascii="Arial" w:hAnsi="Arial" w:cs="Arial"/>
          <w:kern w:val="18"/>
          <w:sz w:val="24"/>
          <w:szCs w:val="24"/>
        </w:rPr>
      </w:pPr>
      <w:r w:rsidRPr="00DB7DAC">
        <w:rPr>
          <w:rFonts w:ascii="Arial" w:hAnsi="Arial" w:cs="Arial"/>
          <w:b/>
          <w:kern w:val="18"/>
          <w:sz w:val="24"/>
          <w:szCs w:val="24"/>
        </w:rPr>
        <w:t xml:space="preserve">4.1.2.1 Artículo 102 numeral 3º TOCAF: </w:t>
      </w:r>
      <w:r w:rsidRPr="00DB7DAC">
        <w:rPr>
          <w:rFonts w:ascii="Arial" w:hAnsi="Arial" w:cs="Arial"/>
          <w:kern w:val="18"/>
          <w:sz w:val="24"/>
          <w:szCs w:val="24"/>
        </w:rPr>
        <w:t>La Junta deberá realizar la imputación previa al objeto correspondiente  de los gastos autorizados en el ejercicio.</w:t>
      </w:r>
    </w:p>
    <w:p w:rsidR="00DB7DAC" w:rsidRPr="00DB7DAC" w:rsidRDefault="00DB7DAC" w:rsidP="00405272">
      <w:pPr>
        <w:spacing w:line="360" w:lineRule="auto"/>
        <w:jc w:val="both"/>
        <w:outlineLvl w:val="1"/>
        <w:rPr>
          <w:rFonts w:ascii="Arial" w:hAnsi="Arial" w:cs="Arial"/>
          <w:sz w:val="24"/>
          <w:szCs w:val="24"/>
          <w:lang w:val="es-ES_tradnl"/>
        </w:rPr>
      </w:pPr>
      <w:r w:rsidRPr="00DB7DAC">
        <w:rPr>
          <w:rFonts w:ascii="Arial" w:hAnsi="Arial" w:cs="Arial"/>
          <w:b/>
          <w:kern w:val="18"/>
          <w:sz w:val="24"/>
          <w:szCs w:val="24"/>
        </w:rPr>
        <w:t xml:space="preserve">4.1.2.2 </w:t>
      </w:r>
      <w:proofErr w:type="spellStart"/>
      <w:r w:rsidRPr="00DB7DAC">
        <w:rPr>
          <w:rFonts w:ascii="Arial" w:hAnsi="Arial" w:cs="Arial"/>
          <w:b/>
          <w:kern w:val="18"/>
          <w:sz w:val="24"/>
          <w:szCs w:val="24"/>
        </w:rPr>
        <w:t>Circularización</w:t>
      </w:r>
      <w:proofErr w:type="spellEnd"/>
      <w:r w:rsidRPr="00DB7DAC">
        <w:rPr>
          <w:rFonts w:ascii="Arial" w:hAnsi="Arial" w:cs="Arial"/>
          <w:b/>
          <w:kern w:val="18"/>
          <w:sz w:val="24"/>
          <w:szCs w:val="24"/>
        </w:rPr>
        <w:t xml:space="preserve"> a proveedores: </w:t>
      </w:r>
      <w:r w:rsidRPr="00DB7DAC">
        <w:rPr>
          <w:rFonts w:ascii="Arial" w:hAnsi="Arial" w:cs="Arial"/>
          <w:sz w:val="24"/>
          <w:szCs w:val="24"/>
          <w:lang w:val="es-ES_tradnl"/>
        </w:rPr>
        <w:t xml:space="preserve">El Legislativo Departamental deberá implementar como práctica habitual la </w:t>
      </w:r>
      <w:proofErr w:type="spellStart"/>
      <w:r w:rsidRPr="00DB7DAC">
        <w:rPr>
          <w:rFonts w:ascii="Arial" w:hAnsi="Arial" w:cs="Arial"/>
          <w:sz w:val="24"/>
          <w:szCs w:val="24"/>
          <w:lang w:val="es-ES_tradnl"/>
        </w:rPr>
        <w:t>circularización</w:t>
      </w:r>
      <w:proofErr w:type="spellEnd"/>
      <w:r w:rsidRPr="00DB7DAC">
        <w:rPr>
          <w:rFonts w:ascii="Arial" w:hAnsi="Arial" w:cs="Arial"/>
          <w:sz w:val="24"/>
          <w:szCs w:val="24"/>
          <w:lang w:val="es-ES_tradnl"/>
        </w:rPr>
        <w:t xml:space="preserve"> a los proveedores para corregir los casos en los que existan errores o diferencias.</w:t>
      </w:r>
    </w:p>
    <w:bookmarkEnd w:id="6"/>
    <w:p w:rsidR="00DB7DAC" w:rsidRPr="00DB7DAC" w:rsidRDefault="00DB7DAC" w:rsidP="00405272">
      <w:pPr>
        <w:spacing w:line="360" w:lineRule="auto"/>
        <w:rPr>
          <w:rFonts w:ascii="Arial" w:hAnsi="Arial" w:cs="Arial"/>
          <w:b/>
          <w:bCs/>
          <w:sz w:val="24"/>
          <w:szCs w:val="24"/>
        </w:rPr>
      </w:pPr>
      <w:r w:rsidRPr="00DB7DAC">
        <w:rPr>
          <w:rFonts w:ascii="Arial" w:hAnsi="Arial" w:cs="Arial"/>
          <w:b/>
          <w:sz w:val="24"/>
          <w:szCs w:val="24"/>
        </w:rPr>
        <w:t>4.</w:t>
      </w:r>
      <w:r w:rsidRPr="00DB7DAC">
        <w:rPr>
          <w:rFonts w:ascii="Arial" w:hAnsi="Arial" w:cs="Arial"/>
          <w:b/>
          <w:bCs/>
          <w:sz w:val="24"/>
          <w:szCs w:val="24"/>
        </w:rPr>
        <w:t>2. Recomendaciones del presente ejercicio.</w:t>
      </w:r>
    </w:p>
    <w:p w:rsidR="00DB7DAC" w:rsidRPr="00DB7DAC" w:rsidRDefault="00DB7DAC" w:rsidP="00405272">
      <w:pPr>
        <w:suppressAutoHyphens/>
        <w:spacing w:line="360" w:lineRule="auto"/>
        <w:jc w:val="both"/>
        <w:rPr>
          <w:rFonts w:ascii="Arial" w:hAnsi="Arial" w:cs="Arial"/>
          <w:color w:val="000000"/>
          <w:sz w:val="24"/>
          <w:szCs w:val="24"/>
          <w:lang w:eastAsia="zh-CN"/>
        </w:rPr>
      </w:pPr>
      <w:r w:rsidRPr="00DB7DAC">
        <w:rPr>
          <w:rFonts w:ascii="Arial" w:hAnsi="Arial" w:cs="Arial"/>
          <w:color w:val="000000"/>
          <w:sz w:val="24"/>
          <w:szCs w:val="24"/>
          <w:lang w:eastAsia="zh-CN"/>
        </w:rPr>
        <w:t xml:space="preserve">Se reiteran las recomendaciones </w:t>
      </w:r>
      <w:r w:rsidRPr="00DB7DAC">
        <w:rPr>
          <w:rFonts w:ascii="Arial" w:hAnsi="Arial" w:cs="Arial"/>
          <w:sz w:val="24"/>
          <w:szCs w:val="24"/>
        </w:rPr>
        <w:t xml:space="preserve">no cumplidas de ejercicios anteriores, a las que se agregan </w:t>
      </w:r>
      <w:r w:rsidR="00E0442B">
        <w:rPr>
          <w:rFonts w:ascii="Arial" w:hAnsi="Arial" w:cs="Arial"/>
          <w:color w:val="000000"/>
          <w:sz w:val="24"/>
          <w:szCs w:val="24"/>
          <w:lang w:eastAsia="zh-CN"/>
        </w:rPr>
        <w:t xml:space="preserve"> las siguientes:</w:t>
      </w:r>
    </w:p>
    <w:p w:rsidR="00DB7DAC" w:rsidRPr="00DB7DAC" w:rsidRDefault="00DB7DAC" w:rsidP="00405272">
      <w:pPr>
        <w:spacing w:line="360" w:lineRule="auto"/>
        <w:jc w:val="both"/>
        <w:outlineLvl w:val="1"/>
        <w:rPr>
          <w:rFonts w:ascii="Arial" w:hAnsi="Arial" w:cs="Arial"/>
          <w:kern w:val="18"/>
          <w:sz w:val="24"/>
          <w:szCs w:val="24"/>
          <w:lang w:val="es-ES_tradnl"/>
        </w:rPr>
      </w:pPr>
      <w:r w:rsidRPr="00DB7DAC">
        <w:rPr>
          <w:rFonts w:ascii="Arial" w:hAnsi="Arial" w:cs="Arial"/>
          <w:b/>
          <w:kern w:val="18"/>
          <w:sz w:val="24"/>
          <w:szCs w:val="24"/>
        </w:rPr>
        <w:t xml:space="preserve">4.2.1 Resolución del Tribunal de Cuentas de 28/01/04: </w:t>
      </w:r>
      <w:r w:rsidRPr="00DB7DAC">
        <w:rPr>
          <w:rFonts w:ascii="Arial" w:hAnsi="Arial" w:cs="Arial"/>
          <w:sz w:val="24"/>
          <w:szCs w:val="24"/>
          <w:lang w:val="es-ES_tradnl"/>
        </w:rPr>
        <w:t>La Junta Departamental deberá ajustar la forma de presentación del Cuadro 3.8</w:t>
      </w:r>
      <w:r w:rsidRPr="00DB7DAC">
        <w:rPr>
          <w:rFonts w:ascii="Arial" w:hAnsi="Arial" w:cs="Arial"/>
          <w:kern w:val="18"/>
          <w:sz w:val="24"/>
          <w:szCs w:val="24"/>
          <w:lang w:val="es-ES_tradnl"/>
        </w:rPr>
        <w:t xml:space="preserve"> “Evolución de obligaciones presupuestales impagas y detalle de obligaciones presupuestales impagas” a lo establecido por esta Resolución.</w:t>
      </w:r>
    </w:p>
    <w:p w:rsidR="00DB7DAC" w:rsidRPr="00DB7DAC" w:rsidRDefault="00DB7DAC" w:rsidP="001C3A85">
      <w:pPr>
        <w:spacing w:line="360" w:lineRule="auto"/>
        <w:jc w:val="both"/>
        <w:rPr>
          <w:rFonts w:ascii="Arial" w:hAnsi="Arial" w:cs="Arial"/>
          <w:color w:val="000000"/>
          <w:sz w:val="24"/>
          <w:szCs w:val="24"/>
        </w:rPr>
      </w:pPr>
      <w:r w:rsidRPr="00DB7DAC">
        <w:rPr>
          <w:rFonts w:ascii="Arial" w:hAnsi="Arial" w:cs="Arial"/>
          <w:b/>
          <w:sz w:val="24"/>
          <w:szCs w:val="24"/>
        </w:rPr>
        <w:t xml:space="preserve">4.2.2 Ordenanza Nº 65 del Tribunal de Cuentas: </w:t>
      </w:r>
      <w:r w:rsidRPr="00DB7DAC">
        <w:rPr>
          <w:rFonts w:ascii="Arial" w:hAnsi="Arial" w:cs="Arial"/>
          <w:color w:val="000000"/>
          <w:sz w:val="24"/>
          <w:szCs w:val="24"/>
        </w:rPr>
        <w:t>La Junta debe autorizar la reposición de Fondo Fijo previa intervención del Contador Delegado.</w:t>
      </w:r>
    </w:p>
    <w:p w:rsidR="00DB7DAC" w:rsidRPr="00DB7DAC" w:rsidRDefault="00DB7DAC" w:rsidP="001C3A85">
      <w:pPr>
        <w:spacing w:line="360" w:lineRule="auto"/>
        <w:jc w:val="both"/>
        <w:rPr>
          <w:rFonts w:ascii="Arial" w:hAnsi="Arial" w:cs="Arial"/>
          <w:sz w:val="24"/>
          <w:szCs w:val="24"/>
        </w:rPr>
      </w:pPr>
      <w:r w:rsidRPr="00DB7DAC">
        <w:rPr>
          <w:rFonts w:ascii="Arial" w:hAnsi="Arial" w:cs="Arial"/>
          <w:b/>
          <w:kern w:val="18"/>
          <w:sz w:val="24"/>
          <w:szCs w:val="24"/>
        </w:rPr>
        <w:t xml:space="preserve">4.2.3 Arqueos </w:t>
      </w:r>
      <w:r w:rsidRPr="00DB7DAC">
        <w:rPr>
          <w:rFonts w:ascii="Arial" w:hAnsi="Arial" w:cs="Arial"/>
          <w:kern w:val="18"/>
          <w:sz w:val="24"/>
          <w:szCs w:val="24"/>
        </w:rPr>
        <w:t>A efectos de dar cumplimiento a lo dispuesto por el Artículo 119 del TOCAF, la Junta Departamental deberá incrementar la periodicidad de la realización de l</w:t>
      </w:r>
      <w:r w:rsidR="00E0442B">
        <w:rPr>
          <w:rFonts w:ascii="Arial" w:hAnsi="Arial" w:cs="Arial"/>
          <w:kern w:val="18"/>
          <w:sz w:val="24"/>
          <w:szCs w:val="24"/>
        </w:rPr>
        <w:t>os arqueos de fondos y valores.</w:t>
      </w:r>
    </w:p>
    <w:p w:rsidR="00DB7DAC" w:rsidRPr="00DB7DAC" w:rsidRDefault="00DB7DAC" w:rsidP="006D3B27">
      <w:pPr>
        <w:pStyle w:val="Textoindependiente"/>
        <w:ind w:left="3402" w:firstLine="426"/>
        <w:rPr>
          <w:rFonts w:cs="Arial"/>
        </w:rPr>
      </w:pPr>
      <w:r w:rsidRPr="00DB7DAC">
        <w:rPr>
          <w:rFonts w:cs="Arial"/>
        </w:rPr>
        <w:t xml:space="preserve">             Montevideo, 10 de octubre de 2018</w:t>
      </w:r>
    </w:p>
    <w:p w:rsidR="00DB7DAC" w:rsidRPr="00DB7DAC" w:rsidRDefault="00DB7DAC" w:rsidP="006D3B27">
      <w:pPr>
        <w:pStyle w:val="Textoindependiente"/>
        <w:ind w:left="3402" w:firstLine="426"/>
        <w:rPr>
          <w:rFonts w:cs="Arial"/>
        </w:rPr>
      </w:pPr>
    </w:p>
    <w:p w:rsidR="00DB7DAC" w:rsidRPr="00DB7DAC" w:rsidRDefault="00DB7DAC" w:rsidP="00DB7DAC">
      <w:pPr>
        <w:pStyle w:val="Textoindependiente"/>
        <w:jc w:val="left"/>
        <w:rPr>
          <w:rFonts w:cs="Arial"/>
        </w:rPr>
      </w:pPr>
      <w:proofErr w:type="spellStart"/>
      <w:proofErr w:type="gramStart"/>
      <w:r w:rsidRPr="00DB7DAC">
        <w:rPr>
          <w:rFonts w:cs="Arial"/>
        </w:rPr>
        <w:t>cr</w:t>
      </w:r>
      <w:proofErr w:type="spellEnd"/>
      <w:proofErr w:type="gramEnd"/>
    </w:p>
    <w:sectPr w:rsidR="00DB7DAC" w:rsidRPr="00DB7DAC" w:rsidSect="0017354A">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F3748"/>
    <w:multiLevelType w:val="hybridMultilevel"/>
    <w:tmpl w:val="FA9254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3695426"/>
    <w:multiLevelType w:val="hybridMultilevel"/>
    <w:tmpl w:val="B98A5228"/>
    <w:lvl w:ilvl="0" w:tplc="1E1A3590">
      <w:start w:val="1"/>
      <w:numFmt w:val="decimal"/>
      <w:lvlText w:val="%1)"/>
      <w:lvlJc w:val="left"/>
      <w:pPr>
        <w:ind w:left="360" w:hanging="360"/>
      </w:pPr>
      <w:rPr>
        <w:rFonts w:hint="default"/>
        <w:b/>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2">
    <w:nsid w:val="1B9D015F"/>
    <w:multiLevelType w:val="hybridMultilevel"/>
    <w:tmpl w:val="1D12859C"/>
    <w:lvl w:ilvl="0" w:tplc="A8BA895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4A84019"/>
    <w:multiLevelType w:val="hybridMultilevel"/>
    <w:tmpl w:val="D562B6CA"/>
    <w:lvl w:ilvl="0" w:tplc="DF3CAEE0">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17A"/>
    <w:rsid w:val="00080F21"/>
    <w:rsid w:val="0017354A"/>
    <w:rsid w:val="001D4404"/>
    <w:rsid w:val="002066AF"/>
    <w:rsid w:val="00213C08"/>
    <w:rsid w:val="002F69C6"/>
    <w:rsid w:val="003255F4"/>
    <w:rsid w:val="0033211D"/>
    <w:rsid w:val="00385933"/>
    <w:rsid w:val="003B337B"/>
    <w:rsid w:val="00414A4C"/>
    <w:rsid w:val="004C6ACD"/>
    <w:rsid w:val="004E017A"/>
    <w:rsid w:val="0052632E"/>
    <w:rsid w:val="00530F31"/>
    <w:rsid w:val="005A1C04"/>
    <w:rsid w:val="005D6B7A"/>
    <w:rsid w:val="005E6BBE"/>
    <w:rsid w:val="00662E8F"/>
    <w:rsid w:val="006650A9"/>
    <w:rsid w:val="00690999"/>
    <w:rsid w:val="006A71A6"/>
    <w:rsid w:val="006C362A"/>
    <w:rsid w:val="00711536"/>
    <w:rsid w:val="00866D8D"/>
    <w:rsid w:val="008F7831"/>
    <w:rsid w:val="00904FD6"/>
    <w:rsid w:val="00960E31"/>
    <w:rsid w:val="009734D5"/>
    <w:rsid w:val="00995888"/>
    <w:rsid w:val="00A52EC0"/>
    <w:rsid w:val="00A66626"/>
    <w:rsid w:val="00A73428"/>
    <w:rsid w:val="00AE072A"/>
    <w:rsid w:val="00C17C0F"/>
    <w:rsid w:val="00C50CFE"/>
    <w:rsid w:val="00C65B3F"/>
    <w:rsid w:val="00C9376F"/>
    <w:rsid w:val="00CA53DF"/>
    <w:rsid w:val="00CF09E9"/>
    <w:rsid w:val="00DB7DAC"/>
    <w:rsid w:val="00E0442B"/>
    <w:rsid w:val="00E20400"/>
    <w:rsid w:val="00FA104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DB7DAC"/>
    <w:pPr>
      <w:keepNext/>
      <w:spacing w:after="0" w:line="360" w:lineRule="auto"/>
      <w:outlineLvl w:val="0"/>
    </w:pPr>
    <w:rPr>
      <w:rFonts w:ascii="Arial" w:eastAsia="Times New Roman" w:hAnsi="Arial" w:cs="Arial"/>
      <w:b/>
      <w:bCs/>
      <w:color w:val="000000"/>
      <w:sz w:val="24"/>
      <w:szCs w:val="24"/>
      <w:lang w:val="es-ES" w:eastAsia="es-ES"/>
    </w:rPr>
  </w:style>
  <w:style w:type="paragraph" w:styleId="Ttulo2">
    <w:name w:val="heading 2"/>
    <w:basedOn w:val="Normal"/>
    <w:next w:val="Normal"/>
    <w:link w:val="Ttulo2Car"/>
    <w:uiPriority w:val="9"/>
    <w:unhideWhenUsed/>
    <w:qFormat/>
    <w:rsid w:val="00DB7DAC"/>
    <w:pPr>
      <w:keepNext/>
      <w:keepLines/>
      <w:spacing w:before="200" w:after="0" w:line="240" w:lineRule="auto"/>
      <w:outlineLvl w:val="1"/>
    </w:pPr>
    <w:rPr>
      <w:rFonts w:ascii="Cambria" w:eastAsia="Times New Roman" w:hAnsi="Cambria" w:cs="Times New Roman"/>
      <w:b/>
      <w:bCs/>
      <w:color w:val="4F81BD"/>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A53DF"/>
    <w:pPr>
      <w:ind w:left="720"/>
      <w:contextualSpacing/>
    </w:pPr>
  </w:style>
  <w:style w:type="character" w:customStyle="1" w:styleId="Ttulo1Car">
    <w:name w:val="Título 1 Car"/>
    <w:basedOn w:val="Fuentedeprrafopredeter"/>
    <w:link w:val="Ttulo1"/>
    <w:rsid w:val="00DB7DAC"/>
    <w:rPr>
      <w:rFonts w:ascii="Arial" w:eastAsia="Times New Roman" w:hAnsi="Arial" w:cs="Arial"/>
      <w:b/>
      <w:bCs/>
      <w:color w:val="000000"/>
      <w:sz w:val="24"/>
      <w:szCs w:val="24"/>
      <w:lang w:val="es-ES" w:eastAsia="es-ES"/>
    </w:rPr>
  </w:style>
  <w:style w:type="character" w:customStyle="1" w:styleId="Ttulo2Car">
    <w:name w:val="Título 2 Car"/>
    <w:basedOn w:val="Fuentedeprrafopredeter"/>
    <w:link w:val="Ttulo2"/>
    <w:uiPriority w:val="9"/>
    <w:rsid w:val="00DB7DAC"/>
    <w:rPr>
      <w:rFonts w:ascii="Cambria" w:eastAsia="Times New Roman" w:hAnsi="Cambria" w:cs="Times New Roman"/>
      <w:b/>
      <w:bCs/>
      <w:color w:val="4F81BD"/>
      <w:sz w:val="26"/>
      <w:szCs w:val="26"/>
      <w:lang w:val="es-ES" w:eastAsia="es-ES"/>
    </w:rPr>
  </w:style>
  <w:style w:type="paragraph" w:styleId="Textoindependiente">
    <w:name w:val="Body Text"/>
    <w:basedOn w:val="Normal"/>
    <w:link w:val="TextoindependienteCar"/>
    <w:semiHidden/>
    <w:rsid w:val="00DB7DAC"/>
    <w:pPr>
      <w:spacing w:after="0" w:line="36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semiHidden/>
    <w:rsid w:val="00DB7DAC"/>
    <w:rPr>
      <w:rFonts w:ascii="Arial" w:eastAsia="Times New Roman" w:hAnsi="Arial"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DB7DAC"/>
    <w:pPr>
      <w:keepNext/>
      <w:spacing w:after="0" w:line="360" w:lineRule="auto"/>
      <w:outlineLvl w:val="0"/>
    </w:pPr>
    <w:rPr>
      <w:rFonts w:ascii="Arial" w:eastAsia="Times New Roman" w:hAnsi="Arial" w:cs="Arial"/>
      <w:b/>
      <w:bCs/>
      <w:color w:val="000000"/>
      <w:sz w:val="24"/>
      <w:szCs w:val="24"/>
      <w:lang w:val="es-ES" w:eastAsia="es-ES"/>
    </w:rPr>
  </w:style>
  <w:style w:type="paragraph" w:styleId="Ttulo2">
    <w:name w:val="heading 2"/>
    <w:basedOn w:val="Normal"/>
    <w:next w:val="Normal"/>
    <w:link w:val="Ttulo2Car"/>
    <w:uiPriority w:val="9"/>
    <w:unhideWhenUsed/>
    <w:qFormat/>
    <w:rsid w:val="00DB7DAC"/>
    <w:pPr>
      <w:keepNext/>
      <w:keepLines/>
      <w:spacing w:before="200" w:after="0" w:line="240" w:lineRule="auto"/>
      <w:outlineLvl w:val="1"/>
    </w:pPr>
    <w:rPr>
      <w:rFonts w:ascii="Cambria" w:eastAsia="Times New Roman" w:hAnsi="Cambria" w:cs="Times New Roman"/>
      <w:b/>
      <w:bCs/>
      <w:color w:val="4F81BD"/>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A53DF"/>
    <w:pPr>
      <w:ind w:left="720"/>
      <w:contextualSpacing/>
    </w:pPr>
  </w:style>
  <w:style w:type="character" w:customStyle="1" w:styleId="Ttulo1Car">
    <w:name w:val="Título 1 Car"/>
    <w:basedOn w:val="Fuentedeprrafopredeter"/>
    <w:link w:val="Ttulo1"/>
    <w:rsid w:val="00DB7DAC"/>
    <w:rPr>
      <w:rFonts w:ascii="Arial" w:eastAsia="Times New Roman" w:hAnsi="Arial" w:cs="Arial"/>
      <w:b/>
      <w:bCs/>
      <w:color w:val="000000"/>
      <w:sz w:val="24"/>
      <w:szCs w:val="24"/>
      <w:lang w:val="es-ES" w:eastAsia="es-ES"/>
    </w:rPr>
  </w:style>
  <w:style w:type="character" w:customStyle="1" w:styleId="Ttulo2Car">
    <w:name w:val="Título 2 Car"/>
    <w:basedOn w:val="Fuentedeprrafopredeter"/>
    <w:link w:val="Ttulo2"/>
    <w:uiPriority w:val="9"/>
    <w:rsid w:val="00DB7DAC"/>
    <w:rPr>
      <w:rFonts w:ascii="Cambria" w:eastAsia="Times New Roman" w:hAnsi="Cambria" w:cs="Times New Roman"/>
      <w:b/>
      <w:bCs/>
      <w:color w:val="4F81BD"/>
      <w:sz w:val="26"/>
      <w:szCs w:val="26"/>
      <w:lang w:val="es-ES" w:eastAsia="es-ES"/>
    </w:rPr>
  </w:style>
  <w:style w:type="paragraph" w:styleId="Textoindependiente">
    <w:name w:val="Body Text"/>
    <w:basedOn w:val="Normal"/>
    <w:link w:val="TextoindependienteCar"/>
    <w:semiHidden/>
    <w:rsid w:val="00DB7DAC"/>
    <w:pPr>
      <w:spacing w:after="0" w:line="36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semiHidden/>
    <w:rsid w:val="00DB7DAC"/>
    <w:rPr>
      <w:rFonts w:ascii="Arial" w:eastAsia="Times New Roman" w:hAnsi="Arial"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1852</Words>
  <Characters>10191</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12495209</dc:creator>
  <cp:lastModifiedBy>Tribunal1</cp:lastModifiedBy>
  <cp:revision>5</cp:revision>
  <cp:lastPrinted>2018-10-12T17:51:00Z</cp:lastPrinted>
  <dcterms:created xsi:type="dcterms:W3CDTF">2018-10-12T17:52:00Z</dcterms:created>
  <dcterms:modified xsi:type="dcterms:W3CDTF">2018-11-20T14:56:00Z</dcterms:modified>
</cp:coreProperties>
</file>