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4F" w:rsidRPr="00FD0D4F" w:rsidRDefault="00FD0D4F" w:rsidP="00786EEB">
      <w:pPr>
        <w:tabs>
          <w:tab w:val="center" w:pos="4253"/>
        </w:tabs>
        <w:suppressAutoHyphens/>
        <w:jc w:val="right"/>
        <w:rPr>
          <w:rFonts w:ascii="Arial" w:hAnsi="Arial" w:cs="Arial"/>
          <w:sz w:val="28"/>
          <w:szCs w:val="28"/>
          <w:lang w:val="es-ES_tradnl"/>
        </w:rPr>
      </w:pPr>
      <w:r w:rsidRPr="00FD0D4F">
        <w:rPr>
          <w:rFonts w:ascii="Arial" w:hAnsi="Arial" w:cs="Arial"/>
          <w:sz w:val="28"/>
          <w:szCs w:val="28"/>
          <w:lang w:val="es-ES_tradnl"/>
        </w:rPr>
        <w:t xml:space="preserve">RES. </w:t>
      </w:r>
      <w:r>
        <w:rPr>
          <w:rFonts w:ascii="Arial" w:hAnsi="Arial" w:cs="Arial"/>
          <w:sz w:val="28"/>
          <w:szCs w:val="28"/>
          <w:lang w:val="es-ES_tradnl"/>
        </w:rPr>
        <w:t>3154</w:t>
      </w:r>
      <w:r w:rsidRPr="00FD0D4F">
        <w:rPr>
          <w:rFonts w:ascii="Arial" w:hAnsi="Arial" w:cs="Arial"/>
          <w:sz w:val="28"/>
          <w:szCs w:val="28"/>
          <w:lang w:val="es-ES_tradnl"/>
        </w:rPr>
        <w:t>/18</w:t>
      </w:r>
    </w:p>
    <w:p w:rsidR="00FD0D4F" w:rsidRPr="00FD0D4F" w:rsidRDefault="00FD0D4F" w:rsidP="00786EEB">
      <w:pPr>
        <w:tabs>
          <w:tab w:val="center" w:pos="4253"/>
        </w:tabs>
        <w:suppressAutoHyphens/>
        <w:jc w:val="right"/>
        <w:rPr>
          <w:rFonts w:ascii="Arial" w:hAnsi="Arial" w:cs="Arial"/>
          <w:lang w:val="es-ES_tradnl"/>
        </w:rPr>
      </w:pPr>
    </w:p>
    <w:p w:rsidR="00FD0D4F" w:rsidRPr="00FD0D4F" w:rsidRDefault="00FD0D4F">
      <w:pPr>
        <w:tabs>
          <w:tab w:val="center" w:pos="4253"/>
        </w:tabs>
        <w:suppressAutoHyphens/>
        <w:jc w:val="center"/>
        <w:rPr>
          <w:rFonts w:ascii="Arial" w:hAnsi="Arial" w:cs="Arial"/>
          <w:lang w:val="es-ES_tradnl"/>
        </w:rPr>
      </w:pPr>
      <w:r w:rsidRPr="00FD0D4F">
        <w:rPr>
          <w:rFonts w:ascii="Arial" w:hAnsi="Arial" w:cs="Arial"/>
          <w:lang w:val="es-ES_tradnl"/>
        </w:rPr>
        <w:t>RESOLUCION ADOPTADA POR EL</w:t>
      </w:r>
    </w:p>
    <w:p w:rsidR="00FD0D4F" w:rsidRPr="00FD0D4F" w:rsidRDefault="00FD0D4F">
      <w:pPr>
        <w:tabs>
          <w:tab w:val="left" w:pos="-720"/>
        </w:tabs>
        <w:suppressAutoHyphens/>
        <w:jc w:val="center"/>
        <w:rPr>
          <w:rFonts w:ascii="Arial" w:hAnsi="Arial" w:cs="Arial"/>
          <w:lang w:val="es-ES_tradnl"/>
        </w:rPr>
      </w:pPr>
    </w:p>
    <w:p w:rsidR="00FD0D4F" w:rsidRPr="00FD0D4F" w:rsidRDefault="00FD0D4F">
      <w:pPr>
        <w:tabs>
          <w:tab w:val="center" w:pos="4253"/>
        </w:tabs>
        <w:suppressAutoHyphens/>
        <w:jc w:val="center"/>
        <w:rPr>
          <w:rFonts w:ascii="Arial" w:hAnsi="Arial" w:cs="Arial"/>
          <w:lang w:val="es-ES_tradnl"/>
        </w:rPr>
      </w:pPr>
      <w:r w:rsidRPr="00FD0D4F">
        <w:rPr>
          <w:rFonts w:ascii="Arial" w:hAnsi="Arial" w:cs="Arial"/>
          <w:lang w:val="es-ES_tradnl"/>
        </w:rPr>
        <w:t>TRIBUNAL DE CUENTAS</w:t>
      </w:r>
    </w:p>
    <w:p w:rsidR="00FD0D4F" w:rsidRPr="00FD0D4F" w:rsidRDefault="00FD0D4F">
      <w:pPr>
        <w:tabs>
          <w:tab w:val="left" w:pos="-720"/>
        </w:tabs>
        <w:suppressAutoHyphens/>
        <w:jc w:val="center"/>
        <w:rPr>
          <w:rFonts w:ascii="Arial" w:hAnsi="Arial" w:cs="Arial"/>
          <w:lang w:val="es-ES_tradnl"/>
        </w:rPr>
      </w:pPr>
    </w:p>
    <w:p w:rsidR="00FD0D4F" w:rsidRPr="00FD0D4F" w:rsidRDefault="00FD0D4F">
      <w:pPr>
        <w:tabs>
          <w:tab w:val="center" w:pos="4253"/>
        </w:tabs>
        <w:suppressAutoHyphens/>
        <w:jc w:val="center"/>
        <w:rPr>
          <w:rFonts w:ascii="Arial" w:hAnsi="Arial" w:cs="Arial"/>
          <w:lang w:val="es-ES_tradnl"/>
        </w:rPr>
      </w:pPr>
      <w:r w:rsidRPr="00FD0D4F">
        <w:rPr>
          <w:rFonts w:ascii="Arial" w:hAnsi="Arial" w:cs="Arial"/>
          <w:lang w:val="es-ES_tradnl"/>
        </w:rPr>
        <w:t xml:space="preserve">EN SESION DE FECHA 3 DE OCTUBRE </w:t>
      </w:r>
      <w:r w:rsidRPr="00FD0D4F">
        <w:rPr>
          <w:rFonts w:ascii="Helvetica" w:hAnsi="Helvetica"/>
          <w:lang w:val="es-ES_tradnl"/>
        </w:rPr>
        <w:t>DE 2018</w:t>
      </w:r>
    </w:p>
    <w:p w:rsidR="00FD0D4F" w:rsidRPr="00FD0D4F" w:rsidRDefault="00FD0D4F">
      <w:pPr>
        <w:tabs>
          <w:tab w:val="center" w:pos="4253"/>
        </w:tabs>
        <w:suppressAutoHyphens/>
        <w:jc w:val="center"/>
        <w:rPr>
          <w:rFonts w:ascii="Arial" w:hAnsi="Arial" w:cs="Arial"/>
          <w:lang w:val="es-ES_tradnl"/>
        </w:rPr>
      </w:pPr>
    </w:p>
    <w:p w:rsidR="00FD0D4F" w:rsidRPr="00FD0D4F" w:rsidRDefault="00FD0D4F">
      <w:pPr>
        <w:tabs>
          <w:tab w:val="center" w:pos="4253"/>
        </w:tabs>
        <w:suppressAutoHyphens/>
        <w:jc w:val="center"/>
        <w:rPr>
          <w:rFonts w:ascii="Arial" w:hAnsi="Arial" w:cs="Arial"/>
          <w:lang w:val="en-US"/>
        </w:rPr>
      </w:pPr>
      <w:r w:rsidRPr="00FD0D4F">
        <w:rPr>
          <w:rFonts w:ascii="Arial" w:hAnsi="Arial" w:cs="Arial"/>
          <w:lang w:val="en-US"/>
        </w:rPr>
        <w:t xml:space="preserve">(E. E. Nº </w:t>
      </w:r>
      <w:r w:rsidRPr="00FD0D4F">
        <w:rPr>
          <w:rFonts w:ascii="Arial" w:hAnsi="Arial" w:cs="Arial"/>
          <w:bCs/>
          <w:szCs w:val="24"/>
        </w:rPr>
        <w:t>2016-17-1-000711</w:t>
      </w:r>
      <w:r w:rsidRPr="00FD0D4F">
        <w:rPr>
          <w:rFonts w:ascii="Arial" w:hAnsi="Arial" w:cs="Arial"/>
          <w:bCs/>
          <w:szCs w:val="24"/>
        </w:rPr>
        <w:t>5</w:t>
      </w:r>
      <w:r w:rsidRPr="00FD0D4F">
        <w:rPr>
          <w:rFonts w:ascii="Arial" w:hAnsi="Arial" w:cs="Arial"/>
          <w:lang w:val="en-US"/>
        </w:rPr>
        <w:t xml:space="preserve">, </w:t>
      </w:r>
      <w:proofErr w:type="gramStart"/>
      <w:r w:rsidRPr="00FD0D4F">
        <w:rPr>
          <w:rFonts w:ascii="Arial" w:hAnsi="Arial" w:cs="Arial"/>
          <w:lang w:val="en-US"/>
        </w:rPr>
        <w:t>Ent</w:t>
      </w:r>
      <w:proofErr w:type="gramEnd"/>
      <w:r w:rsidRPr="00FD0D4F">
        <w:rPr>
          <w:rFonts w:ascii="Arial" w:hAnsi="Arial" w:cs="Arial"/>
          <w:lang w:val="en-US"/>
        </w:rPr>
        <w:t>. N°</w:t>
      </w:r>
      <w:r w:rsidRPr="00FD0D4F">
        <w:rPr>
          <w:rFonts w:ascii="Arial" w:hAnsi="Arial" w:cs="Arial"/>
          <w:szCs w:val="24"/>
        </w:rPr>
        <w:t>4440</w:t>
      </w:r>
      <w:r w:rsidRPr="00FD0D4F">
        <w:rPr>
          <w:rFonts w:ascii="Arial" w:hAnsi="Arial" w:cs="Arial"/>
          <w:szCs w:val="24"/>
        </w:rPr>
        <w:t>/18</w:t>
      </w:r>
      <w:r w:rsidRPr="00FD0D4F">
        <w:rPr>
          <w:rFonts w:ascii="Arial" w:hAnsi="Arial" w:cs="Arial"/>
          <w:lang w:val="en-US"/>
        </w:rPr>
        <w:t>)</w:t>
      </w:r>
    </w:p>
    <w:p w:rsidR="004A6564" w:rsidRDefault="004A6564" w:rsidP="004A6564">
      <w:pPr>
        <w:pStyle w:val="Ttulo"/>
        <w:jc w:val="both"/>
        <w:rPr>
          <w:rFonts w:cs="Arial"/>
          <w:b w:val="0"/>
          <w:bCs/>
          <w:u w:val="none"/>
          <w:lang w:val="es-ES_tradnl"/>
        </w:rPr>
      </w:pPr>
    </w:p>
    <w:p w:rsidR="004A6564" w:rsidRDefault="00D33373" w:rsidP="00B536A9">
      <w:pPr>
        <w:pStyle w:val="Ttulo8"/>
        <w:numPr>
          <w:ilvl w:val="0"/>
          <w:numId w:val="0"/>
        </w:numPr>
        <w:tabs>
          <w:tab w:val="left" w:pos="708"/>
        </w:tabs>
        <w:ind w:firstLine="708"/>
      </w:pPr>
      <w:r>
        <w:rPr>
          <w:szCs w:val="24"/>
        </w:rPr>
        <w:t xml:space="preserve">VISTO: </w:t>
      </w:r>
      <w:r>
        <w:rPr>
          <w:b w:val="0"/>
          <w:szCs w:val="24"/>
        </w:rPr>
        <w:t>las actuaciones remitidas</w:t>
      </w:r>
      <w:r w:rsidR="006409A5">
        <w:rPr>
          <w:b w:val="0"/>
          <w:szCs w:val="24"/>
        </w:rPr>
        <w:t xml:space="preserve"> por la Contadora Delega</w:t>
      </w:r>
      <w:r>
        <w:rPr>
          <w:b w:val="0"/>
          <w:szCs w:val="24"/>
        </w:rPr>
        <w:t>da en la Intendencia de Montevideo, relacionadas</w:t>
      </w:r>
      <w:r w:rsidR="00896120">
        <w:rPr>
          <w:b w:val="0"/>
          <w:szCs w:val="24"/>
        </w:rPr>
        <w:t xml:space="preserve"> con la </w:t>
      </w:r>
      <w:r w:rsidR="009724EF">
        <w:rPr>
          <w:b w:val="0"/>
          <w:szCs w:val="24"/>
        </w:rPr>
        <w:t xml:space="preserve">ampliación </w:t>
      </w:r>
      <w:r w:rsidR="00896120">
        <w:rPr>
          <w:b w:val="0"/>
          <w:szCs w:val="24"/>
        </w:rPr>
        <w:t xml:space="preserve">del gasto derivado de la </w:t>
      </w:r>
      <w:r w:rsidR="00B536A9">
        <w:rPr>
          <w:b w:val="0"/>
          <w:szCs w:val="24"/>
        </w:rPr>
        <w:t xml:space="preserve">Licitación Pública N° </w:t>
      </w:r>
      <w:r w:rsidR="00867F45">
        <w:rPr>
          <w:b w:val="0"/>
          <w:szCs w:val="24"/>
        </w:rPr>
        <w:t>308183/1 para la “E</w:t>
      </w:r>
      <w:r>
        <w:rPr>
          <w:b w:val="0"/>
          <w:szCs w:val="24"/>
        </w:rPr>
        <w:t>jecución de las obras de construcción de hasta 56 viviendas para realojos del asentamiento Isla de Gaspar del Departamento de Montevideo;</w:t>
      </w:r>
      <w:r w:rsidR="004A6564">
        <w:rPr>
          <w:b w:val="0"/>
          <w:szCs w:val="24"/>
        </w:rPr>
        <w:t xml:space="preserve"> </w:t>
      </w:r>
    </w:p>
    <w:p w:rsidR="004A6564" w:rsidRPr="0021506E" w:rsidRDefault="004A6564" w:rsidP="0021506E">
      <w:pPr>
        <w:spacing w:line="360" w:lineRule="auto"/>
        <w:ind w:firstLine="708"/>
        <w:jc w:val="both"/>
        <w:rPr>
          <w:rFonts w:ascii="Arial" w:hAnsi="Arial" w:cs="Arial"/>
          <w:b w:val="0"/>
        </w:rPr>
      </w:pPr>
      <w:r>
        <w:rPr>
          <w:rFonts w:ascii="Arial" w:hAnsi="Arial" w:cs="Arial"/>
          <w:szCs w:val="24"/>
        </w:rPr>
        <w:t xml:space="preserve">RESULTANDO: </w:t>
      </w:r>
      <w:r>
        <w:rPr>
          <w:rFonts w:ascii="Arial" w:hAnsi="Arial" w:cs="Arial"/>
        </w:rPr>
        <w:t>1)</w:t>
      </w:r>
      <w:r>
        <w:rPr>
          <w:rFonts w:ascii="Arial" w:hAnsi="Arial" w:cs="Arial"/>
          <w:b w:val="0"/>
        </w:rPr>
        <w:t xml:space="preserve"> que</w:t>
      </w:r>
      <w:r w:rsidR="00B536A9">
        <w:rPr>
          <w:rFonts w:ascii="Arial" w:hAnsi="Arial" w:cs="Arial"/>
          <w:b w:val="0"/>
        </w:rPr>
        <w:t>,</w:t>
      </w:r>
      <w:r>
        <w:rPr>
          <w:rFonts w:ascii="Arial" w:hAnsi="Arial" w:cs="Arial"/>
          <w:b w:val="0"/>
        </w:rPr>
        <w:t xml:space="preserve"> </w:t>
      </w:r>
      <w:r w:rsidR="0006506F">
        <w:rPr>
          <w:rFonts w:ascii="Arial" w:hAnsi="Arial" w:cs="Arial"/>
          <w:b w:val="0"/>
          <w:bCs/>
        </w:rPr>
        <w:t>por Resolución Nº 4520</w:t>
      </w:r>
      <w:r w:rsidRPr="0021506E">
        <w:rPr>
          <w:rFonts w:ascii="Arial" w:hAnsi="Arial" w:cs="Arial"/>
          <w:b w:val="0"/>
          <w:bCs/>
        </w:rPr>
        <w:t xml:space="preserve">/2016 de fecha </w:t>
      </w:r>
      <w:r w:rsidR="0006506F">
        <w:rPr>
          <w:rFonts w:ascii="Arial" w:hAnsi="Arial" w:cs="Arial"/>
          <w:b w:val="0"/>
          <w:bCs/>
        </w:rPr>
        <w:t>5.10.16</w:t>
      </w:r>
      <w:r w:rsidR="00B536A9">
        <w:rPr>
          <w:rFonts w:ascii="Arial" w:hAnsi="Arial" w:cs="Arial"/>
          <w:b w:val="0"/>
          <w:bCs/>
        </w:rPr>
        <w:t>,</w:t>
      </w:r>
      <w:r w:rsidR="0006506F">
        <w:rPr>
          <w:rFonts w:ascii="Arial" w:hAnsi="Arial" w:cs="Arial"/>
          <w:b w:val="0"/>
          <w:bCs/>
        </w:rPr>
        <w:t xml:space="preserve"> se adjudicó la construcción de 56 viviendas para realojos del asentamiento Is</w:t>
      </w:r>
      <w:r w:rsidR="00867F45">
        <w:rPr>
          <w:rFonts w:ascii="Arial" w:hAnsi="Arial" w:cs="Arial"/>
          <w:b w:val="0"/>
          <w:bCs/>
        </w:rPr>
        <w:t>la de Gaspar, a la firma LEJACIR</w:t>
      </w:r>
      <w:r w:rsidR="0006506F">
        <w:rPr>
          <w:rFonts w:ascii="Arial" w:hAnsi="Arial" w:cs="Arial"/>
          <w:b w:val="0"/>
          <w:bCs/>
        </w:rPr>
        <w:t xml:space="preserve"> S.A.</w:t>
      </w:r>
      <w:r w:rsidR="006B3D9F">
        <w:rPr>
          <w:rFonts w:ascii="Arial" w:hAnsi="Arial" w:cs="Arial"/>
          <w:b w:val="0"/>
          <w:bCs/>
        </w:rPr>
        <w:t>, por la suma de $ 99:659.572;</w:t>
      </w:r>
      <w:r w:rsidRPr="0021506E">
        <w:rPr>
          <w:rFonts w:ascii="Arial" w:hAnsi="Arial" w:cs="Arial"/>
          <w:b w:val="0"/>
          <w:bCs/>
        </w:rPr>
        <w:t xml:space="preserve"> </w:t>
      </w:r>
    </w:p>
    <w:p w:rsidR="0021506E" w:rsidRDefault="004A6564" w:rsidP="0021506E">
      <w:pPr>
        <w:pStyle w:val="Ttulo"/>
        <w:jc w:val="both"/>
        <w:rPr>
          <w:rFonts w:cs="Arial"/>
          <w:b w:val="0"/>
          <w:bCs/>
          <w:u w:val="none"/>
          <w:lang w:val="es-ES_tradnl"/>
        </w:rPr>
      </w:pPr>
      <w:r>
        <w:rPr>
          <w:rFonts w:cs="Arial"/>
          <w:b w:val="0"/>
          <w:bCs/>
          <w:u w:val="none"/>
          <w:lang w:val="es-ES_tradnl"/>
        </w:rPr>
        <w:t xml:space="preserve">                                            </w:t>
      </w:r>
      <w:r w:rsidR="0021506E">
        <w:rPr>
          <w:rFonts w:cs="Arial"/>
          <w:b w:val="0"/>
          <w:bCs/>
          <w:u w:val="none"/>
          <w:lang w:val="es-ES_tradnl"/>
        </w:rPr>
        <w:t xml:space="preserve"> </w:t>
      </w:r>
      <w:r w:rsidR="0021506E" w:rsidRPr="0021506E">
        <w:rPr>
          <w:rFonts w:cs="Arial"/>
          <w:bCs/>
          <w:u w:val="none"/>
          <w:lang w:val="es-ES_tradnl"/>
        </w:rPr>
        <w:t>2</w:t>
      </w:r>
      <w:r>
        <w:rPr>
          <w:rFonts w:cs="Arial"/>
          <w:bCs/>
          <w:u w:val="none"/>
          <w:lang w:val="es-ES_tradnl"/>
        </w:rPr>
        <w:t>)</w:t>
      </w:r>
      <w:r>
        <w:rPr>
          <w:rFonts w:cs="Arial"/>
          <w:b w:val="0"/>
          <w:bCs/>
          <w:u w:val="none"/>
          <w:lang w:val="es-ES_tradnl"/>
        </w:rPr>
        <w:t xml:space="preserve">  que</w:t>
      </w:r>
      <w:r w:rsidR="003C6207">
        <w:rPr>
          <w:rFonts w:cs="Arial"/>
          <w:b w:val="0"/>
          <w:bCs/>
          <w:u w:val="none"/>
          <w:lang w:val="es-ES_tradnl"/>
        </w:rPr>
        <w:t xml:space="preserve"> este Tribunal</w:t>
      </w:r>
      <w:r w:rsidR="00B536A9">
        <w:rPr>
          <w:rFonts w:cs="Arial"/>
          <w:b w:val="0"/>
          <w:bCs/>
          <w:u w:val="none"/>
          <w:lang w:val="es-ES_tradnl"/>
        </w:rPr>
        <w:t>,</w:t>
      </w:r>
      <w:r w:rsidR="003C6207">
        <w:rPr>
          <w:rFonts w:cs="Arial"/>
          <w:b w:val="0"/>
          <w:bCs/>
          <w:u w:val="none"/>
          <w:lang w:val="es-ES_tradnl"/>
        </w:rPr>
        <w:t xml:space="preserve"> en sesión de fecha 16.11.16</w:t>
      </w:r>
      <w:r w:rsidR="00B536A9">
        <w:rPr>
          <w:rFonts w:cs="Arial"/>
          <w:b w:val="0"/>
          <w:bCs/>
          <w:u w:val="none"/>
          <w:lang w:val="es-ES_tradnl"/>
        </w:rPr>
        <w:t>,</w:t>
      </w:r>
      <w:r w:rsidR="003C6207">
        <w:rPr>
          <w:rFonts w:cs="Arial"/>
          <w:b w:val="0"/>
          <w:bCs/>
          <w:u w:val="none"/>
          <w:lang w:val="es-ES_tradnl"/>
        </w:rPr>
        <w:t xml:space="preserve">  </w:t>
      </w:r>
      <w:r>
        <w:rPr>
          <w:rFonts w:cs="Arial"/>
          <w:b w:val="0"/>
          <w:bCs/>
          <w:u w:val="none"/>
          <w:lang w:val="es-ES_tradnl"/>
        </w:rPr>
        <w:t xml:space="preserve"> </w:t>
      </w:r>
      <w:r w:rsidR="00B536A9">
        <w:rPr>
          <w:rFonts w:cs="Arial"/>
          <w:b w:val="0"/>
          <w:bCs/>
          <w:u w:val="none"/>
          <w:lang w:val="es-ES_tradnl"/>
        </w:rPr>
        <w:t>y por</w:t>
      </w:r>
      <w:r w:rsidR="003C6207">
        <w:rPr>
          <w:rFonts w:cs="Arial"/>
          <w:b w:val="0"/>
          <w:bCs/>
          <w:u w:val="none"/>
          <w:lang w:val="es-ES_tradnl"/>
        </w:rPr>
        <w:t xml:space="preserve"> </w:t>
      </w:r>
      <w:r w:rsidR="0021506E">
        <w:rPr>
          <w:rFonts w:cs="Arial"/>
          <w:b w:val="0"/>
          <w:bCs/>
          <w:u w:val="none"/>
          <w:lang w:val="es-ES_tradnl"/>
        </w:rPr>
        <w:t xml:space="preserve">Resolución Nº </w:t>
      </w:r>
      <w:r w:rsidR="006B3D9F">
        <w:rPr>
          <w:rFonts w:cs="Arial"/>
          <w:b w:val="0"/>
          <w:bCs/>
          <w:u w:val="none"/>
          <w:lang w:val="es-ES_tradnl"/>
        </w:rPr>
        <w:t>4038</w:t>
      </w:r>
      <w:r w:rsidR="00896120">
        <w:rPr>
          <w:rFonts w:cs="Arial"/>
          <w:b w:val="0"/>
          <w:bCs/>
          <w:u w:val="none"/>
          <w:lang w:val="es-ES_tradnl"/>
        </w:rPr>
        <w:t>/</w:t>
      </w:r>
      <w:r w:rsidR="006B3D9F">
        <w:rPr>
          <w:rFonts w:cs="Arial"/>
          <w:b w:val="0"/>
          <w:bCs/>
          <w:u w:val="none"/>
          <w:lang w:val="es-ES_tradnl"/>
        </w:rPr>
        <w:t xml:space="preserve">16 </w:t>
      </w:r>
      <w:r w:rsidR="0021506E">
        <w:rPr>
          <w:rFonts w:cs="Arial"/>
          <w:b w:val="0"/>
          <w:bCs/>
          <w:u w:val="none"/>
          <w:lang w:val="es-ES_tradnl"/>
        </w:rPr>
        <w:t xml:space="preserve">resolvió observar el gasto por </w:t>
      </w:r>
      <w:r w:rsidR="006B3D9F">
        <w:rPr>
          <w:rFonts w:cs="Arial"/>
          <w:b w:val="0"/>
          <w:bCs/>
          <w:u w:val="none"/>
          <w:lang w:val="es-ES_tradnl"/>
        </w:rPr>
        <w:t>no estar dentro de las competencias de los Gobiernos Departamentales la construcción de viviendas;</w:t>
      </w:r>
    </w:p>
    <w:p w:rsidR="009724EF" w:rsidRDefault="0021506E" w:rsidP="003C09EB">
      <w:pPr>
        <w:pStyle w:val="Ttulo"/>
        <w:jc w:val="both"/>
        <w:rPr>
          <w:rFonts w:cs="Arial"/>
          <w:b w:val="0"/>
          <w:bCs/>
          <w:u w:val="none"/>
          <w:lang w:val="es-ES_tradnl"/>
        </w:rPr>
      </w:pPr>
      <w:r>
        <w:rPr>
          <w:rFonts w:cs="Arial"/>
          <w:b w:val="0"/>
          <w:bCs/>
          <w:u w:val="none"/>
          <w:lang w:val="es-ES_tradnl"/>
        </w:rPr>
        <w:t xml:space="preserve">                                      </w:t>
      </w:r>
      <w:r w:rsidR="00E030B4">
        <w:rPr>
          <w:rFonts w:cs="Arial"/>
          <w:b w:val="0"/>
          <w:bCs/>
          <w:u w:val="none"/>
          <w:lang w:val="es-ES_tradnl"/>
        </w:rPr>
        <w:t xml:space="preserve">      </w:t>
      </w:r>
      <w:r w:rsidRPr="0021506E">
        <w:rPr>
          <w:rFonts w:cs="Arial"/>
          <w:bCs/>
          <w:u w:val="none"/>
          <w:lang w:val="es-ES_tradnl"/>
        </w:rPr>
        <w:t>3)</w:t>
      </w:r>
      <w:r>
        <w:rPr>
          <w:rFonts w:cs="Arial"/>
          <w:bCs/>
          <w:u w:val="none"/>
          <w:lang w:val="es-ES_tradnl"/>
        </w:rPr>
        <w:t xml:space="preserve"> </w:t>
      </w:r>
      <w:r>
        <w:rPr>
          <w:rFonts w:cs="Arial"/>
          <w:b w:val="0"/>
          <w:bCs/>
          <w:u w:val="none"/>
          <w:lang w:val="es-ES_tradnl"/>
        </w:rPr>
        <w:t>que el gasto</w:t>
      </w:r>
      <w:r w:rsidR="009724EF">
        <w:rPr>
          <w:rFonts w:cs="Arial"/>
          <w:b w:val="0"/>
          <w:bCs/>
          <w:u w:val="none"/>
          <w:lang w:val="es-ES_tradnl"/>
        </w:rPr>
        <w:t xml:space="preserve"> fue reiterado </w:t>
      </w:r>
      <w:r w:rsidR="00E030B4">
        <w:rPr>
          <w:rFonts w:cs="Arial"/>
          <w:b w:val="0"/>
          <w:bCs/>
          <w:u w:val="none"/>
          <w:lang w:val="es-ES_tradnl"/>
        </w:rPr>
        <w:t xml:space="preserve"> por Resolución </w:t>
      </w:r>
      <w:r w:rsidR="00A5657A">
        <w:rPr>
          <w:rFonts w:cs="Arial"/>
          <w:b w:val="0"/>
          <w:bCs/>
          <w:u w:val="none"/>
          <w:lang w:val="es-ES_tradnl"/>
        </w:rPr>
        <w:t>del Intendente</w:t>
      </w:r>
      <w:r w:rsidR="00ED570D">
        <w:rPr>
          <w:rFonts w:cs="Arial"/>
          <w:b w:val="0"/>
          <w:bCs/>
          <w:u w:val="none"/>
          <w:lang w:val="es-ES_tradnl"/>
        </w:rPr>
        <w:t xml:space="preserve"> Nº 5877/16</w:t>
      </w:r>
      <w:r w:rsidR="00A5657A">
        <w:rPr>
          <w:rFonts w:cs="Arial"/>
          <w:b w:val="0"/>
          <w:bCs/>
          <w:u w:val="none"/>
          <w:lang w:val="es-ES_tradnl"/>
        </w:rPr>
        <w:t xml:space="preserve"> de fecha 1</w:t>
      </w:r>
      <w:r w:rsidR="00ED570D">
        <w:rPr>
          <w:rFonts w:cs="Arial"/>
          <w:b w:val="0"/>
          <w:bCs/>
          <w:u w:val="none"/>
          <w:lang w:val="es-ES_tradnl"/>
        </w:rPr>
        <w:t>9</w:t>
      </w:r>
      <w:r w:rsidR="00A5657A">
        <w:rPr>
          <w:rFonts w:cs="Arial"/>
          <w:b w:val="0"/>
          <w:bCs/>
          <w:u w:val="none"/>
          <w:lang w:val="es-ES_tradnl"/>
        </w:rPr>
        <w:t>.12.16</w:t>
      </w:r>
      <w:r w:rsidR="009724EF">
        <w:rPr>
          <w:rFonts w:cs="Arial"/>
          <w:b w:val="0"/>
          <w:bCs/>
          <w:u w:val="none"/>
          <w:lang w:val="es-ES_tradnl"/>
        </w:rPr>
        <w:t>, habiéndose mantenido la observación por parte del Tribunal de Cuentas;</w:t>
      </w:r>
      <w:r w:rsidR="00E030B4">
        <w:rPr>
          <w:rFonts w:cs="Arial"/>
          <w:b w:val="0"/>
          <w:bCs/>
          <w:u w:val="none"/>
          <w:lang w:val="es-ES_tradnl"/>
        </w:rPr>
        <w:t>;</w:t>
      </w:r>
    </w:p>
    <w:p w:rsidR="009724EF" w:rsidRDefault="009724EF" w:rsidP="00FD0D4F">
      <w:pPr>
        <w:pStyle w:val="Ttulo"/>
        <w:ind w:firstLine="2694"/>
        <w:jc w:val="both"/>
        <w:rPr>
          <w:rFonts w:cs="Arial"/>
          <w:b w:val="0"/>
          <w:bCs/>
          <w:u w:val="none"/>
        </w:rPr>
      </w:pPr>
      <w:r>
        <w:rPr>
          <w:rFonts w:cs="Arial"/>
          <w:bCs/>
          <w:u w:val="none"/>
          <w:lang w:val="es-ES_tradnl"/>
        </w:rPr>
        <w:t xml:space="preserve">4) </w:t>
      </w:r>
      <w:r>
        <w:rPr>
          <w:rFonts w:cs="Arial"/>
          <w:b w:val="0"/>
          <w:bCs/>
          <w:u w:val="none"/>
        </w:rPr>
        <w:t>que</w:t>
      </w:r>
      <w:r w:rsidR="00867F45">
        <w:rPr>
          <w:rFonts w:cs="Arial"/>
          <w:b w:val="0"/>
          <w:bCs/>
          <w:u w:val="none"/>
        </w:rPr>
        <w:t xml:space="preserve"> en la oportunidad </w:t>
      </w:r>
      <w:r>
        <w:rPr>
          <w:rFonts w:cs="Arial"/>
          <w:b w:val="0"/>
          <w:bCs/>
          <w:u w:val="none"/>
        </w:rPr>
        <w:t xml:space="preserve"> surge de las actuaciones que el Servicio de Compras  aconseja la ampliación de</w:t>
      </w:r>
      <w:r w:rsidR="003C6207">
        <w:rPr>
          <w:rFonts w:cs="Arial"/>
          <w:b w:val="0"/>
          <w:bCs/>
          <w:u w:val="none"/>
        </w:rPr>
        <w:t xml:space="preserve">l contrato </w:t>
      </w:r>
      <w:r w:rsidR="00B536A9">
        <w:rPr>
          <w:rFonts w:cs="Arial"/>
          <w:b w:val="0"/>
          <w:bCs/>
          <w:u w:val="none"/>
        </w:rPr>
        <w:t xml:space="preserve"> en un  100%</w:t>
      </w:r>
      <w:r>
        <w:rPr>
          <w:rFonts w:cs="Arial"/>
          <w:b w:val="0"/>
          <w:bCs/>
          <w:u w:val="none"/>
        </w:rPr>
        <w:t>, al amparo de lo dispuesto por el art. 74 del TOCAF, habiéndose recabado  la conformidad de la Empresa adjudicataria;</w:t>
      </w:r>
    </w:p>
    <w:p w:rsidR="004A6564" w:rsidRDefault="009724EF" w:rsidP="00FD0D4F">
      <w:pPr>
        <w:pStyle w:val="Ttulo"/>
        <w:ind w:firstLine="2694"/>
        <w:jc w:val="both"/>
        <w:rPr>
          <w:rFonts w:cs="Arial"/>
          <w:b w:val="0"/>
          <w:bCs/>
          <w:u w:val="none"/>
        </w:rPr>
      </w:pPr>
      <w:r>
        <w:rPr>
          <w:rFonts w:cs="Arial"/>
          <w:bCs/>
          <w:u w:val="none"/>
        </w:rPr>
        <w:t xml:space="preserve">5) </w:t>
      </w:r>
      <w:r>
        <w:rPr>
          <w:rFonts w:cs="Arial"/>
          <w:b w:val="0"/>
          <w:bCs/>
          <w:u w:val="none"/>
        </w:rPr>
        <w:t xml:space="preserve">que por Resolución </w:t>
      </w:r>
      <w:r w:rsidR="00B536A9">
        <w:rPr>
          <w:rFonts w:cs="Arial"/>
          <w:b w:val="0"/>
          <w:bCs/>
          <w:u w:val="none"/>
        </w:rPr>
        <w:t>N°</w:t>
      </w:r>
      <w:r w:rsidR="00867F45">
        <w:rPr>
          <w:rFonts w:cs="Arial"/>
          <w:b w:val="0"/>
          <w:bCs/>
          <w:u w:val="none"/>
        </w:rPr>
        <w:t xml:space="preserve"> 3910/18 de fecha 27/08/18 el Intendente autorizó la ampliación aconsejada</w:t>
      </w:r>
      <w:r w:rsidR="00B536A9">
        <w:rPr>
          <w:rFonts w:cs="Arial"/>
          <w:b w:val="0"/>
          <w:bCs/>
          <w:u w:val="none"/>
        </w:rPr>
        <w:t>,</w:t>
      </w:r>
      <w:r w:rsidR="00867F45">
        <w:rPr>
          <w:rFonts w:cs="Arial"/>
          <w:b w:val="0"/>
          <w:bCs/>
          <w:u w:val="none"/>
        </w:rPr>
        <w:t xml:space="preserve"> por la suma de $</w:t>
      </w:r>
      <w:r w:rsidR="00B536A9">
        <w:rPr>
          <w:rFonts w:cs="Arial"/>
          <w:b w:val="0"/>
          <w:bCs/>
          <w:u w:val="none"/>
        </w:rPr>
        <w:t xml:space="preserve"> </w:t>
      </w:r>
      <w:r w:rsidR="00867F45">
        <w:rPr>
          <w:rFonts w:cs="Arial"/>
          <w:b w:val="0"/>
          <w:bCs/>
          <w:u w:val="none"/>
        </w:rPr>
        <w:t xml:space="preserve">99.659.572 incluidos impuestos, imprevistos  y leyes sociales; </w:t>
      </w:r>
      <w:r>
        <w:rPr>
          <w:rFonts w:cs="Arial"/>
          <w:b w:val="0"/>
          <w:bCs/>
          <w:u w:val="none"/>
        </w:rPr>
        <w:t xml:space="preserve"> </w:t>
      </w:r>
    </w:p>
    <w:p w:rsidR="00867F45" w:rsidRDefault="00867F45" w:rsidP="00FD0D4F">
      <w:pPr>
        <w:pStyle w:val="Ttulo"/>
        <w:ind w:firstLine="2694"/>
        <w:jc w:val="both"/>
        <w:rPr>
          <w:rFonts w:cs="Arial"/>
          <w:b w:val="0"/>
          <w:bCs/>
          <w:u w:val="none"/>
        </w:rPr>
      </w:pPr>
      <w:r>
        <w:rPr>
          <w:rFonts w:cs="Arial"/>
          <w:bCs/>
          <w:u w:val="none"/>
        </w:rPr>
        <w:t xml:space="preserve">6) </w:t>
      </w:r>
      <w:r>
        <w:rPr>
          <w:rFonts w:cs="Arial"/>
          <w:b w:val="0"/>
          <w:bCs/>
          <w:u w:val="none"/>
        </w:rPr>
        <w:t>que por informe contable de fecha  31/08/18 se realizó la imputación parcial de $ 71.107,8 y $</w:t>
      </w:r>
      <w:r w:rsidR="00B536A9">
        <w:rPr>
          <w:rFonts w:cs="Arial"/>
          <w:b w:val="0"/>
          <w:bCs/>
          <w:u w:val="none"/>
        </w:rPr>
        <w:t xml:space="preserve"> </w:t>
      </w:r>
      <w:r>
        <w:rPr>
          <w:rFonts w:cs="Arial"/>
          <w:b w:val="0"/>
          <w:bCs/>
          <w:u w:val="none"/>
        </w:rPr>
        <w:t>428.892,92 con cargo  a la actividad 504007301, derivado 3999000, referencias 266300 y 266299, con disponibilidad presupuestal;</w:t>
      </w:r>
    </w:p>
    <w:p w:rsidR="003C6207" w:rsidRDefault="003C6207" w:rsidP="00FD0D4F">
      <w:pPr>
        <w:pStyle w:val="Ttulo"/>
        <w:ind w:firstLine="851"/>
        <w:jc w:val="both"/>
        <w:rPr>
          <w:b w:val="0"/>
          <w:bCs/>
          <w:u w:val="none"/>
        </w:rPr>
      </w:pPr>
      <w:r>
        <w:rPr>
          <w:bCs/>
          <w:u w:val="none"/>
        </w:rPr>
        <w:lastRenderedPageBreak/>
        <w:t>CONSIDERANDO:</w:t>
      </w:r>
      <w:r>
        <w:rPr>
          <w:b w:val="0"/>
          <w:bCs/>
          <w:u w:val="none"/>
        </w:rPr>
        <w:t xml:space="preserve"> </w:t>
      </w:r>
      <w:r>
        <w:rPr>
          <w:bCs/>
          <w:u w:val="none"/>
        </w:rPr>
        <w:t xml:space="preserve">1) </w:t>
      </w:r>
      <w:r>
        <w:rPr>
          <w:b w:val="0"/>
          <w:bCs/>
          <w:u w:val="none"/>
          <w:lang w:val="es-MX"/>
        </w:rPr>
        <w:t>que se ha dado cumplimiento a lo dispuest</w:t>
      </w:r>
      <w:r w:rsidR="00B536A9">
        <w:rPr>
          <w:b w:val="0"/>
          <w:bCs/>
          <w:u w:val="none"/>
          <w:lang w:val="es-MX"/>
        </w:rPr>
        <w:t>o por el Art. 74 del T.O.C.A.F.</w:t>
      </w:r>
      <w:r>
        <w:rPr>
          <w:b w:val="0"/>
          <w:bCs/>
          <w:u w:val="none"/>
          <w:lang w:val="es-MX"/>
        </w:rPr>
        <w:t>,</w:t>
      </w:r>
      <w:r w:rsidR="00B536A9">
        <w:rPr>
          <w:b w:val="0"/>
          <w:bCs/>
          <w:u w:val="none"/>
          <w:lang w:val="es-MX"/>
        </w:rPr>
        <w:t xml:space="preserve"> que</w:t>
      </w:r>
      <w:r>
        <w:rPr>
          <w:b w:val="0"/>
          <w:bCs/>
          <w:u w:val="none"/>
          <w:lang w:val="es-MX"/>
        </w:rPr>
        <w:t xml:space="preserve"> prevé que las contrataciones de la Administración podrán aumentarse o disminuirse – hasta un máximo de un 100%, contándose con la conformidad del adjudicatario, en tanto se ajusten a las condiciones y modalidades preestablecidas en las bases del llamado, por lo que la ampliación proyectada se ajustaría a las previsiones de la norma;        </w:t>
      </w:r>
    </w:p>
    <w:p w:rsidR="003C6207" w:rsidRDefault="003C6207" w:rsidP="00FD0D4F">
      <w:pPr>
        <w:pStyle w:val="Ttulo"/>
        <w:tabs>
          <w:tab w:val="left" w:pos="2127"/>
        </w:tabs>
        <w:ind w:firstLine="2977"/>
        <w:jc w:val="both"/>
        <w:rPr>
          <w:rFonts w:cs="Arial"/>
          <w:b w:val="0"/>
          <w:u w:val="none"/>
        </w:rPr>
      </w:pPr>
      <w:r>
        <w:rPr>
          <w:u w:val="none"/>
        </w:rPr>
        <w:t>2</w:t>
      </w:r>
      <w:r>
        <w:rPr>
          <w:bCs/>
          <w:u w:val="none"/>
        </w:rPr>
        <w:t>)</w:t>
      </w:r>
      <w:r>
        <w:rPr>
          <w:rFonts w:cs="Arial"/>
          <w:b w:val="0"/>
          <w:u w:val="none"/>
        </w:rPr>
        <w:t xml:space="preserve"> que no obstante, dicha ampliación deriva de un procedimiento licitatorio observado por causales de carácter insubsanable;</w:t>
      </w:r>
    </w:p>
    <w:p w:rsidR="007B0CB1" w:rsidRDefault="007B0CB1" w:rsidP="00FD0D4F">
      <w:pPr>
        <w:pStyle w:val="Ttulo"/>
        <w:tabs>
          <w:tab w:val="left" w:pos="2127"/>
        </w:tabs>
        <w:ind w:firstLine="851"/>
        <w:jc w:val="both"/>
        <w:rPr>
          <w:b w:val="0"/>
          <w:bCs/>
          <w:u w:val="none"/>
        </w:rPr>
      </w:pPr>
      <w:r>
        <w:rPr>
          <w:u w:val="none"/>
        </w:rPr>
        <w:t xml:space="preserve">ATENTO: </w:t>
      </w:r>
      <w:r>
        <w:rPr>
          <w:b w:val="0"/>
          <w:bCs/>
          <w:u w:val="none"/>
        </w:rPr>
        <w:t>a lo precedentemente expuesto y a lo establecido en el artículo 211 literal B) de la Constitución de la República;</w:t>
      </w:r>
    </w:p>
    <w:p w:rsidR="007B0CB1" w:rsidRDefault="007B0CB1" w:rsidP="007B0CB1">
      <w:pPr>
        <w:spacing w:line="360" w:lineRule="auto"/>
        <w:jc w:val="both"/>
        <w:rPr>
          <w:b w:val="0"/>
          <w:bCs/>
          <w:color w:val="auto"/>
          <w:lang w:val="es-UY"/>
        </w:rPr>
      </w:pPr>
    </w:p>
    <w:p w:rsidR="007B0CB1" w:rsidRDefault="007B0CB1" w:rsidP="00FD0D4F">
      <w:pPr>
        <w:pStyle w:val="Ttulo2"/>
        <w:spacing w:line="360" w:lineRule="auto"/>
        <w:rPr>
          <w:color w:val="auto"/>
          <w:lang w:val="es-UY"/>
        </w:rPr>
      </w:pPr>
      <w:r>
        <w:rPr>
          <w:color w:val="auto"/>
          <w:lang w:val="es-UY"/>
        </w:rPr>
        <w:t>EL TRIBUNAL ACUERDA</w:t>
      </w:r>
    </w:p>
    <w:p w:rsidR="007B0CB1" w:rsidRDefault="00B536A9" w:rsidP="007B0CB1">
      <w:pPr>
        <w:numPr>
          <w:ilvl w:val="0"/>
          <w:numId w:val="2"/>
        </w:numPr>
        <w:spacing w:line="360" w:lineRule="auto"/>
        <w:jc w:val="both"/>
        <w:rPr>
          <w:rFonts w:ascii="Arial" w:hAnsi="Arial" w:cs="Arial"/>
          <w:b w:val="0"/>
          <w:bCs/>
          <w:color w:val="auto"/>
        </w:rPr>
      </w:pPr>
      <w:r>
        <w:rPr>
          <w:rFonts w:ascii="Arial" w:hAnsi="Arial" w:cs="Arial"/>
          <w:b w:val="0"/>
          <w:bCs/>
          <w:color w:val="auto"/>
        </w:rPr>
        <w:t>Observar el gasto.</w:t>
      </w:r>
      <w:r w:rsidR="007B0CB1">
        <w:rPr>
          <w:rFonts w:ascii="Arial" w:hAnsi="Arial" w:cs="Arial"/>
          <w:b w:val="0"/>
          <w:bCs/>
          <w:color w:val="auto"/>
        </w:rPr>
        <w:t xml:space="preserve"> </w:t>
      </w:r>
    </w:p>
    <w:p w:rsidR="007B0CB1" w:rsidRPr="007B0CB1" w:rsidRDefault="007B0CB1" w:rsidP="00B536A9">
      <w:pPr>
        <w:pStyle w:val="Ttulo"/>
        <w:numPr>
          <w:ilvl w:val="0"/>
          <w:numId w:val="2"/>
        </w:numPr>
        <w:tabs>
          <w:tab w:val="left" w:pos="2127"/>
        </w:tabs>
        <w:jc w:val="both"/>
        <w:rPr>
          <w:rFonts w:cs="Arial"/>
          <w:b w:val="0"/>
          <w:u w:val="none"/>
        </w:rPr>
      </w:pPr>
      <w:r w:rsidRPr="007B0CB1">
        <w:rPr>
          <w:rFonts w:cs="Arial"/>
          <w:b w:val="0"/>
          <w:bCs/>
          <w:u w:val="none"/>
        </w:rPr>
        <w:t>Devolver las actuaciones</w:t>
      </w:r>
      <w:r w:rsidR="00B536A9">
        <w:rPr>
          <w:rFonts w:cs="Arial"/>
          <w:b w:val="0"/>
          <w:bCs/>
          <w:u w:val="none"/>
        </w:rPr>
        <w:t>.</w:t>
      </w:r>
    </w:p>
    <w:p w:rsidR="003C6207" w:rsidRDefault="00FD0D4F" w:rsidP="003C09EB">
      <w:pPr>
        <w:pStyle w:val="Ttulo"/>
        <w:jc w:val="both"/>
        <w:rPr>
          <w:rFonts w:cs="Arial"/>
          <w:b w:val="0"/>
          <w:bCs/>
          <w:sz w:val="20"/>
          <w:szCs w:val="20"/>
          <w:u w:val="none"/>
        </w:rPr>
      </w:pPr>
      <w:r>
        <w:rPr>
          <w:rFonts w:cs="Arial"/>
          <w:b w:val="0"/>
          <w:bCs/>
          <w:sz w:val="20"/>
          <w:szCs w:val="20"/>
          <w:u w:val="none"/>
        </w:rPr>
        <w:t>CLC</w:t>
      </w:r>
    </w:p>
    <w:p w:rsidR="000E430D" w:rsidRDefault="000E430D" w:rsidP="003C09EB">
      <w:pPr>
        <w:pStyle w:val="Ttulo"/>
        <w:jc w:val="both"/>
        <w:rPr>
          <w:rFonts w:cs="Arial"/>
          <w:b w:val="0"/>
          <w:bCs/>
          <w:sz w:val="20"/>
          <w:szCs w:val="20"/>
          <w:u w:val="none"/>
        </w:rPr>
      </w:pPr>
    </w:p>
    <w:p w:rsidR="000E430D" w:rsidRDefault="000E430D" w:rsidP="003C09EB">
      <w:pPr>
        <w:pStyle w:val="Ttulo"/>
        <w:jc w:val="both"/>
        <w:rPr>
          <w:rFonts w:cs="Arial"/>
          <w:b w:val="0"/>
          <w:bCs/>
          <w:sz w:val="20"/>
          <w:szCs w:val="20"/>
          <w:u w:val="none"/>
        </w:rPr>
      </w:pPr>
    </w:p>
    <w:p w:rsidR="00C865F4" w:rsidRDefault="00C865F4" w:rsidP="003C09EB">
      <w:pPr>
        <w:pStyle w:val="Ttulo"/>
        <w:jc w:val="both"/>
        <w:rPr>
          <w:rFonts w:cs="Arial"/>
          <w:b w:val="0"/>
          <w:bCs/>
          <w:sz w:val="20"/>
          <w:szCs w:val="20"/>
          <w:u w:val="none"/>
        </w:rPr>
      </w:pPr>
    </w:p>
    <w:p w:rsidR="00C865F4" w:rsidRDefault="00C865F4" w:rsidP="003C09EB">
      <w:pPr>
        <w:pStyle w:val="Ttulo"/>
        <w:jc w:val="both"/>
        <w:rPr>
          <w:rFonts w:cs="Arial"/>
          <w:b w:val="0"/>
          <w:bCs/>
          <w:sz w:val="20"/>
          <w:szCs w:val="20"/>
          <w:u w:val="none"/>
        </w:rPr>
      </w:pPr>
    </w:p>
    <w:p w:rsidR="00C865F4" w:rsidRDefault="00C865F4" w:rsidP="003C09EB">
      <w:pPr>
        <w:pStyle w:val="Ttulo"/>
        <w:jc w:val="both"/>
        <w:rPr>
          <w:rFonts w:cs="Arial"/>
          <w:b w:val="0"/>
          <w:bCs/>
          <w:sz w:val="20"/>
          <w:szCs w:val="20"/>
          <w:u w:val="none"/>
        </w:rPr>
      </w:pPr>
    </w:p>
    <w:p w:rsidR="00C865F4" w:rsidRDefault="00C865F4" w:rsidP="003C09EB">
      <w:pPr>
        <w:pStyle w:val="Ttulo"/>
        <w:jc w:val="both"/>
        <w:rPr>
          <w:rFonts w:cs="Arial"/>
          <w:b w:val="0"/>
          <w:bCs/>
          <w:sz w:val="20"/>
          <w:szCs w:val="20"/>
          <w:u w:val="none"/>
        </w:rPr>
      </w:pPr>
    </w:p>
    <w:p w:rsidR="000E430D" w:rsidRDefault="000E430D" w:rsidP="003C09EB">
      <w:pPr>
        <w:pStyle w:val="Ttulo"/>
        <w:jc w:val="both"/>
        <w:rPr>
          <w:rFonts w:cs="Arial"/>
          <w:b w:val="0"/>
          <w:bCs/>
          <w:sz w:val="20"/>
          <w:szCs w:val="20"/>
          <w:u w:val="none"/>
        </w:rPr>
      </w:pPr>
    </w:p>
    <w:p w:rsidR="000E430D" w:rsidRDefault="000E430D" w:rsidP="003C09EB">
      <w:pPr>
        <w:pStyle w:val="Ttulo"/>
        <w:jc w:val="both"/>
        <w:rPr>
          <w:rFonts w:cs="Arial"/>
          <w:b w:val="0"/>
          <w:bCs/>
          <w:sz w:val="20"/>
          <w:szCs w:val="20"/>
          <w:u w:val="none"/>
        </w:rPr>
      </w:pPr>
    </w:p>
    <w:p w:rsidR="00C865F4" w:rsidRPr="00C865F4" w:rsidRDefault="000E430D" w:rsidP="00C865F4">
      <w:pPr>
        <w:spacing w:line="360" w:lineRule="auto"/>
        <w:rPr>
          <w:rFonts w:ascii="Arial" w:hAnsi="Arial" w:cs="Arial"/>
          <w:b w:val="0"/>
        </w:rPr>
      </w:pPr>
      <w:r w:rsidRPr="000E430D">
        <w:rPr>
          <w:rFonts w:ascii="Arial" w:hAnsi="Arial" w:cs="Arial"/>
          <w:szCs w:val="24"/>
          <w:lang w:val="es-UY"/>
        </w:rPr>
        <w:t>CONSTANCIA DE FUNDAMENTO DE VOTO DISCORDE DE LA MINISTRA             CRA. DIANA MARCOS:</w:t>
      </w:r>
      <w:r>
        <w:rPr>
          <w:rFonts w:ascii="Arial" w:hAnsi="Arial" w:cs="Arial"/>
          <w:szCs w:val="24"/>
          <w:lang w:val="es-UY"/>
        </w:rPr>
        <w:t xml:space="preserve"> </w:t>
      </w:r>
      <w:r w:rsidRPr="00C865F4">
        <w:rPr>
          <w:rFonts w:ascii="Arial" w:hAnsi="Arial" w:cs="Arial"/>
          <w:b w:val="0"/>
          <w:szCs w:val="24"/>
          <w:lang w:val="es-UY"/>
        </w:rPr>
        <w:t>“</w:t>
      </w:r>
      <w:r w:rsidR="00C865F4" w:rsidRPr="00C865F4">
        <w:rPr>
          <w:rFonts w:ascii="Arial" w:hAnsi="Arial" w:cs="Arial"/>
          <w:b w:val="0"/>
        </w:rPr>
        <w:t>Ampliación del gasto derivado de la Licitación Pública Nº 308183/1 para la ejecución de las obras de construcción de viviendas para realojos del asentamiento Isla de Gaspar.</w:t>
      </w:r>
    </w:p>
    <w:p w:rsidR="00C865F4" w:rsidRPr="00C865F4" w:rsidRDefault="00C865F4" w:rsidP="00D71A3A">
      <w:pPr>
        <w:spacing w:line="360" w:lineRule="auto"/>
        <w:jc w:val="both"/>
        <w:rPr>
          <w:rFonts w:ascii="Arial" w:hAnsi="Arial" w:cs="Arial"/>
          <w:b w:val="0"/>
        </w:rPr>
      </w:pPr>
      <w:r w:rsidRPr="00C865F4">
        <w:rPr>
          <w:rFonts w:ascii="Arial" w:hAnsi="Arial" w:cs="Arial"/>
          <w:b w:val="0"/>
        </w:rPr>
        <w:t>Fundamento mi voto discorde por haber votado negativamente la observación formulada en sesión de  fecha 16 de noviembre de 2016, al  procedimiento original  de la Licitación Pública Nº 308183/1 para la  ejecución de las obras de construcción de viviendas para realojos del asentamiento Isla de Gaspar</w:t>
      </w:r>
      <w:r>
        <w:rPr>
          <w:rFonts w:ascii="Arial" w:hAnsi="Arial" w:cs="Arial"/>
          <w:b w:val="0"/>
        </w:rPr>
        <w:t>.”</w:t>
      </w:r>
    </w:p>
    <w:p w:rsidR="000E430D" w:rsidRPr="000E430D" w:rsidRDefault="000E430D" w:rsidP="00D71A3A">
      <w:pPr>
        <w:spacing w:line="360" w:lineRule="auto"/>
        <w:jc w:val="both"/>
        <w:rPr>
          <w:rFonts w:ascii="Arial" w:hAnsi="Arial" w:cs="Arial"/>
          <w:szCs w:val="24"/>
          <w:lang w:val="es-UY"/>
        </w:rPr>
      </w:pPr>
    </w:p>
    <w:p w:rsidR="000607AC" w:rsidRPr="000607AC" w:rsidRDefault="000E430D" w:rsidP="000607AC">
      <w:pPr>
        <w:pStyle w:val="Ttulo1"/>
        <w:spacing w:line="276" w:lineRule="auto"/>
        <w:ind w:right="191" w:firstLine="221"/>
        <w:jc w:val="both"/>
        <w:rPr>
          <w:rFonts w:ascii="Calibri" w:hAnsi="Calibri" w:cs="Calibri"/>
          <w:b/>
          <w:color w:val="auto"/>
          <w:szCs w:val="24"/>
        </w:rPr>
      </w:pPr>
      <w:r w:rsidRPr="000607AC">
        <w:rPr>
          <w:rFonts w:ascii="Arial" w:hAnsi="Arial" w:cs="Arial"/>
          <w:b/>
          <w:color w:val="auto"/>
          <w:sz w:val="24"/>
          <w:szCs w:val="24"/>
          <w:lang w:val="es-UY"/>
        </w:rPr>
        <w:t>CONSTANCIA DE FUNDAMENTO DE VOTO DISCORDE DEL MINISTRO               ING. MIGUEL AUMENTO</w:t>
      </w:r>
      <w:r w:rsidRPr="000607AC">
        <w:rPr>
          <w:rFonts w:ascii="Arial" w:hAnsi="Arial" w:cs="Arial"/>
          <w:color w:val="auto"/>
          <w:szCs w:val="24"/>
          <w:lang w:val="es-UY"/>
        </w:rPr>
        <w:t xml:space="preserve">: </w:t>
      </w:r>
      <w:r w:rsidR="00C865F4" w:rsidRPr="000607AC">
        <w:rPr>
          <w:rFonts w:ascii="Arial" w:hAnsi="Arial" w:cs="Arial"/>
          <w:color w:val="auto"/>
          <w:szCs w:val="24"/>
          <w:lang w:val="es-UY"/>
        </w:rPr>
        <w:t>“</w:t>
      </w:r>
      <w:r w:rsidR="000607AC" w:rsidRPr="000607AC">
        <w:rPr>
          <w:rFonts w:ascii="Calibri" w:hAnsi="Calibri" w:cs="Calibri"/>
          <w:color w:val="auto"/>
          <w:szCs w:val="24"/>
        </w:rPr>
        <w:t xml:space="preserve">He votado en forma discorde la Resolución recaída en este expediente, en tanto no estoy de acuerdo con la observación formulada por la mayoría del Tribunal de Cuentas. </w:t>
      </w:r>
    </w:p>
    <w:p w:rsidR="000607AC" w:rsidRPr="000607AC" w:rsidRDefault="000607AC" w:rsidP="000607AC">
      <w:pPr>
        <w:spacing w:line="360" w:lineRule="auto"/>
        <w:jc w:val="both"/>
        <w:rPr>
          <w:rFonts w:ascii="Arial" w:hAnsi="Arial" w:cs="Arial"/>
          <w:b w:val="0"/>
          <w:szCs w:val="24"/>
        </w:rPr>
      </w:pPr>
      <w:r w:rsidRPr="000607AC">
        <w:rPr>
          <w:rFonts w:ascii="Arial" w:hAnsi="Arial" w:cs="Arial"/>
          <w:b w:val="0"/>
          <w:szCs w:val="24"/>
        </w:rPr>
        <w:t xml:space="preserve">El Tribunal reconoce que se ha dado cumplimiento al Artículo 74 del TOCAF, no obstante ello, expresa que la ampliación deriva de un procedimiento licitatorio ya objetado, y por tanto el gasto que nos ocupa en este caso debe ser observado. </w:t>
      </w:r>
    </w:p>
    <w:p w:rsidR="000607AC" w:rsidRPr="000607AC" w:rsidRDefault="000607AC" w:rsidP="000607AC">
      <w:pPr>
        <w:spacing w:line="360" w:lineRule="auto"/>
        <w:jc w:val="both"/>
        <w:rPr>
          <w:rFonts w:ascii="Arial" w:hAnsi="Arial" w:cs="Arial"/>
          <w:b w:val="0"/>
          <w:szCs w:val="24"/>
        </w:rPr>
      </w:pPr>
      <w:r w:rsidRPr="000607AC">
        <w:rPr>
          <w:rFonts w:ascii="Arial" w:hAnsi="Arial" w:cs="Arial"/>
          <w:b w:val="0"/>
          <w:szCs w:val="24"/>
        </w:rPr>
        <w:t xml:space="preserve">En efecto, la objeción se basa en el entendido que no se encuentra dentro de las competencias de los Gobiernos Departamentales la construcción de viviendas. Pero este caso, la mera construcción de viviendas no es la actividad ni el objetivo principal. </w:t>
      </w:r>
    </w:p>
    <w:p w:rsidR="000607AC" w:rsidRPr="000607AC" w:rsidRDefault="000607AC" w:rsidP="000607AC">
      <w:pPr>
        <w:spacing w:line="360" w:lineRule="auto"/>
        <w:jc w:val="both"/>
        <w:rPr>
          <w:rFonts w:ascii="Arial" w:hAnsi="Arial" w:cs="Arial"/>
          <w:b w:val="0"/>
          <w:szCs w:val="24"/>
        </w:rPr>
      </w:pPr>
      <w:r w:rsidRPr="000607AC">
        <w:rPr>
          <w:rFonts w:ascii="Arial" w:hAnsi="Arial" w:cs="Arial"/>
          <w:b w:val="0"/>
          <w:szCs w:val="24"/>
        </w:rPr>
        <w:t xml:space="preserve">Por el contrario, el objetivo es realojar a personas que habitan en el Asentamiento Isla de Gaspar, en el marco de un Programa de realojo. Justamente, es competencia del Gobierno Departamental velar por las condiciones sanitarias de sus habitantes, AL MENOS desde lo preceptuado en el artículo 275 numeral 9 de la Constitución. Considero así que incluir este caso en la afirmación genérica de que los Gobiernos Departamentales no tienen competencia para construir viviendas, es desacertada. </w:t>
      </w:r>
    </w:p>
    <w:p w:rsidR="000607AC" w:rsidRPr="000607AC" w:rsidRDefault="000607AC" w:rsidP="000607AC">
      <w:pPr>
        <w:spacing w:line="360" w:lineRule="auto"/>
        <w:jc w:val="both"/>
        <w:rPr>
          <w:rFonts w:ascii="Arial" w:hAnsi="Arial" w:cs="Arial"/>
          <w:b w:val="0"/>
          <w:szCs w:val="24"/>
          <w:lang w:val="es-UY"/>
        </w:rPr>
      </w:pPr>
      <w:r w:rsidRPr="000607AC">
        <w:rPr>
          <w:rFonts w:ascii="Arial" w:hAnsi="Arial" w:cs="Arial"/>
          <w:b w:val="0"/>
          <w:szCs w:val="24"/>
        </w:rPr>
        <w:t>Por lo expuesto, he votado en forma discorde la Resolución de este expediente.</w:t>
      </w:r>
      <w:r>
        <w:rPr>
          <w:rFonts w:ascii="Arial" w:hAnsi="Arial" w:cs="Arial"/>
          <w:b w:val="0"/>
          <w:szCs w:val="24"/>
        </w:rPr>
        <w:t>”</w:t>
      </w:r>
    </w:p>
    <w:p w:rsidR="000607AC" w:rsidRPr="000607AC" w:rsidRDefault="000607AC" w:rsidP="000607AC">
      <w:pPr>
        <w:spacing w:line="360" w:lineRule="auto"/>
        <w:rPr>
          <w:rFonts w:ascii="Arial" w:hAnsi="Arial" w:cs="Arial"/>
          <w:b w:val="0"/>
          <w:szCs w:val="24"/>
        </w:rPr>
      </w:pPr>
    </w:p>
    <w:p w:rsidR="000607AC" w:rsidRPr="000607AC" w:rsidRDefault="000607AC" w:rsidP="000607AC">
      <w:pPr>
        <w:spacing w:line="360" w:lineRule="auto"/>
        <w:jc w:val="both"/>
        <w:rPr>
          <w:rFonts w:ascii="Arial" w:hAnsi="Arial" w:cs="Arial"/>
          <w:b w:val="0"/>
          <w:szCs w:val="24"/>
        </w:rPr>
      </w:pPr>
    </w:p>
    <w:p w:rsidR="000E430D" w:rsidRPr="000607AC" w:rsidRDefault="000E430D" w:rsidP="000607AC">
      <w:pPr>
        <w:spacing w:line="360" w:lineRule="auto"/>
        <w:jc w:val="both"/>
        <w:rPr>
          <w:rFonts w:ascii="Arial" w:hAnsi="Arial" w:cs="Arial"/>
          <w:b w:val="0"/>
          <w:szCs w:val="24"/>
          <w:lang w:val="es-UY"/>
        </w:rPr>
      </w:pPr>
    </w:p>
    <w:p w:rsidR="000E430D" w:rsidRPr="000E430D" w:rsidRDefault="000E430D" w:rsidP="00D71A3A">
      <w:pPr>
        <w:spacing w:line="360" w:lineRule="auto"/>
        <w:jc w:val="both"/>
        <w:rPr>
          <w:rFonts w:ascii="Arial" w:hAnsi="Arial" w:cs="Arial"/>
          <w:szCs w:val="24"/>
          <w:lang w:val="es-UY"/>
        </w:rPr>
      </w:pPr>
    </w:p>
    <w:p w:rsidR="008B10CE" w:rsidRPr="008B10CE" w:rsidRDefault="000E430D" w:rsidP="008B10CE">
      <w:pPr>
        <w:spacing w:line="360" w:lineRule="auto"/>
        <w:jc w:val="both"/>
        <w:rPr>
          <w:rFonts w:ascii="Arial" w:hAnsi="Arial" w:cs="Arial"/>
          <w:b w:val="0"/>
        </w:rPr>
      </w:pPr>
      <w:r w:rsidRPr="000E430D">
        <w:rPr>
          <w:rFonts w:ascii="Arial" w:hAnsi="Arial" w:cs="Arial"/>
          <w:szCs w:val="24"/>
          <w:lang w:val="es-UY"/>
        </w:rPr>
        <w:t xml:space="preserve">CONSTANCIA DE FUNDAMENTO DE VOTO DISCORDE DEL MINISTRO LEON LEV: </w:t>
      </w:r>
      <w:r w:rsidR="000607AC" w:rsidRPr="000607AC">
        <w:rPr>
          <w:rFonts w:ascii="Arial" w:hAnsi="Arial" w:cs="Arial"/>
          <w:b w:val="0"/>
          <w:szCs w:val="24"/>
          <w:lang w:val="es-UY"/>
        </w:rPr>
        <w:t>“</w:t>
      </w:r>
      <w:r w:rsidR="008B10CE" w:rsidRPr="008B10CE">
        <w:rPr>
          <w:rFonts w:ascii="Arial" w:hAnsi="Arial" w:cs="Arial"/>
          <w:b w:val="0"/>
        </w:rPr>
        <w:t>Voto discorde la resolución sobre el expediente remitido por la Intendencia de Montevideo, relacionado con la ejecución de las obras de construcción de hasta 56 viviendas para realojos del asentamiento Isla de  Gaspar del departamento de Montevideo.</w:t>
      </w:r>
    </w:p>
    <w:p w:rsidR="008B10CE" w:rsidRPr="008B10CE" w:rsidRDefault="008B10CE" w:rsidP="008B10CE">
      <w:pPr>
        <w:spacing w:line="360" w:lineRule="auto"/>
        <w:jc w:val="both"/>
        <w:rPr>
          <w:rFonts w:ascii="Arial" w:hAnsi="Arial" w:cs="Arial"/>
          <w:b w:val="0"/>
        </w:rPr>
      </w:pPr>
      <w:r w:rsidRPr="008B10CE">
        <w:rPr>
          <w:rFonts w:ascii="Arial" w:hAnsi="Arial" w:cs="Arial"/>
          <w:b w:val="0"/>
        </w:rPr>
        <w:t>Como ya  he votado discorde  este mismo expediente  en la Sesión del 16 de noviembre de 2016, señalando que el realojo de asentamientos se funda en el precepto constitucional que las intendencias “tienen entre sus cometidos” velar por la salud pública de la población del Departamento y que los aportes destinados a realojos tienen como finalidad procurar la mejora de las condiciones sanitarias de la población y encuadran en el Artículo 275, numeral 9 de la Constitución de la República”</w:t>
      </w:r>
    </w:p>
    <w:p w:rsidR="008B10CE" w:rsidRPr="008B10CE" w:rsidRDefault="008B10CE" w:rsidP="008B10CE">
      <w:pPr>
        <w:spacing w:line="360" w:lineRule="auto"/>
        <w:jc w:val="both"/>
        <w:rPr>
          <w:rFonts w:ascii="Arial" w:hAnsi="Arial" w:cs="Arial"/>
          <w:b w:val="0"/>
        </w:rPr>
      </w:pPr>
      <w:r w:rsidRPr="008B10CE">
        <w:rPr>
          <w:rFonts w:ascii="Arial" w:hAnsi="Arial" w:cs="Arial"/>
          <w:b w:val="0"/>
        </w:rPr>
        <w:t>A su vez la Ley 13728 incluye a los gobiernos Departamentales entre las Personas Públicas integrantes del Sistema Público de Producción de Viviendas, otorgándoles competencia.</w:t>
      </w:r>
      <w:r>
        <w:rPr>
          <w:rFonts w:ascii="Arial" w:hAnsi="Arial" w:cs="Arial"/>
          <w:b w:val="0"/>
        </w:rPr>
        <w:t>”</w:t>
      </w:r>
      <w:bookmarkStart w:id="0" w:name="_GoBack"/>
      <w:bookmarkEnd w:id="0"/>
    </w:p>
    <w:p w:rsidR="000E430D" w:rsidRPr="000607AC" w:rsidRDefault="000E430D" w:rsidP="00D71A3A">
      <w:pPr>
        <w:spacing w:line="360" w:lineRule="auto"/>
        <w:jc w:val="both"/>
        <w:rPr>
          <w:rFonts w:ascii="Arial" w:hAnsi="Arial" w:cs="Arial"/>
          <w:b w:val="0"/>
          <w:szCs w:val="24"/>
          <w:lang w:val="es-UY"/>
        </w:rPr>
      </w:pPr>
    </w:p>
    <w:p w:rsidR="000E430D" w:rsidRPr="000E430D" w:rsidRDefault="000E430D" w:rsidP="00D71A3A">
      <w:pPr>
        <w:spacing w:line="360" w:lineRule="auto"/>
        <w:jc w:val="both"/>
        <w:rPr>
          <w:rFonts w:ascii="Arial" w:hAnsi="Arial" w:cs="Arial"/>
          <w:szCs w:val="24"/>
          <w:lang w:val="es-UY"/>
        </w:rPr>
      </w:pPr>
    </w:p>
    <w:p w:rsidR="000E430D" w:rsidRPr="000E430D" w:rsidRDefault="000E430D" w:rsidP="00BF5137">
      <w:pPr>
        <w:spacing w:line="360" w:lineRule="auto"/>
        <w:jc w:val="both"/>
        <w:rPr>
          <w:rFonts w:ascii="Arial" w:hAnsi="Arial" w:cs="Arial"/>
          <w:szCs w:val="24"/>
          <w:lang w:val="es-UY"/>
        </w:rPr>
      </w:pPr>
    </w:p>
    <w:p w:rsidR="000E430D" w:rsidRPr="000E430D" w:rsidRDefault="000E430D" w:rsidP="00BF5137">
      <w:pPr>
        <w:spacing w:line="360" w:lineRule="auto"/>
        <w:jc w:val="both"/>
        <w:rPr>
          <w:rFonts w:ascii="Arial" w:hAnsi="Arial" w:cs="Arial"/>
          <w:szCs w:val="24"/>
          <w:lang w:val="es-UY"/>
        </w:rPr>
      </w:pPr>
    </w:p>
    <w:p w:rsidR="000E430D" w:rsidRPr="000E430D" w:rsidRDefault="000E430D" w:rsidP="00305A73">
      <w:pPr>
        <w:spacing w:line="360" w:lineRule="auto"/>
        <w:rPr>
          <w:rFonts w:ascii="Arial" w:hAnsi="Arial" w:cs="Arial"/>
          <w:szCs w:val="24"/>
          <w:lang w:val="es-UY"/>
        </w:rPr>
      </w:pPr>
    </w:p>
    <w:p w:rsidR="000E430D" w:rsidRPr="000E430D" w:rsidRDefault="000E430D" w:rsidP="00FB4277">
      <w:pPr>
        <w:spacing w:line="360" w:lineRule="auto"/>
        <w:rPr>
          <w:rFonts w:ascii="Arial" w:hAnsi="Arial" w:cs="Arial"/>
          <w:szCs w:val="24"/>
          <w:lang w:val="es-UY"/>
        </w:rPr>
      </w:pPr>
    </w:p>
    <w:p w:rsidR="000E430D" w:rsidRPr="00FB4277" w:rsidRDefault="000E430D" w:rsidP="00FB4277">
      <w:pPr>
        <w:spacing w:line="360" w:lineRule="auto"/>
        <w:rPr>
          <w:rFonts w:ascii="Arial" w:hAnsi="Arial" w:cs="Arial"/>
          <w:szCs w:val="24"/>
          <w:lang w:val="es-UY"/>
        </w:rPr>
      </w:pPr>
    </w:p>
    <w:p w:rsidR="000E430D" w:rsidRPr="00FB4277" w:rsidRDefault="000E430D" w:rsidP="00FB4277">
      <w:pPr>
        <w:spacing w:line="360" w:lineRule="auto"/>
        <w:rPr>
          <w:rFonts w:ascii="Arial" w:hAnsi="Arial" w:cs="Arial"/>
          <w:szCs w:val="24"/>
          <w:lang w:val="es-UY"/>
        </w:rPr>
      </w:pPr>
      <w:r w:rsidRPr="00FB4277">
        <w:rPr>
          <w:rFonts w:ascii="Arial" w:hAnsi="Arial" w:cs="Arial"/>
          <w:szCs w:val="24"/>
          <w:lang w:val="es-UY"/>
        </w:rPr>
        <w:t xml:space="preserve">        </w:t>
      </w:r>
    </w:p>
    <w:p w:rsidR="000E430D" w:rsidRPr="006A2B03" w:rsidRDefault="000E430D" w:rsidP="006A2B03">
      <w:pPr>
        <w:rPr>
          <w:lang w:val="es-UY"/>
        </w:rPr>
      </w:pPr>
    </w:p>
    <w:p w:rsidR="000E430D" w:rsidRPr="00FD0D4F" w:rsidRDefault="000E430D" w:rsidP="003C09EB">
      <w:pPr>
        <w:pStyle w:val="Ttulo"/>
        <w:jc w:val="both"/>
        <w:rPr>
          <w:rFonts w:cs="Arial"/>
          <w:b w:val="0"/>
          <w:bCs/>
          <w:sz w:val="20"/>
          <w:szCs w:val="20"/>
          <w:u w:val="none"/>
        </w:rPr>
      </w:pPr>
    </w:p>
    <w:sectPr w:rsidR="000E430D" w:rsidRPr="00FD0D4F" w:rsidSect="000607AC">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C2C80586"/>
    <w:lvl w:ilvl="0" w:tplc="3FDE9408">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nsid w:val="2B076B92"/>
    <w:multiLevelType w:val="singleLevel"/>
    <w:tmpl w:val="F56CB3FE"/>
    <w:lvl w:ilvl="0">
      <w:start w:val="1"/>
      <w:numFmt w:val="decimal"/>
      <w:lvlText w:val="%1)"/>
      <w:lvlJc w:val="left"/>
      <w:pPr>
        <w:tabs>
          <w:tab w:val="num" w:pos="360"/>
        </w:tabs>
        <w:ind w:left="360" w:hanging="360"/>
      </w:pPr>
      <w:rPr>
        <w:rFonts w:hint="default"/>
        <w:b/>
      </w:rPr>
    </w:lvl>
  </w:abstractNum>
  <w:abstractNum w:abstractNumId="2">
    <w:nsid w:val="426E43C0"/>
    <w:multiLevelType w:val="hybridMultilevel"/>
    <w:tmpl w:val="793450BE"/>
    <w:lvl w:ilvl="0" w:tplc="21B0A4FE">
      <w:start w:val="1"/>
      <w:numFmt w:val="upperRoman"/>
      <w:pStyle w:val="Ttulo8"/>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64"/>
    <w:rsid w:val="000607AC"/>
    <w:rsid w:val="0006506F"/>
    <w:rsid w:val="000E430D"/>
    <w:rsid w:val="00112090"/>
    <w:rsid w:val="00112596"/>
    <w:rsid w:val="001F55D9"/>
    <w:rsid w:val="0021506E"/>
    <w:rsid w:val="00244C47"/>
    <w:rsid w:val="002A6D0C"/>
    <w:rsid w:val="002F1BC3"/>
    <w:rsid w:val="00300A80"/>
    <w:rsid w:val="00333494"/>
    <w:rsid w:val="003C09EB"/>
    <w:rsid w:val="003C2CBD"/>
    <w:rsid w:val="003C6207"/>
    <w:rsid w:val="004A6564"/>
    <w:rsid w:val="00560563"/>
    <w:rsid w:val="00597054"/>
    <w:rsid w:val="00630F97"/>
    <w:rsid w:val="006409A5"/>
    <w:rsid w:val="00665011"/>
    <w:rsid w:val="006B3D9F"/>
    <w:rsid w:val="007A3692"/>
    <w:rsid w:val="007B0CB1"/>
    <w:rsid w:val="00867F45"/>
    <w:rsid w:val="00896120"/>
    <w:rsid w:val="008B10CE"/>
    <w:rsid w:val="009724EF"/>
    <w:rsid w:val="00A5657A"/>
    <w:rsid w:val="00AF70E6"/>
    <w:rsid w:val="00B536A9"/>
    <w:rsid w:val="00B87DBD"/>
    <w:rsid w:val="00C865F4"/>
    <w:rsid w:val="00CF0974"/>
    <w:rsid w:val="00D33373"/>
    <w:rsid w:val="00E030B4"/>
    <w:rsid w:val="00E82998"/>
    <w:rsid w:val="00ED570D"/>
    <w:rsid w:val="00FD0D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6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0607AC"/>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unhideWhenUsed/>
    <w:qFormat/>
    <w:rsid w:val="004A6564"/>
    <w:pPr>
      <w:keepNext/>
      <w:jc w:val="center"/>
      <w:outlineLvl w:val="1"/>
    </w:pPr>
    <w:rPr>
      <w:rFonts w:ascii="Arial" w:hAnsi="Arial" w:cs="Arial"/>
      <w:lang w:val="es-ES_tradnl"/>
    </w:rPr>
  </w:style>
  <w:style w:type="paragraph" w:styleId="Ttulo8">
    <w:name w:val="heading 8"/>
    <w:basedOn w:val="Normal"/>
    <w:next w:val="Normal"/>
    <w:link w:val="Ttulo8Car"/>
    <w:unhideWhenUsed/>
    <w:qFormat/>
    <w:rsid w:val="004A6564"/>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A6564"/>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4A6564"/>
    <w:rPr>
      <w:rFonts w:ascii="Arial" w:eastAsia="Times New Roman" w:hAnsi="Arial" w:cs="Arial"/>
      <w:b/>
      <w:color w:val="000000"/>
      <w:sz w:val="24"/>
      <w:szCs w:val="20"/>
      <w:lang w:val="es-ES_tradnl" w:eastAsia="es-ES"/>
    </w:rPr>
  </w:style>
  <w:style w:type="paragraph" w:styleId="Ttulo">
    <w:name w:val="Title"/>
    <w:basedOn w:val="Normal"/>
    <w:link w:val="TtuloCar"/>
    <w:qFormat/>
    <w:rsid w:val="004A656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4A6564"/>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4A6564"/>
    <w:pPr>
      <w:spacing w:line="360" w:lineRule="auto"/>
      <w:jc w:val="center"/>
    </w:pPr>
    <w:rPr>
      <w:rFonts w:ascii="Arial" w:hAnsi="Arial" w:cs="Arial"/>
    </w:rPr>
  </w:style>
  <w:style w:type="character" w:customStyle="1" w:styleId="SubttuloCar">
    <w:name w:val="Subtítulo Car"/>
    <w:basedOn w:val="Fuentedeprrafopredeter"/>
    <w:link w:val="Subttulo"/>
    <w:rsid w:val="004A6564"/>
    <w:rPr>
      <w:rFonts w:ascii="Arial" w:eastAsia="Times New Roman" w:hAnsi="Arial" w:cs="Arial"/>
      <w:b/>
      <w:color w:val="000000"/>
      <w:sz w:val="24"/>
      <w:szCs w:val="20"/>
      <w:lang w:eastAsia="es-ES"/>
    </w:rPr>
  </w:style>
  <w:style w:type="paragraph" w:styleId="Textoindependiente2">
    <w:name w:val="Body Text 2"/>
    <w:basedOn w:val="Normal"/>
    <w:link w:val="Textoindependiente2Car"/>
    <w:semiHidden/>
    <w:unhideWhenUsed/>
    <w:rsid w:val="004A6564"/>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4A6564"/>
    <w:rPr>
      <w:rFonts w:ascii="Arial" w:eastAsia="Times New Roman" w:hAnsi="Arial" w:cs="Arial"/>
      <w:bCs/>
      <w:color w:val="000000"/>
      <w:sz w:val="24"/>
      <w:szCs w:val="20"/>
      <w:lang w:val="es-ES_tradnl" w:eastAsia="es-ES"/>
    </w:rPr>
  </w:style>
  <w:style w:type="character" w:styleId="Hipervnculo">
    <w:name w:val="Hyperlink"/>
    <w:basedOn w:val="Fuentedeprrafopredeter"/>
    <w:uiPriority w:val="99"/>
    <w:unhideWhenUsed/>
    <w:rsid w:val="00560563"/>
    <w:rPr>
      <w:color w:val="0000FF" w:themeColor="hyperlink"/>
      <w:u w:val="single"/>
    </w:rPr>
  </w:style>
  <w:style w:type="character" w:customStyle="1" w:styleId="Ttulo1Car">
    <w:name w:val="Título 1 Car"/>
    <w:basedOn w:val="Fuentedeprrafopredeter"/>
    <w:link w:val="Ttulo1"/>
    <w:uiPriority w:val="9"/>
    <w:rsid w:val="000607AC"/>
    <w:rPr>
      <w:rFonts w:asciiTheme="majorHAnsi" w:eastAsiaTheme="majorEastAsia" w:hAnsiTheme="majorHAnsi" w:cstheme="majorBidi"/>
      <w:bCs/>
      <w:color w:val="365F91" w:themeColor="accent1" w:themeShade="BF"/>
      <w:sz w:val="28"/>
      <w:szCs w:val="2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6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0607AC"/>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unhideWhenUsed/>
    <w:qFormat/>
    <w:rsid w:val="004A6564"/>
    <w:pPr>
      <w:keepNext/>
      <w:jc w:val="center"/>
      <w:outlineLvl w:val="1"/>
    </w:pPr>
    <w:rPr>
      <w:rFonts w:ascii="Arial" w:hAnsi="Arial" w:cs="Arial"/>
      <w:lang w:val="es-ES_tradnl"/>
    </w:rPr>
  </w:style>
  <w:style w:type="paragraph" w:styleId="Ttulo8">
    <w:name w:val="heading 8"/>
    <w:basedOn w:val="Normal"/>
    <w:next w:val="Normal"/>
    <w:link w:val="Ttulo8Car"/>
    <w:unhideWhenUsed/>
    <w:qFormat/>
    <w:rsid w:val="004A6564"/>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A6564"/>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4A6564"/>
    <w:rPr>
      <w:rFonts w:ascii="Arial" w:eastAsia="Times New Roman" w:hAnsi="Arial" w:cs="Arial"/>
      <w:b/>
      <w:color w:val="000000"/>
      <w:sz w:val="24"/>
      <w:szCs w:val="20"/>
      <w:lang w:val="es-ES_tradnl" w:eastAsia="es-ES"/>
    </w:rPr>
  </w:style>
  <w:style w:type="paragraph" w:styleId="Ttulo">
    <w:name w:val="Title"/>
    <w:basedOn w:val="Normal"/>
    <w:link w:val="TtuloCar"/>
    <w:qFormat/>
    <w:rsid w:val="004A656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4A6564"/>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4A6564"/>
    <w:pPr>
      <w:spacing w:line="360" w:lineRule="auto"/>
      <w:jc w:val="center"/>
    </w:pPr>
    <w:rPr>
      <w:rFonts w:ascii="Arial" w:hAnsi="Arial" w:cs="Arial"/>
    </w:rPr>
  </w:style>
  <w:style w:type="character" w:customStyle="1" w:styleId="SubttuloCar">
    <w:name w:val="Subtítulo Car"/>
    <w:basedOn w:val="Fuentedeprrafopredeter"/>
    <w:link w:val="Subttulo"/>
    <w:rsid w:val="004A6564"/>
    <w:rPr>
      <w:rFonts w:ascii="Arial" w:eastAsia="Times New Roman" w:hAnsi="Arial" w:cs="Arial"/>
      <w:b/>
      <w:color w:val="000000"/>
      <w:sz w:val="24"/>
      <w:szCs w:val="20"/>
      <w:lang w:eastAsia="es-ES"/>
    </w:rPr>
  </w:style>
  <w:style w:type="paragraph" w:styleId="Textoindependiente2">
    <w:name w:val="Body Text 2"/>
    <w:basedOn w:val="Normal"/>
    <w:link w:val="Textoindependiente2Car"/>
    <w:semiHidden/>
    <w:unhideWhenUsed/>
    <w:rsid w:val="004A6564"/>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4A6564"/>
    <w:rPr>
      <w:rFonts w:ascii="Arial" w:eastAsia="Times New Roman" w:hAnsi="Arial" w:cs="Arial"/>
      <w:bCs/>
      <w:color w:val="000000"/>
      <w:sz w:val="24"/>
      <w:szCs w:val="20"/>
      <w:lang w:val="es-ES_tradnl" w:eastAsia="es-ES"/>
    </w:rPr>
  </w:style>
  <w:style w:type="character" w:styleId="Hipervnculo">
    <w:name w:val="Hyperlink"/>
    <w:basedOn w:val="Fuentedeprrafopredeter"/>
    <w:uiPriority w:val="99"/>
    <w:unhideWhenUsed/>
    <w:rsid w:val="00560563"/>
    <w:rPr>
      <w:color w:val="0000FF" w:themeColor="hyperlink"/>
      <w:u w:val="single"/>
    </w:rPr>
  </w:style>
  <w:style w:type="character" w:customStyle="1" w:styleId="Ttulo1Car">
    <w:name w:val="Título 1 Car"/>
    <w:basedOn w:val="Fuentedeprrafopredeter"/>
    <w:link w:val="Ttulo1"/>
    <w:uiPriority w:val="9"/>
    <w:rsid w:val="000607AC"/>
    <w:rPr>
      <w:rFonts w:asciiTheme="majorHAnsi" w:eastAsiaTheme="majorEastAsia" w:hAnsiTheme="majorHAnsi" w:cstheme="majorBidi"/>
      <w:bCs/>
      <w:color w:val="365F91" w:themeColor="accent1" w:themeShade="BF"/>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5963">
      <w:bodyDiv w:val="1"/>
      <w:marLeft w:val="0"/>
      <w:marRight w:val="0"/>
      <w:marTop w:val="0"/>
      <w:marBottom w:val="0"/>
      <w:divBdr>
        <w:top w:val="none" w:sz="0" w:space="0" w:color="auto"/>
        <w:left w:val="none" w:sz="0" w:space="0" w:color="auto"/>
        <w:bottom w:val="none" w:sz="0" w:space="0" w:color="auto"/>
        <w:right w:val="none" w:sz="0" w:space="0" w:color="auto"/>
      </w:divBdr>
    </w:div>
    <w:div w:id="457572809">
      <w:bodyDiv w:val="1"/>
      <w:marLeft w:val="0"/>
      <w:marRight w:val="0"/>
      <w:marTop w:val="0"/>
      <w:marBottom w:val="0"/>
      <w:divBdr>
        <w:top w:val="none" w:sz="0" w:space="0" w:color="auto"/>
        <w:left w:val="none" w:sz="0" w:space="0" w:color="auto"/>
        <w:bottom w:val="none" w:sz="0" w:space="0" w:color="auto"/>
        <w:right w:val="none" w:sz="0" w:space="0" w:color="auto"/>
      </w:divBdr>
    </w:div>
    <w:div w:id="20894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AREOSO USHER</dc:creator>
  <cp:lastModifiedBy>tribunal1</cp:lastModifiedBy>
  <cp:revision>7</cp:revision>
  <dcterms:created xsi:type="dcterms:W3CDTF">2018-10-10T13:40:00Z</dcterms:created>
  <dcterms:modified xsi:type="dcterms:W3CDTF">2018-10-10T15:10:00Z</dcterms:modified>
</cp:coreProperties>
</file>