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49" w:rsidRPr="00786EEB" w:rsidRDefault="00E7034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3099/18</w:t>
      </w:r>
    </w:p>
    <w:p w:rsidR="00E70349" w:rsidRPr="00E70349" w:rsidRDefault="00E70349" w:rsidP="00E703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7034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70349" w:rsidRPr="00E70349" w:rsidRDefault="00E70349" w:rsidP="00E703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0349" w:rsidRPr="00E70349" w:rsidRDefault="00E70349" w:rsidP="00E703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7034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70349" w:rsidRPr="00E70349" w:rsidRDefault="00E70349" w:rsidP="00E703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0349" w:rsidRPr="00E70349" w:rsidRDefault="00E70349" w:rsidP="00E703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70349">
        <w:rPr>
          <w:rFonts w:ascii="Arial" w:hAnsi="Arial" w:cs="Arial"/>
          <w:b/>
          <w:sz w:val="24"/>
          <w:szCs w:val="24"/>
          <w:lang w:val="es-ES_tradnl"/>
        </w:rPr>
        <w:t xml:space="preserve">EN SESION DE FECHA 3 DE OCTUBRE </w:t>
      </w:r>
      <w:r w:rsidRPr="00E7034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E70349" w:rsidRPr="00E70349" w:rsidRDefault="00E70349" w:rsidP="00E703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0349" w:rsidRDefault="00E70349" w:rsidP="00E703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7034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2017-17-1-0006364</w:t>
      </w:r>
      <w:r w:rsidRPr="00E7034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E7034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E70349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4254/18</w:t>
      </w:r>
      <w:r w:rsidRPr="00E7034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70349" w:rsidRPr="00E70349" w:rsidRDefault="00E70349" w:rsidP="00E703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70349" w:rsidRDefault="00E7034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653CB" w:rsidRDefault="000653CB" w:rsidP="00EE4C8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4E17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nuevas actuaciones remitidas por el Ministerio de Transporte y Obras Públicas relacionadas con la Contratación Directa por Excepción  con la firma INECO S.A. (Ingeniería y Economía del Transporte S.A.), de titularidad jurídica del Estado Español, para la contratación de un servicio de “Asistencia Técnica para la Licitación de la Concesión de la Rehabilitación y Mantenimiento e</w:t>
      </w:r>
      <w:r w:rsidR="000D67B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la Línea Ferroviaria Paso de los Toros – Montevideo y Accesos al Puerto” al amparo del </w:t>
      </w:r>
      <w:r w:rsidR="00EE4C8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17) del </w:t>
      </w:r>
      <w:r w:rsidR="00EE4C8B">
        <w:rPr>
          <w:rFonts w:ascii="Arial" w:hAnsi="Arial" w:cs="Arial"/>
          <w:sz w:val="24"/>
          <w:szCs w:val="24"/>
        </w:rPr>
        <w:t>A</w:t>
      </w:r>
      <w:r w:rsidR="001712D9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33 del TOCAF;</w:t>
      </w:r>
    </w:p>
    <w:p w:rsidR="000653CB" w:rsidRDefault="000653CB" w:rsidP="00EE4C8B">
      <w:pPr>
        <w:spacing w:after="0" w:line="360" w:lineRule="auto"/>
        <w:ind w:firstLine="708"/>
        <w:jc w:val="both"/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</w:pPr>
      <w:r w:rsidRPr="00E24E17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dicha contratación </w:t>
      </w:r>
      <w:r w:rsidR="001712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enmarca en el 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</w:t>
      </w:r>
      <w:r w:rsidRPr="00C07E16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Memorando de Entendimiento entr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e el Ministerio de Fomento del R</w:t>
      </w:r>
      <w:r w:rsidRPr="00C07E16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eino de España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y el MTOP en el ámbito de las Infraestructuras y los T</w:t>
      </w:r>
      <w:r w:rsidRPr="00C07E16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ransportes, 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firmado en la ciudad de Montevideo el 24/04/2017;</w:t>
      </w:r>
    </w:p>
    <w:p w:rsidR="00EE4C8B" w:rsidRDefault="000653CB" w:rsidP="00EE4C8B">
      <w:pPr>
        <w:spacing w:after="0" w:line="360" w:lineRule="auto"/>
        <w:ind w:firstLine="2552"/>
        <w:jc w:val="both"/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</w:pPr>
      <w:r w:rsidRPr="00E24E17">
        <w:rPr>
          <w:rFonts w:ascii="Arial" w:hAnsi="Arial" w:cs="Arial"/>
          <w:b/>
          <w:bCs w:val="0"/>
          <w:spacing w:val="0"/>
          <w:sz w:val="24"/>
          <w:szCs w:val="24"/>
          <w:lang w:val="es-ES" w:eastAsia="es-ES"/>
        </w:rPr>
        <w:t>2)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que por </w:t>
      </w:r>
      <w:r w:rsidR="001712D9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Resolución </w:t>
      </w:r>
      <w:r w:rsidRPr="006B6AFC">
        <w:rPr>
          <w:rFonts w:ascii="Arial" w:hAnsi="Arial"/>
          <w:bCs w:val="0"/>
          <w:spacing w:val="0"/>
          <w:sz w:val="24"/>
          <w:szCs w:val="24"/>
          <w:lang w:val="es-ES" w:eastAsia="es-ES"/>
        </w:rPr>
        <w:t>de fecha 15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/09/</w:t>
      </w:r>
      <w:r w:rsidRPr="006B6AFC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2017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dictada </w:t>
      </w:r>
      <w:r w:rsidRPr="006B6AFC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por el Ministro de Transporte y Obras Públicas en ejercicio de atribuciones delegadas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, ad referéndum de la intervención de este Tribunal, </w:t>
      </w:r>
      <w:r w:rsidRPr="006B6AFC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se autoriza</w:t>
      </w:r>
      <w:r w:rsidRPr="006B6AFC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la Contratación Directa por Excepción tendiente a la </w:t>
      </w:r>
      <w:r w:rsidRPr="006B6AFC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“Asistencia Técnica para la Licitación de la Concesión de la Rehabilitación y Mantenimiento de la Línea Ferroviaria Paso de los Toros – Montevideo y Accesos al Puerto”, a la firma INECO por la suma de </w:t>
      </w:r>
      <w:r w:rsidRPr="006B6AFC"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  <w:t>€ 180.150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  <w:t>;</w:t>
      </w:r>
    </w:p>
    <w:p w:rsidR="00EE4C8B" w:rsidRDefault="000653CB" w:rsidP="00EE4C8B">
      <w:pPr>
        <w:spacing w:after="0" w:line="360" w:lineRule="auto"/>
        <w:ind w:firstLine="2552"/>
        <w:jc w:val="both"/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</w:pPr>
      <w:r w:rsidRPr="00E24E17">
        <w:rPr>
          <w:rFonts w:ascii="Arial" w:hAnsi="Arial" w:cs="Arial"/>
          <w:b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  <w:t>3)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  <w:t xml:space="preserve"> que 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e</w:t>
      </w:r>
      <w:r w:rsidRPr="00B16C56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ste Tribunal</w:t>
      </w:r>
      <w:r w:rsidR="007201F7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,</w:t>
      </w:r>
      <w:r>
        <w:rPr>
          <w:rFonts w:ascii="Arial" w:hAnsi="Arial"/>
          <w:b/>
          <w:bCs w:val="0"/>
          <w:snapToGrid w:val="0"/>
          <w:spacing w:val="0"/>
          <w:sz w:val="24"/>
          <w:lang w:val="es-ES" w:eastAsia="es-ES"/>
        </w:rPr>
        <w:t xml:space="preserve"> 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en </w:t>
      </w:r>
      <w:r w:rsidR="001712D9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S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esión de fecha 11/10/2017, acordó observar el gasto por considerar que: </w:t>
      </w:r>
      <w:r w:rsidRPr="001712D9">
        <w:rPr>
          <w:rFonts w:ascii="Arial" w:hAnsi="Arial"/>
          <w:b/>
          <w:bCs w:val="0"/>
          <w:snapToGrid w:val="0"/>
          <w:sz w:val="24"/>
          <w:lang w:val="es-ES_tradnl" w:eastAsia="es-ES"/>
        </w:rPr>
        <w:t>1)</w:t>
      </w:r>
      <w:r>
        <w:rPr>
          <w:rFonts w:ascii="Arial" w:hAnsi="Arial"/>
          <w:b/>
          <w:bCs w:val="0"/>
          <w:snapToGrid w:val="0"/>
          <w:sz w:val="24"/>
          <w:lang w:val="es-ES_tradnl" w:eastAsia="es-ES"/>
        </w:rPr>
        <w:t xml:space="preserve"> 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>no obstante invocar la  Admin</w:t>
      </w:r>
      <w:r w:rsidR="000D67B5">
        <w:rPr>
          <w:rFonts w:ascii="Arial" w:hAnsi="Arial"/>
          <w:bCs w:val="0"/>
          <w:snapToGrid w:val="0"/>
          <w:sz w:val="24"/>
          <w:lang w:val="es-ES_tradnl" w:eastAsia="es-ES"/>
        </w:rPr>
        <w:t xml:space="preserve">istración la suscripción de un 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>Entendimiento Interg</w:t>
      </w:r>
      <w:r>
        <w:rPr>
          <w:rFonts w:ascii="Arial" w:hAnsi="Arial"/>
          <w:bCs w:val="0"/>
          <w:snapToGrid w:val="0"/>
          <w:sz w:val="24"/>
          <w:lang w:val="es-ES_tradnl" w:eastAsia="es-ES"/>
        </w:rPr>
        <w:t>u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 xml:space="preserve">bernamental, no acredita, al invocar la excepción para recurrir a la compra directa, que dicho 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lastRenderedPageBreak/>
        <w:t xml:space="preserve">Memorando involucre un intercambio compensado con </w:t>
      </w:r>
      <w:r>
        <w:rPr>
          <w:rFonts w:ascii="Arial" w:hAnsi="Arial"/>
          <w:bCs w:val="0"/>
          <w:snapToGrid w:val="0"/>
          <w:sz w:val="24"/>
          <w:lang w:val="es-ES_tradnl" w:eastAsia="es-ES"/>
        </w:rPr>
        <w:t>p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 xml:space="preserve">roductos nacionales de exportación, tal como exige la norma del </w:t>
      </w:r>
      <w:r w:rsidR="001712D9">
        <w:rPr>
          <w:rFonts w:ascii="Arial" w:hAnsi="Arial"/>
          <w:bCs w:val="0"/>
          <w:snapToGrid w:val="0"/>
          <w:sz w:val="24"/>
          <w:lang w:val="es-ES_tradnl" w:eastAsia="es-ES"/>
        </w:rPr>
        <w:t>artículo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 xml:space="preserve"> 33</w:t>
      </w:r>
      <w:r w:rsidR="001712D9">
        <w:rPr>
          <w:rFonts w:ascii="Arial" w:hAnsi="Arial"/>
          <w:bCs w:val="0"/>
          <w:snapToGrid w:val="0"/>
          <w:sz w:val="24"/>
          <w:lang w:val="es-ES_tradnl" w:eastAsia="es-ES"/>
        </w:rPr>
        <w:t>, l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>iteral C)</w:t>
      </w:r>
      <w:r w:rsidR="001712D9">
        <w:rPr>
          <w:rFonts w:ascii="Arial" w:hAnsi="Arial"/>
          <w:bCs w:val="0"/>
          <w:snapToGrid w:val="0"/>
          <w:sz w:val="24"/>
          <w:lang w:val="es-ES_tradnl" w:eastAsia="es-ES"/>
        </w:rPr>
        <w:t>, n</w:t>
      </w:r>
      <w:r w:rsidRPr="00C07E16">
        <w:rPr>
          <w:rFonts w:ascii="Arial" w:hAnsi="Arial"/>
          <w:bCs w:val="0"/>
          <w:snapToGrid w:val="0"/>
          <w:sz w:val="24"/>
          <w:lang w:val="es-ES_tradnl" w:eastAsia="es-ES"/>
        </w:rPr>
        <w:t>umeral 17) del TOCAF;</w:t>
      </w:r>
      <w:r>
        <w:rPr>
          <w:rFonts w:ascii="Arial" w:hAnsi="Arial"/>
          <w:bCs w:val="0"/>
          <w:snapToGrid w:val="0"/>
          <w:sz w:val="24"/>
          <w:lang w:val="es-ES_tradnl" w:eastAsia="es-ES"/>
        </w:rPr>
        <w:t xml:space="preserve"> y </w:t>
      </w:r>
      <w:r w:rsidRPr="001712D9">
        <w:rPr>
          <w:rFonts w:ascii="Arial" w:hAnsi="Arial"/>
          <w:b/>
          <w:bCs w:val="0"/>
          <w:snapToGrid w:val="0"/>
          <w:sz w:val="24"/>
          <w:lang w:val="es-ES_tradnl" w:eastAsia="es-ES"/>
        </w:rPr>
        <w:t>2)</w:t>
      </w:r>
      <w:r>
        <w:rPr>
          <w:rFonts w:ascii="Arial" w:hAnsi="Arial"/>
          <w:b/>
          <w:bCs w:val="0"/>
          <w:snapToGrid w:val="0"/>
          <w:sz w:val="24"/>
          <w:lang w:val="es-ES_tradnl" w:eastAsia="es-ES"/>
        </w:rPr>
        <w:t xml:space="preserve"> </w:t>
      </w:r>
      <w:r>
        <w:rPr>
          <w:rFonts w:ascii="Arial" w:hAnsi="Arial"/>
          <w:bCs w:val="0"/>
          <w:snapToGrid w:val="0"/>
          <w:sz w:val="24"/>
          <w:lang w:val="es-ES_tradnl" w:eastAsia="es-ES"/>
        </w:rPr>
        <w:t xml:space="preserve"> en consecuencia, no ha quedado razonablemente acreditada la causal de excepción, lo cual inhibe la intervención del gasto;</w:t>
      </w:r>
    </w:p>
    <w:p w:rsidR="00EE4C8B" w:rsidRDefault="000653CB" w:rsidP="00EE4C8B">
      <w:pPr>
        <w:spacing w:after="0" w:line="360" w:lineRule="auto"/>
        <w:ind w:firstLine="2552"/>
        <w:jc w:val="both"/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</w:pPr>
      <w:r w:rsidRPr="00E24E17">
        <w:rPr>
          <w:rFonts w:ascii="Arial" w:hAnsi="Arial"/>
          <w:b/>
          <w:bCs w:val="0"/>
          <w:snapToGrid w:val="0"/>
          <w:sz w:val="24"/>
          <w:lang w:val="es-ES_tradnl" w:eastAsia="es-ES"/>
        </w:rPr>
        <w:t>4)</w:t>
      </w:r>
      <w:r>
        <w:rPr>
          <w:rFonts w:ascii="Arial" w:hAnsi="Arial"/>
          <w:bCs w:val="0"/>
          <w:snapToGrid w:val="0"/>
          <w:sz w:val="24"/>
          <w:lang w:val="es-ES_tradnl" w:eastAsia="es-ES"/>
        </w:rPr>
        <w:t xml:space="preserve"> que por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 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Resolución Nº 5803 adoptada por el Ministro de Transporte y Obras Públicas en ejercicio de atribuciones delegadas con fecha 25 de octubre de 2017, </w:t>
      </w:r>
      <w:r w:rsidR="001712D9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se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autoriza, insistiéndose en el gasto</w:t>
      </w:r>
      <w:r w:rsidR="001712D9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,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la Contratación Directa por Excepció</w:t>
      </w:r>
      <w:r w:rsidR="00525348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n a favor de la firma INGENIERÍ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A Y ECONOMÍA DEL TRANSPORTE S.A. (INECO) por la suma de € 180.150;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fundamentando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 la reiteración 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en la 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 xml:space="preserve">importancia de la </w:t>
      </w:r>
      <w:r w:rsidRPr="00352CF4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recuperación de la infraestructura ferrovia</w:t>
      </w:r>
      <w:r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ria para el desarrollo del país;</w:t>
      </w:r>
    </w:p>
    <w:p w:rsidR="00EE4C8B" w:rsidRDefault="000653CB" w:rsidP="00EE4C8B">
      <w:pPr>
        <w:spacing w:after="0" w:line="360" w:lineRule="auto"/>
        <w:ind w:firstLine="2552"/>
        <w:jc w:val="both"/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</w:pPr>
      <w:r w:rsidRPr="00E24E17">
        <w:rPr>
          <w:rFonts w:ascii="Arial" w:hAnsi="Arial"/>
          <w:b/>
          <w:bCs w:val="0"/>
          <w:snapToGrid w:val="0"/>
          <w:spacing w:val="0"/>
          <w:sz w:val="24"/>
          <w:lang w:val="es-ES" w:eastAsia="es-ES"/>
        </w:rPr>
        <w:t>5)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 que este </w:t>
      </w:r>
      <w:r w:rsidRPr="00B16C56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Tribunal</w:t>
      </w:r>
      <w:r>
        <w:rPr>
          <w:rFonts w:ascii="Arial" w:hAnsi="Arial"/>
          <w:b/>
          <w:bCs w:val="0"/>
          <w:snapToGrid w:val="0"/>
          <w:spacing w:val="0"/>
          <w:sz w:val="24"/>
          <w:lang w:val="es-ES" w:eastAsia="es-ES"/>
        </w:rPr>
        <w:t xml:space="preserve"> 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en </w:t>
      </w:r>
      <w:r w:rsidR="001712D9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S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esión de fecha 22/11/2017, acordó mantener la observación formulada con fecha 11 de octubre de 2017</w:t>
      </w:r>
      <w:r w:rsidR="001712D9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,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 en virtud de </w:t>
      </w:r>
      <w:r w:rsidRPr="00352CF4">
        <w:rPr>
          <w:rFonts w:ascii="Arial" w:hAnsi="Arial"/>
          <w:bCs w:val="0"/>
          <w:sz w:val="24"/>
          <w:szCs w:val="24"/>
          <w:lang w:val="es-ES" w:eastAsia="es-ES"/>
        </w:rPr>
        <w:t>que la Administración no aporta elementos que ameriten el levantamiento de la observación oportunamente realizada, manteniéndose inalteradas las razones por las cuales se observó el gasto de referencia</w:t>
      </w:r>
      <w:r>
        <w:rPr>
          <w:rFonts w:ascii="Arial" w:hAnsi="Arial"/>
          <w:bCs w:val="0"/>
          <w:sz w:val="24"/>
          <w:szCs w:val="24"/>
          <w:lang w:val="es-ES" w:eastAsia="es-ES"/>
        </w:rPr>
        <w:t>;</w:t>
      </w:r>
    </w:p>
    <w:p w:rsidR="00EE4C8B" w:rsidRDefault="000653CB" w:rsidP="00EE4C8B">
      <w:pPr>
        <w:spacing w:after="0" w:line="360" w:lineRule="auto"/>
        <w:ind w:firstLine="2552"/>
        <w:jc w:val="both"/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</w:pPr>
      <w:r w:rsidRPr="0002584D">
        <w:rPr>
          <w:rFonts w:ascii="Arial" w:hAnsi="Arial"/>
          <w:b/>
          <w:bCs w:val="0"/>
          <w:sz w:val="24"/>
          <w:szCs w:val="24"/>
          <w:lang w:val="es-ES" w:eastAsia="es-ES"/>
        </w:rPr>
        <w:t>6)</w:t>
      </w:r>
      <w:r>
        <w:rPr>
          <w:rFonts w:ascii="Arial" w:hAnsi="Arial"/>
          <w:bCs w:val="0"/>
          <w:sz w:val="24"/>
          <w:szCs w:val="24"/>
          <w:lang w:val="es-ES" w:eastAsia="es-ES"/>
        </w:rPr>
        <w:t xml:space="preserve"> que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c</w:t>
      </w:r>
      <w:r w:rsidRPr="00527A94">
        <w:rPr>
          <w:rFonts w:ascii="Arial" w:hAnsi="Arial"/>
          <w:bCs w:val="0"/>
          <w:spacing w:val="0"/>
          <w:sz w:val="24"/>
          <w:szCs w:val="24"/>
          <w:lang w:val="es-ES" w:eastAsia="es-ES"/>
        </w:rPr>
        <w:t>on fecha 31 de octubre de 2017</w:t>
      </w:r>
      <w:r w:rsid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>,</w:t>
      </w:r>
      <w:r w:rsidRPr="00527A94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la </w:t>
      </w:r>
      <w:r w:rsid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Contadora </w:t>
      </w:r>
      <w:r w:rsidRPr="00527A94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Auditora intervino por reiteración </w:t>
      </w:r>
      <w:r w:rsidR="001712D9" w:rsidRP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el gasto de </w:t>
      </w:r>
      <w:r w:rsidR="00904A4F">
        <w:rPr>
          <w:rFonts w:ascii="Arial" w:hAnsi="Arial" w:cs="Arial"/>
          <w:bCs w:val="0"/>
          <w:spacing w:val="0"/>
          <w:sz w:val="24"/>
          <w:szCs w:val="24"/>
          <w:lang w:val="es-ES" w:eastAsia="es-ES"/>
        </w:rPr>
        <w:t>€</w:t>
      </w:r>
      <w:r w:rsidR="001712D9" w:rsidRP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180.150</w:t>
      </w:r>
      <w:r w:rsid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>,</w:t>
      </w:r>
      <w:r w:rsidR="001712D9" w:rsidRP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 </w:t>
      </w:r>
      <w:r w:rsidRPr="00527A94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según constancia de </w:t>
      </w:r>
      <w:r w:rsid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>A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fectación de crédito N°</w:t>
      </w:r>
      <w:r w:rsid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823/2017; y este</w:t>
      </w:r>
      <w:r w:rsidRPr="00B16C56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 Tribunal</w:t>
      </w:r>
      <w:r>
        <w:rPr>
          <w:rFonts w:ascii="Arial" w:hAnsi="Arial"/>
          <w:b/>
          <w:bCs w:val="0"/>
          <w:snapToGrid w:val="0"/>
          <w:spacing w:val="0"/>
          <w:sz w:val="24"/>
          <w:lang w:val="es-ES" w:eastAsia="es-ES"/>
        </w:rPr>
        <w:t xml:space="preserve"> 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en </w:t>
      </w:r>
      <w:r w:rsidR="001712D9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S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esión de fecha 24/01/2018, acordó mantener la observación formulada con fecha 11 de octubre de 2017</w:t>
      </w:r>
      <w:r w:rsidR="001712D9"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>,</w:t>
      </w:r>
      <w:r>
        <w:rPr>
          <w:rFonts w:ascii="Arial" w:hAnsi="Arial"/>
          <w:bCs w:val="0"/>
          <w:snapToGrid w:val="0"/>
          <w:spacing w:val="0"/>
          <w:sz w:val="24"/>
          <w:lang w:val="es-ES" w:eastAsia="es-ES"/>
        </w:rPr>
        <w:t xml:space="preserve"> en virtud de </w:t>
      </w:r>
      <w:r w:rsidRPr="00527A94">
        <w:rPr>
          <w:rFonts w:ascii="Arial" w:hAnsi="Arial"/>
          <w:bCs w:val="0"/>
          <w:spacing w:val="0"/>
          <w:sz w:val="24"/>
          <w:szCs w:val="24"/>
          <w:lang w:val="es-ES" w:eastAsia="es-ES"/>
        </w:rPr>
        <w:t>mant</w:t>
      </w:r>
      <w:r w:rsid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>enerse</w:t>
      </w:r>
      <w:r w:rsidRPr="00527A94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incambiadas las razones que tuvo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para observar el gasto;</w:t>
      </w:r>
    </w:p>
    <w:p w:rsidR="000653CB" w:rsidRPr="00EE4C8B" w:rsidRDefault="000653CB" w:rsidP="00EE4C8B">
      <w:pPr>
        <w:spacing w:after="0" w:line="360" w:lineRule="auto"/>
        <w:ind w:firstLine="2552"/>
        <w:jc w:val="both"/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eastAsia="es-ES"/>
        </w:rPr>
      </w:pPr>
      <w:r w:rsidRPr="0002584D"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>7)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 que en esta oportunidad, se remiten las siguientes actuaciones:</w:t>
      </w:r>
    </w:p>
    <w:p w:rsidR="000653CB" w:rsidRDefault="000653CB" w:rsidP="0002584D">
      <w:pPr>
        <w:spacing w:after="0" w:line="360" w:lineRule="auto"/>
        <w:jc w:val="both"/>
        <w:rPr>
          <w:rFonts w:ascii="Arial" w:hAnsi="Arial"/>
          <w:bCs w:val="0"/>
          <w:spacing w:val="0"/>
          <w:sz w:val="24"/>
          <w:szCs w:val="24"/>
          <w:lang w:val="es-ES" w:eastAsia="es-ES"/>
        </w:rPr>
      </w:pPr>
      <w:r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 xml:space="preserve">7.1) </w:t>
      </w:r>
      <w:r w:rsidRPr="000241AC"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 xml:space="preserve"> </w:t>
      </w:r>
      <w:r w:rsidR="001712D9" w:rsidRPr="001712D9">
        <w:rPr>
          <w:rFonts w:ascii="Arial" w:hAnsi="Arial"/>
          <w:bCs w:val="0"/>
          <w:spacing w:val="0"/>
          <w:sz w:val="24"/>
          <w:szCs w:val="24"/>
          <w:lang w:val="es-ES" w:eastAsia="es-ES"/>
        </w:rPr>
        <w:t>n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otificación a la empresa de la Resolución de adjudicación con fecha 08/11/2017;</w:t>
      </w:r>
    </w:p>
    <w:p w:rsidR="000653CB" w:rsidRDefault="000653CB" w:rsidP="0002584D">
      <w:pPr>
        <w:spacing w:after="0" w:line="360" w:lineRule="auto"/>
        <w:jc w:val="both"/>
        <w:rPr>
          <w:rFonts w:ascii="Arial" w:hAnsi="Arial"/>
          <w:bCs w:val="0"/>
          <w:spacing w:val="0"/>
          <w:sz w:val="24"/>
          <w:szCs w:val="24"/>
          <w:lang w:val="es-ES" w:eastAsia="es-ES"/>
        </w:rPr>
      </w:pPr>
      <w:r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>7.</w:t>
      </w:r>
      <w:r w:rsidR="001712D9"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>2</w:t>
      </w:r>
      <w:r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 xml:space="preserve">) </w:t>
      </w:r>
      <w:r w:rsidRPr="000241AC"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 xml:space="preserve">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Contrato de Prestación de Servicio de Consultoría suscrito entre   INECO y </w:t>
      </w:r>
      <w:r w:rsidR="00904A4F">
        <w:rPr>
          <w:rFonts w:ascii="Arial" w:hAnsi="Arial"/>
          <w:bCs w:val="0"/>
          <w:spacing w:val="0"/>
          <w:sz w:val="24"/>
          <w:szCs w:val="24"/>
          <w:lang w:val="es-ES" w:eastAsia="es-ES"/>
        </w:rPr>
        <w:t xml:space="preserve">el </w:t>
      </w:r>
      <w:r>
        <w:rPr>
          <w:rFonts w:ascii="Arial" w:hAnsi="Arial"/>
          <w:bCs w:val="0"/>
          <w:spacing w:val="0"/>
          <w:sz w:val="24"/>
          <w:szCs w:val="24"/>
          <w:lang w:val="es-ES" w:eastAsia="es-ES"/>
        </w:rPr>
        <w:t>MTOP, de fecha 29/11/2017;</w:t>
      </w:r>
    </w:p>
    <w:p w:rsidR="000653CB" w:rsidRPr="004E4886" w:rsidRDefault="000653CB" w:rsidP="0002584D">
      <w:pPr>
        <w:spacing w:after="0" w:line="360" w:lineRule="auto"/>
        <w:jc w:val="both"/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</w:pPr>
      <w:r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lastRenderedPageBreak/>
        <w:t>7.</w:t>
      </w:r>
      <w:r w:rsidR="00747324"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>3</w:t>
      </w:r>
      <w:r>
        <w:rPr>
          <w:rFonts w:ascii="Arial" w:hAnsi="Arial"/>
          <w:b/>
          <w:bCs w:val="0"/>
          <w:spacing w:val="0"/>
          <w:sz w:val="24"/>
          <w:szCs w:val="24"/>
          <w:lang w:val="es-ES" w:eastAsia="es-ES"/>
        </w:rPr>
        <w:t xml:space="preserve">) </w:t>
      </w:r>
      <w:r>
        <w:rPr>
          <w:rFonts w:ascii="Arial" w:hAnsi="Arial"/>
          <w:bCs w:val="0"/>
          <w:snapToGrid w:val="0"/>
          <w:sz w:val="24"/>
          <w:lang w:val="es-ES" w:eastAsia="es-ES"/>
        </w:rPr>
        <w:t xml:space="preserve">Adenda 1 – </w:t>
      </w:r>
      <w:proofErr w:type="spellStart"/>
      <w:r>
        <w:rPr>
          <w:rFonts w:ascii="Arial" w:hAnsi="Arial"/>
          <w:bCs w:val="0"/>
          <w:snapToGrid w:val="0"/>
          <w:sz w:val="24"/>
          <w:lang w:val="es-ES" w:eastAsia="es-ES"/>
        </w:rPr>
        <w:t>Modif</w:t>
      </w:r>
      <w:proofErr w:type="spellEnd"/>
      <w:r>
        <w:rPr>
          <w:rFonts w:ascii="Arial" w:hAnsi="Arial"/>
          <w:bCs w:val="0"/>
          <w:snapToGrid w:val="0"/>
          <w:sz w:val="24"/>
          <w:lang w:val="es-ES" w:eastAsia="es-ES"/>
        </w:rPr>
        <w:t xml:space="preserve">. </w:t>
      </w:r>
      <w:proofErr w:type="gramStart"/>
      <w:r w:rsidR="00747324">
        <w:rPr>
          <w:rFonts w:ascii="Arial" w:hAnsi="Arial"/>
          <w:bCs w:val="0"/>
          <w:snapToGrid w:val="0"/>
          <w:sz w:val="24"/>
          <w:lang w:val="es-ES" w:eastAsia="es-ES"/>
        </w:rPr>
        <w:t>d</w:t>
      </w:r>
      <w:r>
        <w:rPr>
          <w:rFonts w:ascii="Arial" w:hAnsi="Arial"/>
          <w:bCs w:val="0"/>
          <w:snapToGrid w:val="0"/>
          <w:sz w:val="24"/>
          <w:lang w:val="es-ES" w:eastAsia="es-ES"/>
        </w:rPr>
        <w:t>e</w:t>
      </w:r>
      <w:proofErr w:type="gramEnd"/>
      <w:r>
        <w:rPr>
          <w:rFonts w:ascii="Arial" w:hAnsi="Arial"/>
          <w:bCs w:val="0"/>
          <w:snapToGrid w:val="0"/>
          <w:sz w:val="24"/>
          <w:lang w:val="es-ES" w:eastAsia="es-ES"/>
        </w:rPr>
        <w:t xml:space="preserve"> Plazo (de 23 a 40 semanas) y, por tanto, del cronograma de obras y de pagos, suscrito por INECO </w:t>
      </w:r>
      <w:r w:rsidR="00747324">
        <w:rPr>
          <w:rFonts w:ascii="Arial" w:hAnsi="Arial"/>
          <w:bCs w:val="0"/>
          <w:snapToGrid w:val="0"/>
          <w:sz w:val="24"/>
          <w:lang w:val="es-ES" w:eastAsia="es-ES"/>
        </w:rPr>
        <w:t>e</w:t>
      </w:r>
      <w:r>
        <w:rPr>
          <w:rFonts w:ascii="Arial" w:hAnsi="Arial"/>
          <w:bCs w:val="0"/>
          <w:snapToGrid w:val="0"/>
          <w:sz w:val="24"/>
          <w:lang w:val="es-ES" w:eastAsia="es-ES"/>
        </w:rPr>
        <w:t>l 29/06/2018 y por el MTOP, sin fecha;</w:t>
      </w:r>
    </w:p>
    <w:p w:rsidR="000653CB" w:rsidRDefault="000653CB" w:rsidP="0002584D">
      <w:pPr>
        <w:widowControl w:val="0"/>
        <w:spacing w:after="0" w:line="360" w:lineRule="auto"/>
        <w:jc w:val="both"/>
        <w:rPr>
          <w:rFonts w:ascii="Arial" w:hAnsi="Arial"/>
          <w:bCs w:val="0"/>
          <w:snapToGrid w:val="0"/>
          <w:sz w:val="24"/>
          <w:lang w:val="es-ES" w:eastAsia="es-ES"/>
        </w:rPr>
      </w:pPr>
      <w:r>
        <w:rPr>
          <w:rFonts w:ascii="Arial" w:hAnsi="Arial"/>
          <w:b/>
          <w:bCs w:val="0"/>
          <w:snapToGrid w:val="0"/>
          <w:sz w:val="24"/>
          <w:lang w:val="es-ES" w:eastAsia="es-ES"/>
        </w:rPr>
        <w:t>7.</w:t>
      </w:r>
      <w:r w:rsidR="00747324">
        <w:rPr>
          <w:rFonts w:ascii="Arial" w:hAnsi="Arial"/>
          <w:b/>
          <w:bCs w:val="0"/>
          <w:snapToGrid w:val="0"/>
          <w:sz w:val="24"/>
          <w:lang w:val="es-ES" w:eastAsia="es-ES"/>
        </w:rPr>
        <w:t>4</w:t>
      </w:r>
      <w:r>
        <w:rPr>
          <w:rFonts w:ascii="Arial" w:hAnsi="Arial"/>
          <w:b/>
          <w:bCs w:val="0"/>
          <w:snapToGrid w:val="0"/>
          <w:sz w:val="24"/>
          <w:lang w:val="es-ES" w:eastAsia="es-ES"/>
        </w:rPr>
        <w:t xml:space="preserve">) </w:t>
      </w:r>
      <w:r>
        <w:rPr>
          <w:rFonts w:ascii="Arial" w:hAnsi="Arial"/>
          <w:bCs w:val="0"/>
          <w:snapToGrid w:val="0"/>
          <w:sz w:val="24"/>
          <w:lang w:val="es-ES" w:eastAsia="es-ES"/>
        </w:rPr>
        <w:t xml:space="preserve"> Proyecto de Resol</w:t>
      </w:r>
      <w:r w:rsidR="00747324">
        <w:rPr>
          <w:rFonts w:ascii="Arial" w:hAnsi="Arial"/>
          <w:bCs w:val="0"/>
          <w:snapToGrid w:val="0"/>
          <w:sz w:val="24"/>
          <w:lang w:val="es-ES" w:eastAsia="es-ES"/>
        </w:rPr>
        <w:t>ución</w:t>
      </w:r>
      <w:r>
        <w:rPr>
          <w:rFonts w:ascii="Arial" w:hAnsi="Arial"/>
          <w:bCs w:val="0"/>
          <w:snapToGrid w:val="0"/>
          <w:sz w:val="24"/>
          <w:lang w:val="es-ES" w:eastAsia="es-ES"/>
        </w:rPr>
        <w:t xml:space="preserve"> del Poder Ejecutivo aprobando la Adenda 1;</w:t>
      </w:r>
    </w:p>
    <w:p w:rsidR="000653CB" w:rsidRDefault="000653CB" w:rsidP="0002584D">
      <w:pPr>
        <w:widowControl w:val="0"/>
        <w:spacing w:after="0" w:line="360" w:lineRule="auto"/>
        <w:jc w:val="both"/>
        <w:rPr>
          <w:rFonts w:ascii="Arial" w:hAnsi="Arial"/>
          <w:bCs w:val="0"/>
          <w:snapToGrid w:val="0"/>
          <w:sz w:val="24"/>
          <w:lang w:eastAsia="es-ES"/>
        </w:rPr>
      </w:pPr>
      <w:r>
        <w:rPr>
          <w:rFonts w:ascii="Arial" w:hAnsi="Arial"/>
          <w:b/>
          <w:bCs w:val="0"/>
          <w:snapToGrid w:val="0"/>
          <w:sz w:val="24"/>
          <w:lang w:val="es-ES" w:eastAsia="es-ES"/>
        </w:rPr>
        <w:t>7.</w:t>
      </w:r>
      <w:r w:rsidR="00747324">
        <w:rPr>
          <w:rFonts w:ascii="Arial" w:hAnsi="Arial"/>
          <w:b/>
          <w:bCs w:val="0"/>
          <w:snapToGrid w:val="0"/>
          <w:sz w:val="24"/>
          <w:lang w:val="es-ES" w:eastAsia="es-ES"/>
        </w:rPr>
        <w:t>5</w:t>
      </w:r>
      <w:r>
        <w:rPr>
          <w:rFonts w:ascii="Arial" w:hAnsi="Arial"/>
          <w:b/>
          <w:bCs w:val="0"/>
          <w:snapToGrid w:val="0"/>
          <w:sz w:val="24"/>
          <w:lang w:val="es-ES" w:eastAsia="es-ES"/>
        </w:rPr>
        <w:t xml:space="preserve">) 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Resolución de la Sub Contadora General de la Nación de fecha 14/12/2017</w:t>
      </w:r>
      <w:r w:rsidR="00747324">
        <w:rPr>
          <w:rFonts w:ascii="Arial" w:hAnsi="Arial"/>
          <w:bCs w:val="0"/>
          <w:snapToGrid w:val="0"/>
          <w:sz w:val="24"/>
          <w:lang w:eastAsia="es-ES"/>
        </w:rPr>
        <w:t>,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de la que surge que por Resolución del MEF de fecha  22/04/2004</w:t>
      </w:r>
      <w:r w:rsidR="00747324">
        <w:rPr>
          <w:rFonts w:ascii="Arial" w:hAnsi="Arial"/>
          <w:bCs w:val="0"/>
          <w:snapToGrid w:val="0"/>
          <w:sz w:val="24"/>
          <w:lang w:eastAsia="es-ES"/>
        </w:rPr>
        <w:t>,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se dispone que a partir del 01/07/2004</w:t>
      </w:r>
      <w:r w:rsidR="00747324">
        <w:rPr>
          <w:rFonts w:ascii="Arial" w:hAnsi="Arial"/>
          <w:bCs w:val="0"/>
          <w:snapToGrid w:val="0"/>
          <w:sz w:val="24"/>
          <w:lang w:eastAsia="es-ES"/>
        </w:rPr>
        <w:t>,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las obligaciones registradas en el SIIF, deberán contener la identificación del beneficiario de la transferencia o proveedor del bien o servicio  adquirido por el Estado y  faculta a </w:t>
      </w:r>
      <w:r w:rsidR="00747324">
        <w:rPr>
          <w:rFonts w:ascii="Arial" w:hAnsi="Arial"/>
          <w:bCs w:val="0"/>
          <w:snapToGrid w:val="0"/>
          <w:sz w:val="24"/>
          <w:lang w:eastAsia="es-ES"/>
        </w:rPr>
        <w:t>la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Contaduría General de la Nación a autorizar excepciones</w:t>
      </w:r>
      <w:r w:rsidR="00747324">
        <w:rPr>
          <w:rFonts w:ascii="Arial" w:hAnsi="Arial"/>
          <w:bCs w:val="0"/>
          <w:snapToGrid w:val="0"/>
          <w:sz w:val="24"/>
          <w:lang w:eastAsia="es-ES"/>
        </w:rPr>
        <w:t>,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en caso en que no sea posible dicha ident</w:t>
      </w:r>
      <w:r w:rsidR="00681F70">
        <w:rPr>
          <w:rFonts w:ascii="Arial" w:hAnsi="Arial"/>
          <w:bCs w:val="0"/>
          <w:snapToGrid w:val="0"/>
          <w:sz w:val="24"/>
          <w:lang w:eastAsia="es-ES"/>
        </w:rPr>
        <w:t>ificación.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Considerando que existen situaciones planteadas por el MTOP que ameritan la autorización de excepción al procedimiento general de identificación de beneficiarios, la Sub Contadora General de la Nación, por </w:t>
      </w:r>
      <w:r w:rsidR="00747324">
        <w:rPr>
          <w:rFonts w:ascii="Arial" w:hAnsi="Arial"/>
          <w:bCs w:val="0"/>
          <w:snapToGrid w:val="0"/>
          <w:sz w:val="24"/>
          <w:lang w:eastAsia="es-ES"/>
        </w:rPr>
        <w:t xml:space="preserve"> esta Resolución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, autoriza al MTOP  a incluir como beneficiario de las obligaciones en el SIIF a la U.E. 003 “Dirección Nacional de Vialidad”, cuando las mismas correspondan a las obligaciones generadas por la firma española INECO, con el fin de brindar asistencia técnica para la licitación de la Concesión de la </w:t>
      </w:r>
      <w:r w:rsidR="00681F70">
        <w:rPr>
          <w:rFonts w:ascii="Arial" w:hAnsi="Arial" w:cs="Arial"/>
          <w:sz w:val="24"/>
          <w:szCs w:val="24"/>
        </w:rPr>
        <w:t xml:space="preserve">Rehabilitación </w:t>
      </w:r>
      <w:r>
        <w:rPr>
          <w:rFonts w:ascii="Arial" w:hAnsi="Arial" w:cs="Arial"/>
          <w:sz w:val="24"/>
          <w:szCs w:val="24"/>
        </w:rPr>
        <w:t>y Mantenimiento e</w:t>
      </w:r>
      <w:r w:rsidR="00681F7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la Línea Ferroviaria Paso de los Toros – Montevideo y Accesos al Puerto;</w:t>
      </w:r>
    </w:p>
    <w:p w:rsidR="000653CB" w:rsidRPr="006B6AFC" w:rsidRDefault="000653CB" w:rsidP="0002584D">
      <w:pPr>
        <w:widowControl w:val="0"/>
        <w:spacing w:after="0" w:line="360" w:lineRule="auto"/>
        <w:jc w:val="both"/>
        <w:rPr>
          <w:rFonts w:ascii="Arial" w:hAnsi="Arial"/>
          <w:bCs w:val="0"/>
          <w:spacing w:val="0"/>
          <w:sz w:val="24"/>
          <w:szCs w:val="24"/>
          <w:lang w:val="es-ES" w:eastAsia="es-ES"/>
        </w:rPr>
      </w:pPr>
      <w:r w:rsidRPr="00CA40D3">
        <w:rPr>
          <w:rFonts w:ascii="Arial" w:hAnsi="Arial"/>
          <w:b/>
          <w:bCs w:val="0"/>
          <w:snapToGrid w:val="0"/>
          <w:sz w:val="24"/>
          <w:lang w:eastAsia="es-ES"/>
        </w:rPr>
        <w:t>7.</w:t>
      </w:r>
      <w:r w:rsidR="00747324">
        <w:rPr>
          <w:rFonts w:ascii="Arial" w:hAnsi="Arial"/>
          <w:b/>
          <w:bCs w:val="0"/>
          <w:snapToGrid w:val="0"/>
          <w:sz w:val="24"/>
          <w:lang w:eastAsia="es-ES"/>
        </w:rPr>
        <w:t>6</w:t>
      </w:r>
      <w:r w:rsidRPr="00CA40D3">
        <w:rPr>
          <w:rFonts w:ascii="Arial" w:hAnsi="Arial"/>
          <w:b/>
          <w:bCs w:val="0"/>
          <w:snapToGrid w:val="0"/>
          <w:sz w:val="24"/>
          <w:lang w:eastAsia="es-ES"/>
        </w:rPr>
        <w:t>)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 Documento de Afectación Nº  000309, y Compromiso N° 001,  de fecha 12/03/2018, por $ 6:290.079, Inciso 10, U.E. 003, Finan. 1.1, 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 xml:space="preserve">Programa 362, Proyecto 908, Objeto del </w:t>
      </w:r>
      <w:r w:rsidR="00681F70"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>G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 xml:space="preserve">asto 282, por </w:t>
      </w:r>
      <w:r w:rsidRPr="006B6AFC"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>Total Nominal $ 6.240.809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 xml:space="preserve"> (equivalente a </w:t>
      </w:r>
      <w:r w:rsidR="00681F70"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>€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 xml:space="preserve"> 180.150 a $ 34,915787 por Euro); </w:t>
      </w:r>
      <w:r w:rsidR="00681F70"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>D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 xml:space="preserve">ocumento </w:t>
      </w:r>
      <w:r w:rsidR="00681F70"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>c</w:t>
      </w:r>
      <w:r>
        <w:rPr>
          <w:rFonts w:ascii="Arial" w:hAnsi="Arial" w:cs="Arial"/>
          <w:bCs w:val="0"/>
          <w:snapToGrid w:val="0"/>
          <w:color w:val="222222"/>
          <w:spacing w:val="0"/>
          <w:sz w:val="24"/>
          <w:shd w:val="clear" w:color="auto" w:fill="FFFFFF"/>
          <w:lang w:val="es-ES" w:eastAsia="es-ES"/>
        </w:rPr>
        <w:t>onfirmado;</w:t>
      </w:r>
    </w:p>
    <w:p w:rsidR="000653CB" w:rsidRPr="00352CF4" w:rsidRDefault="000653CB" w:rsidP="0002584D">
      <w:pPr>
        <w:widowControl w:val="0"/>
        <w:spacing w:after="0" w:line="360" w:lineRule="auto"/>
        <w:jc w:val="both"/>
        <w:rPr>
          <w:rFonts w:ascii="Arial" w:hAnsi="Arial"/>
          <w:bCs w:val="0"/>
          <w:snapToGrid w:val="0"/>
          <w:sz w:val="24"/>
          <w:lang w:eastAsia="es-ES"/>
        </w:rPr>
      </w:pPr>
      <w:r w:rsidRPr="00CA40D3">
        <w:rPr>
          <w:rFonts w:ascii="Arial" w:hAnsi="Arial"/>
          <w:b/>
          <w:bCs w:val="0"/>
          <w:snapToGrid w:val="0"/>
          <w:sz w:val="24"/>
          <w:lang w:eastAsia="es-ES"/>
        </w:rPr>
        <w:t>7.</w:t>
      </w:r>
      <w:r w:rsidR="000C0447">
        <w:rPr>
          <w:rFonts w:ascii="Arial" w:hAnsi="Arial"/>
          <w:b/>
          <w:bCs w:val="0"/>
          <w:snapToGrid w:val="0"/>
          <w:sz w:val="24"/>
          <w:lang w:eastAsia="es-ES"/>
        </w:rPr>
        <w:t>7</w:t>
      </w:r>
      <w:r w:rsidRPr="00CA40D3">
        <w:rPr>
          <w:rFonts w:ascii="Arial" w:hAnsi="Arial"/>
          <w:b/>
          <w:bCs w:val="0"/>
          <w:snapToGrid w:val="0"/>
          <w:sz w:val="24"/>
          <w:lang w:eastAsia="es-ES"/>
        </w:rPr>
        <w:t>)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 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>informe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de fecha 22/03/2018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 xml:space="preserve"> de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la C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>ontadora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Auditora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 xml:space="preserve">, por la cual deja constancia que 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interviene por reiteración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 xml:space="preserve">, la </w:t>
      </w:r>
      <w:r w:rsidR="00525348">
        <w:rPr>
          <w:rFonts w:ascii="Arial" w:hAnsi="Arial"/>
          <w:bCs w:val="0"/>
          <w:snapToGrid w:val="0"/>
          <w:sz w:val="24"/>
          <w:lang w:eastAsia="es-ES"/>
        </w:rPr>
        <w:t>suma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 xml:space="preserve"> de $ 6.290.079, equivalente a </w:t>
      </w:r>
      <w:r w:rsidR="00681F70">
        <w:rPr>
          <w:rFonts w:ascii="Arial" w:hAnsi="Arial" w:cs="Arial"/>
          <w:bCs w:val="0"/>
          <w:snapToGrid w:val="0"/>
          <w:sz w:val="24"/>
          <w:lang w:eastAsia="es-ES"/>
        </w:rPr>
        <w:t>€</w:t>
      </w:r>
      <w:r w:rsidR="000C0447">
        <w:rPr>
          <w:rFonts w:ascii="Arial" w:hAnsi="Arial"/>
          <w:bCs w:val="0"/>
          <w:snapToGrid w:val="0"/>
          <w:sz w:val="24"/>
          <w:lang w:eastAsia="es-ES"/>
        </w:rPr>
        <w:t xml:space="preserve"> 180.150, Afectación Nº 309/2018</w:t>
      </w:r>
      <w:r>
        <w:rPr>
          <w:rFonts w:ascii="Arial" w:hAnsi="Arial"/>
          <w:bCs w:val="0"/>
          <w:snapToGrid w:val="0"/>
          <w:sz w:val="24"/>
          <w:lang w:eastAsia="es-ES"/>
        </w:rPr>
        <w:t>;</w:t>
      </w:r>
    </w:p>
    <w:p w:rsidR="000653CB" w:rsidRPr="00CA40D3" w:rsidRDefault="000653CB" w:rsidP="00EE4C8B">
      <w:pPr>
        <w:widowControl w:val="0"/>
        <w:spacing w:after="0" w:line="360" w:lineRule="auto"/>
        <w:ind w:firstLine="708"/>
        <w:jc w:val="both"/>
        <w:rPr>
          <w:rFonts w:ascii="Arial" w:hAnsi="Arial"/>
          <w:bCs w:val="0"/>
          <w:snapToGrid w:val="0"/>
          <w:sz w:val="24"/>
          <w:lang w:eastAsia="es-ES"/>
        </w:rPr>
      </w:pPr>
      <w:r>
        <w:rPr>
          <w:rFonts w:ascii="Arial" w:hAnsi="Arial"/>
          <w:b/>
          <w:bCs w:val="0"/>
          <w:snapToGrid w:val="0"/>
          <w:sz w:val="24"/>
          <w:lang w:eastAsia="es-ES"/>
        </w:rPr>
        <w:t xml:space="preserve">CONSIDERANDO: 1) </w:t>
      </w:r>
      <w:r w:rsidRPr="00CA40D3">
        <w:rPr>
          <w:rFonts w:ascii="Arial" w:hAnsi="Arial"/>
          <w:bCs w:val="0"/>
          <w:snapToGrid w:val="0"/>
          <w:sz w:val="24"/>
          <w:lang w:eastAsia="es-ES"/>
        </w:rPr>
        <w:t>que</w:t>
      </w:r>
      <w:r>
        <w:rPr>
          <w:rFonts w:ascii="Arial" w:hAnsi="Arial"/>
          <w:bCs w:val="0"/>
          <w:snapToGrid w:val="0"/>
          <w:sz w:val="24"/>
          <w:lang w:eastAsia="es-ES"/>
        </w:rPr>
        <w:t xml:space="preserve"> si bien surgen 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de las actuaciones dos afectaciones (Nº 823/2017 y 309/2018) de fechas diversas, por el monto total, intervenidas por reiteración por la C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ontadora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Auditora, se solicitó información a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dicha profesional,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quien comunicó, vía correo electrónico,  que se dejó sin efecto la Afectación Nº 823 del año 2017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,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porque no hubo ejecución en dicho </w:t>
      </w:r>
      <w:r w:rsidR="0030192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E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jercicio, adjuntando reporte del SIIF donde surge la baja en la Afectación 823 del 2017; </w:t>
      </w:r>
    </w:p>
    <w:p w:rsidR="000653CB" w:rsidRDefault="000653CB" w:rsidP="00EE4C8B">
      <w:pPr>
        <w:suppressAutoHyphens/>
        <w:spacing w:after="0" w:line="360" w:lineRule="auto"/>
        <w:ind w:firstLine="2977"/>
        <w:jc w:val="both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r w:rsidRPr="00FC6A64">
        <w:rPr>
          <w:rFonts w:ascii="Arial" w:hAnsi="Arial" w:cs="Arial"/>
          <w:b/>
          <w:bCs w:val="0"/>
          <w:snapToGrid w:val="0"/>
          <w:spacing w:val="0"/>
          <w:sz w:val="24"/>
          <w:lang w:eastAsia="es-ES"/>
        </w:rPr>
        <w:t>2</w:t>
      </w:r>
      <w:r>
        <w:rPr>
          <w:rFonts w:ascii="Arial" w:hAnsi="Arial" w:cs="Arial"/>
          <w:b/>
          <w:bCs w:val="0"/>
          <w:snapToGrid w:val="0"/>
          <w:spacing w:val="0"/>
          <w:sz w:val="24"/>
          <w:lang w:eastAsia="es-ES"/>
        </w:rPr>
        <w:t xml:space="preserve">) 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que la Adenda I refiere a la extensión del plazo de contratación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,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 </w:t>
      </w:r>
      <w:r>
        <w:rPr>
          <w:rFonts w:ascii="Arial" w:hAnsi="Arial"/>
          <w:bCs w:val="0"/>
          <w:snapToGrid w:val="0"/>
          <w:sz w:val="24"/>
          <w:lang w:val="es-ES" w:eastAsia="es-ES"/>
        </w:rPr>
        <w:t xml:space="preserve">y por ende, del cronograma de obras y de pagos, 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sin implicar aumento de costos;</w:t>
      </w:r>
    </w:p>
    <w:p w:rsidR="000653CB" w:rsidRDefault="000653CB" w:rsidP="00EE4C8B">
      <w:pPr>
        <w:suppressAutoHyphens/>
        <w:spacing w:after="0" w:line="360" w:lineRule="auto"/>
        <w:ind w:firstLine="708"/>
        <w:jc w:val="both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r w:rsidRPr="0003176F">
        <w:rPr>
          <w:rFonts w:ascii="Arial" w:hAnsi="Arial" w:cs="Arial"/>
          <w:b/>
          <w:bCs w:val="0"/>
          <w:snapToGrid w:val="0"/>
          <w:spacing w:val="0"/>
          <w:sz w:val="24"/>
          <w:lang w:eastAsia="es-ES"/>
        </w:rPr>
        <w:t>ATENTO</w:t>
      </w:r>
      <w:r>
        <w:rPr>
          <w:rFonts w:ascii="Arial" w:hAnsi="Arial" w:cs="Arial"/>
          <w:b/>
          <w:bCs w:val="0"/>
          <w:snapToGrid w:val="0"/>
          <w:spacing w:val="0"/>
          <w:sz w:val="24"/>
          <w:lang w:eastAsia="es-ES"/>
        </w:rPr>
        <w:t>: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a lo 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precedentemente 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expuesto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;</w:t>
      </w:r>
    </w:p>
    <w:p w:rsidR="000653CB" w:rsidRDefault="000653CB" w:rsidP="0003176F">
      <w:pPr>
        <w:suppressAutoHyphens/>
        <w:spacing w:after="0" w:line="360" w:lineRule="auto"/>
        <w:jc w:val="center"/>
        <w:rPr>
          <w:rFonts w:ascii="Arial" w:hAnsi="Arial" w:cs="Arial"/>
          <w:b/>
          <w:bCs w:val="0"/>
          <w:snapToGrid w:val="0"/>
          <w:spacing w:val="0"/>
          <w:sz w:val="24"/>
          <w:lang w:eastAsia="es-ES"/>
        </w:rPr>
      </w:pPr>
      <w:r w:rsidRPr="0003176F">
        <w:rPr>
          <w:rFonts w:ascii="Arial" w:hAnsi="Arial" w:cs="Arial"/>
          <w:b/>
          <w:bCs w:val="0"/>
          <w:snapToGrid w:val="0"/>
          <w:spacing w:val="0"/>
          <w:sz w:val="24"/>
          <w:lang w:eastAsia="es-ES"/>
        </w:rPr>
        <w:t>EL   TRIBUNAL   ACUERDA</w:t>
      </w:r>
    </w:p>
    <w:p w:rsidR="000653CB" w:rsidRDefault="000653CB" w:rsidP="00EE4C8B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Est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ar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a lo 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acordado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por este Tribunal 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en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Resoluciones de fechas 11/10/2017,  22/11/2017  y  24/01/2018;</w:t>
      </w:r>
    </w:p>
    <w:p w:rsidR="000C0447" w:rsidRDefault="000653CB" w:rsidP="00EE4C8B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</w:t>
      </w:r>
      <w:r w:rsidR="000C0447" w:rsidRP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Toma</w:t>
      </w:r>
      <w:r w:rsidR="00EE4C8B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r conocimiento de la Adenda I;</w:t>
      </w:r>
    </w:p>
    <w:p w:rsidR="000653CB" w:rsidRDefault="000653CB" w:rsidP="00EE4C8B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Comunicar a la Contadora Auditora;</w:t>
      </w:r>
      <w:r w:rsidR="00EE4C8B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y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</w:t>
      </w:r>
    </w:p>
    <w:p w:rsidR="000653CB" w:rsidRDefault="000653CB" w:rsidP="00EE4C8B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Devolver las actuaciones</w:t>
      </w:r>
      <w:r w:rsidR="000C0447"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 xml:space="preserve"> al MTOP</w:t>
      </w:r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.</w:t>
      </w:r>
      <w:bookmarkStart w:id="0" w:name="_GoBack"/>
      <w:bookmarkEnd w:id="0"/>
    </w:p>
    <w:p w:rsidR="00EE4C8B" w:rsidRDefault="00EE4C8B" w:rsidP="00EE4C8B">
      <w:pPr>
        <w:suppressAutoHyphens/>
        <w:spacing w:after="0" w:line="360" w:lineRule="auto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</w:p>
    <w:p w:rsidR="00EE4C8B" w:rsidRDefault="00EE4C8B" w:rsidP="00EE4C8B">
      <w:pPr>
        <w:suppressAutoHyphens/>
        <w:spacing w:after="0" w:line="360" w:lineRule="auto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</w:p>
    <w:p w:rsidR="00EE4C8B" w:rsidRDefault="00EE4C8B" w:rsidP="00EE4C8B">
      <w:pPr>
        <w:suppressAutoHyphens/>
        <w:spacing w:after="0" w:line="360" w:lineRule="auto"/>
        <w:rPr>
          <w:rFonts w:ascii="Arial" w:hAnsi="Arial" w:cs="Arial"/>
          <w:bCs w:val="0"/>
          <w:snapToGrid w:val="0"/>
          <w:spacing w:val="0"/>
          <w:sz w:val="24"/>
          <w:lang w:eastAsia="es-ES"/>
        </w:rPr>
      </w:pPr>
      <w:proofErr w:type="spellStart"/>
      <w:proofErr w:type="gramStart"/>
      <w:r>
        <w:rPr>
          <w:rFonts w:ascii="Arial" w:hAnsi="Arial" w:cs="Arial"/>
          <w:bCs w:val="0"/>
          <w:snapToGrid w:val="0"/>
          <w:spacing w:val="0"/>
          <w:sz w:val="24"/>
          <w:lang w:eastAsia="es-ES"/>
        </w:rPr>
        <w:t>aa</w:t>
      </w:r>
      <w:proofErr w:type="spellEnd"/>
      <w:proofErr w:type="gramEnd"/>
    </w:p>
    <w:sectPr w:rsidR="00EE4C8B" w:rsidSect="00E7034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E68"/>
    <w:multiLevelType w:val="hybridMultilevel"/>
    <w:tmpl w:val="24E4A58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093E67"/>
    <w:multiLevelType w:val="hybridMultilevel"/>
    <w:tmpl w:val="24E4A58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1436DC"/>
    <w:multiLevelType w:val="hybridMultilevel"/>
    <w:tmpl w:val="BC98A77E"/>
    <w:lvl w:ilvl="0" w:tplc="8A28A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077FEC"/>
    <w:multiLevelType w:val="hybridMultilevel"/>
    <w:tmpl w:val="0BC023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8E7907"/>
    <w:multiLevelType w:val="hybridMultilevel"/>
    <w:tmpl w:val="97B0D55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88"/>
    <w:rsid w:val="000241AC"/>
    <w:rsid w:val="0002584D"/>
    <w:rsid w:val="0003176F"/>
    <w:rsid w:val="0005128D"/>
    <w:rsid w:val="000653CB"/>
    <w:rsid w:val="0008070E"/>
    <w:rsid w:val="0008463C"/>
    <w:rsid w:val="00087AFC"/>
    <w:rsid w:val="000C0447"/>
    <w:rsid w:val="000D67B5"/>
    <w:rsid w:val="001122AC"/>
    <w:rsid w:val="0011566B"/>
    <w:rsid w:val="001712D9"/>
    <w:rsid w:val="001D07F0"/>
    <w:rsid w:val="001E79CB"/>
    <w:rsid w:val="00301927"/>
    <w:rsid w:val="00340A97"/>
    <w:rsid w:val="00352CF4"/>
    <w:rsid w:val="003A1F7A"/>
    <w:rsid w:val="003C3466"/>
    <w:rsid w:val="00450327"/>
    <w:rsid w:val="004B40B4"/>
    <w:rsid w:val="004E4886"/>
    <w:rsid w:val="00525348"/>
    <w:rsid w:val="00527A94"/>
    <w:rsid w:val="0056338D"/>
    <w:rsid w:val="00573FDE"/>
    <w:rsid w:val="0058317C"/>
    <w:rsid w:val="005D0E43"/>
    <w:rsid w:val="005D591F"/>
    <w:rsid w:val="006618C6"/>
    <w:rsid w:val="00677A42"/>
    <w:rsid w:val="00681F70"/>
    <w:rsid w:val="006B6AFC"/>
    <w:rsid w:val="006C3B45"/>
    <w:rsid w:val="006F1978"/>
    <w:rsid w:val="007201F7"/>
    <w:rsid w:val="00726F88"/>
    <w:rsid w:val="00747324"/>
    <w:rsid w:val="00750662"/>
    <w:rsid w:val="0078269A"/>
    <w:rsid w:val="00847476"/>
    <w:rsid w:val="00904A4F"/>
    <w:rsid w:val="00956F99"/>
    <w:rsid w:val="00980D00"/>
    <w:rsid w:val="00990ABC"/>
    <w:rsid w:val="00A46EC7"/>
    <w:rsid w:val="00A55A9D"/>
    <w:rsid w:val="00AC2F5D"/>
    <w:rsid w:val="00AE594E"/>
    <w:rsid w:val="00B15C98"/>
    <w:rsid w:val="00B16C56"/>
    <w:rsid w:val="00B314BA"/>
    <w:rsid w:val="00C07E16"/>
    <w:rsid w:val="00CA2CD0"/>
    <w:rsid w:val="00CA40D3"/>
    <w:rsid w:val="00CE29EB"/>
    <w:rsid w:val="00D15148"/>
    <w:rsid w:val="00D26C79"/>
    <w:rsid w:val="00DA4260"/>
    <w:rsid w:val="00DD0B16"/>
    <w:rsid w:val="00DF3D5F"/>
    <w:rsid w:val="00E24E17"/>
    <w:rsid w:val="00E47039"/>
    <w:rsid w:val="00E70349"/>
    <w:rsid w:val="00EE4C8B"/>
    <w:rsid w:val="00FC6A64"/>
    <w:rsid w:val="00FD5C04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78"/>
    <w:pPr>
      <w:spacing w:after="200" w:line="276" w:lineRule="auto"/>
    </w:pPr>
    <w:rPr>
      <w:rFonts w:ascii="Times New Roman" w:hAnsi="Times New Roman" w:cs="Times New Roman"/>
      <w:bCs/>
      <w:spacing w:val="-3"/>
      <w:sz w:val="20"/>
      <w:szCs w:val="20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B"/>
    <w:rPr>
      <w:rFonts w:ascii="Tahoma" w:hAnsi="Tahoma" w:cs="Tahoma"/>
      <w:bCs/>
      <w:spacing w:val="-3"/>
      <w:sz w:val="16"/>
      <w:szCs w:val="16"/>
      <w:lang w:val="es-UY"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78"/>
    <w:pPr>
      <w:spacing w:after="200" w:line="276" w:lineRule="auto"/>
    </w:pPr>
    <w:rPr>
      <w:rFonts w:ascii="Times New Roman" w:hAnsi="Times New Roman" w:cs="Times New Roman"/>
      <w:bCs/>
      <w:spacing w:val="-3"/>
      <w:sz w:val="20"/>
      <w:szCs w:val="20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B"/>
    <w:rPr>
      <w:rFonts w:ascii="Tahoma" w:hAnsi="Tahoma" w:cs="Tahoma"/>
      <w:bCs/>
      <w:spacing w:val="-3"/>
      <w:sz w:val="16"/>
      <w:szCs w:val="16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0A51-1A51-49F2-BE68-29BB2C39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 2017-17-1-0006364</vt:lpstr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 2017-17-1-0006364</dc:title>
  <dc:creator>tribunal1</dc:creator>
  <cp:lastModifiedBy>Tribunal1</cp:lastModifiedBy>
  <cp:revision>6</cp:revision>
  <cp:lastPrinted>2018-10-04T18:40:00Z</cp:lastPrinted>
  <dcterms:created xsi:type="dcterms:W3CDTF">2018-10-04T18:40:00Z</dcterms:created>
  <dcterms:modified xsi:type="dcterms:W3CDTF">2018-10-05T16:10:00Z</dcterms:modified>
</cp:coreProperties>
</file>