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3C" w:rsidRPr="00786EEB" w:rsidRDefault="00CE533C"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3028/18</w:t>
      </w:r>
    </w:p>
    <w:p w:rsidR="00CE533C" w:rsidRDefault="00CE533C">
      <w:pPr>
        <w:tabs>
          <w:tab w:val="center" w:pos="4253"/>
        </w:tabs>
        <w:suppressAutoHyphens/>
        <w:jc w:val="center"/>
        <w:rPr>
          <w:rFonts w:ascii="Arial" w:hAnsi="Arial" w:cs="Arial"/>
          <w:b/>
          <w:lang w:val="es-ES_tradnl"/>
        </w:rPr>
      </w:pPr>
    </w:p>
    <w:p w:rsidR="00CE533C" w:rsidRPr="00EC597C" w:rsidRDefault="00CE533C">
      <w:pPr>
        <w:tabs>
          <w:tab w:val="center" w:pos="4253"/>
        </w:tabs>
        <w:suppressAutoHyphens/>
        <w:jc w:val="center"/>
        <w:rPr>
          <w:rFonts w:ascii="Arial" w:hAnsi="Arial" w:cs="Arial"/>
          <w:b/>
          <w:sz w:val="24"/>
          <w:szCs w:val="24"/>
          <w:lang w:val="es-ES_tradnl"/>
        </w:rPr>
      </w:pPr>
      <w:r w:rsidRPr="00EC597C">
        <w:rPr>
          <w:rFonts w:ascii="Arial" w:hAnsi="Arial" w:cs="Arial"/>
          <w:b/>
          <w:sz w:val="24"/>
          <w:szCs w:val="24"/>
          <w:lang w:val="es-ES_tradnl"/>
        </w:rPr>
        <w:t>RESOLUCION ADOPTADA POR EL</w:t>
      </w:r>
    </w:p>
    <w:p w:rsidR="00CE533C" w:rsidRPr="00EC597C" w:rsidRDefault="00CE533C">
      <w:pPr>
        <w:tabs>
          <w:tab w:val="center" w:pos="4253"/>
        </w:tabs>
        <w:suppressAutoHyphens/>
        <w:jc w:val="center"/>
        <w:rPr>
          <w:rFonts w:ascii="Arial" w:hAnsi="Arial" w:cs="Arial"/>
          <w:b/>
          <w:sz w:val="24"/>
          <w:szCs w:val="24"/>
          <w:lang w:val="es-ES_tradnl"/>
        </w:rPr>
      </w:pPr>
      <w:r w:rsidRPr="00EC597C">
        <w:rPr>
          <w:rFonts w:ascii="Arial" w:hAnsi="Arial" w:cs="Arial"/>
          <w:b/>
          <w:sz w:val="24"/>
          <w:szCs w:val="24"/>
          <w:lang w:val="es-ES_tradnl"/>
        </w:rPr>
        <w:t>TRIBUNAL DE CUENTAS</w:t>
      </w:r>
    </w:p>
    <w:p w:rsidR="00CE533C" w:rsidRPr="00EC597C" w:rsidRDefault="00CE533C">
      <w:pPr>
        <w:tabs>
          <w:tab w:val="center" w:pos="4253"/>
        </w:tabs>
        <w:suppressAutoHyphens/>
        <w:jc w:val="center"/>
        <w:rPr>
          <w:rFonts w:ascii="Arial" w:hAnsi="Arial" w:cs="Arial"/>
          <w:b/>
          <w:sz w:val="24"/>
          <w:szCs w:val="24"/>
          <w:lang w:val="es-ES_tradnl"/>
        </w:rPr>
      </w:pPr>
      <w:r w:rsidRPr="00EC597C">
        <w:rPr>
          <w:rFonts w:ascii="Arial" w:hAnsi="Arial" w:cs="Arial"/>
          <w:b/>
          <w:sz w:val="24"/>
          <w:szCs w:val="24"/>
          <w:lang w:val="es-ES_tradnl"/>
        </w:rPr>
        <w:t xml:space="preserve">EN SESION DE FECHA 26 DE SETIEMBRE </w:t>
      </w:r>
      <w:r w:rsidRPr="00EC597C">
        <w:rPr>
          <w:rFonts w:ascii="Helvetica" w:hAnsi="Helvetica"/>
          <w:b/>
          <w:sz w:val="24"/>
          <w:szCs w:val="24"/>
          <w:lang w:val="es-ES_tradnl"/>
        </w:rPr>
        <w:t>DE 2018</w:t>
      </w:r>
    </w:p>
    <w:p w:rsidR="00CE533C" w:rsidRPr="00EC597C" w:rsidRDefault="00CE533C">
      <w:pPr>
        <w:tabs>
          <w:tab w:val="center" w:pos="4253"/>
        </w:tabs>
        <w:suppressAutoHyphens/>
        <w:jc w:val="center"/>
        <w:rPr>
          <w:rFonts w:ascii="Arial" w:hAnsi="Arial" w:cs="Arial"/>
          <w:b/>
          <w:sz w:val="24"/>
          <w:szCs w:val="24"/>
        </w:rPr>
      </w:pPr>
      <w:r w:rsidRPr="00EC597C">
        <w:rPr>
          <w:rFonts w:ascii="Arial" w:hAnsi="Arial" w:cs="Arial"/>
          <w:b/>
          <w:sz w:val="24"/>
          <w:szCs w:val="24"/>
        </w:rPr>
        <w:t xml:space="preserve">(E. E. Nº 2018-17-1-0003460, </w:t>
      </w:r>
      <w:proofErr w:type="spellStart"/>
      <w:r w:rsidRPr="00EC597C">
        <w:rPr>
          <w:rFonts w:ascii="Arial" w:hAnsi="Arial" w:cs="Arial"/>
          <w:b/>
          <w:sz w:val="24"/>
          <w:szCs w:val="24"/>
        </w:rPr>
        <w:t>Ent</w:t>
      </w:r>
      <w:proofErr w:type="spellEnd"/>
      <w:r w:rsidRPr="00EC597C">
        <w:rPr>
          <w:rFonts w:ascii="Arial" w:hAnsi="Arial" w:cs="Arial"/>
          <w:b/>
          <w:sz w:val="24"/>
          <w:szCs w:val="24"/>
        </w:rPr>
        <w:t>. N° 4303/18)</w:t>
      </w:r>
    </w:p>
    <w:p w:rsidR="00CE533C" w:rsidRDefault="00CE533C" w:rsidP="009A3325">
      <w:pPr>
        <w:spacing w:after="0" w:line="360" w:lineRule="auto"/>
        <w:ind w:firstLine="708"/>
        <w:jc w:val="both"/>
        <w:rPr>
          <w:rFonts w:ascii="Arial" w:hAnsi="Arial" w:cs="Arial"/>
          <w:b/>
          <w:sz w:val="24"/>
          <w:szCs w:val="24"/>
        </w:rPr>
      </w:pPr>
    </w:p>
    <w:p w:rsidR="008C0D67" w:rsidRDefault="008C0D67" w:rsidP="00EC597C">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nuevas actuaciones remitidas por la Administración Nacional de las Usinas y Trasmisiones Eléctricas, relacionadas con la reiteración del gasto derivado de la </w:t>
      </w:r>
      <w:r w:rsidRPr="00F96158">
        <w:rPr>
          <w:rFonts w:ascii="Arial" w:hAnsi="Arial" w:cs="Arial"/>
          <w:sz w:val="24"/>
          <w:szCs w:val="24"/>
        </w:rPr>
        <w:t>Licitación Pública N°</w:t>
      </w:r>
      <w:r w:rsidRPr="00602653">
        <w:rPr>
          <w:rFonts w:ascii="Arial" w:hAnsi="Arial" w:cs="Arial"/>
          <w:b/>
          <w:sz w:val="24"/>
          <w:szCs w:val="24"/>
        </w:rPr>
        <w:t xml:space="preserve"> </w:t>
      </w:r>
      <w:r>
        <w:rPr>
          <w:rFonts w:ascii="Arial" w:hAnsi="Arial" w:cs="Arial"/>
          <w:sz w:val="24"/>
          <w:szCs w:val="24"/>
        </w:rPr>
        <w:t>P50726, convocada para la ejecución de trabajos de remodelación y extensión de la red de distribución en BT y MT, en el ámbito de la Gerencia Centro;</w:t>
      </w:r>
    </w:p>
    <w:p w:rsidR="008C0D67" w:rsidRDefault="008C0D67" w:rsidP="00EC597C">
      <w:pPr>
        <w:spacing w:after="0" w:line="360" w:lineRule="auto"/>
        <w:ind w:firstLine="851"/>
        <w:jc w:val="both"/>
        <w:rPr>
          <w:rFonts w:ascii="Arial" w:hAnsi="Arial" w:cs="Arial"/>
          <w:sz w:val="24"/>
          <w:szCs w:val="24"/>
        </w:rPr>
      </w:pPr>
      <w:r w:rsidRPr="008C0D67">
        <w:rPr>
          <w:rFonts w:ascii="Arial" w:hAnsi="Arial" w:cs="Arial"/>
          <w:b/>
          <w:sz w:val="24"/>
          <w:szCs w:val="24"/>
        </w:rPr>
        <w:t>RESULTANDO:</w:t>
      </w:r>
      <w:r w:rsidR="009A3325">
        <w:rPr>
          <w:rFonts w:ascii="Arial" w:hAnsi="Arial" w:cs="Arial"/>
          <w:b/>
          <w:sz w:val="24"/>
          <w:szCs w:val="24"/>
        </w:rPr>
        <w:t xml:space="preserve"> </w:t>
      </w:r>
      <w:r>
        <w:rPr>
          <w:rFonts w:ascii="Arial" w:hAnsi="Arial" w:cs="Arial"/>
          <w:b/>
          <w:sz w:val="24"/>
          <w:szCs w:val="24"/>
        </w:rPr>
        <w:t xml:space="preserve">1) </w:t>
      </w:r>
      <w:r>
        <w:rPr>
          <w:rFonts w:ascii="Arial" w:hAnsi="Arial" w:cs="Arial"/>
          <w:sz w:val="24"/>
          <w:szCs w:val="24"/>
        </w:rPr>
        <w:t xml:space="preserve">que por Resolución G.G N° 28/18 de fecha 16.05.18, el Gerente General en uso de atribuciones delegadas por Resolución de Directorio R.11.-1990 de fecha 22.12.11, dispuso la adjudicación a </w:t>
      </w:r>
      <w:proofErr w:type="spellStart"/>
      <w:r>
        <w:rPr>
          <w:rFonts w:ascii="Arial" w:hAnsi="Arial" w:cs="Arial"/>
          <w:sz w:val="24"/>
          <w:szCs w:val="24"/>
        </w:rPr>
        <w:t>Montelecnor</w:t>
      </w:r>
      <w:proofErr w:type="spellEnd"/>
      <w:r>
        <w:rPr>
          <w:rFonts w:ascii="Arial" w:hAnsi="Arial" w:cs="Arial"/>
          <w:sz w:val="24"/>
          <w:szCs w:val="24"/>
        </w:rPr>
        <w:t xml:space="preserve"> S.A, por un monto total de $</w:t>
      </w:r>
      <w:r w:rsidR="009A3325">
        <w:rPr>
          <w:rFonts w:ascii="Arial" w:hAnsi="Arial" w:cs="Arial"/>
          <w:sz w:val="24"/>
          <w:szCs w:val="24"/>
        </w:rPr>
        <w:t xml:space="preserve"> </w:t>
      </w:r>
      <w:r>
        <w:rPr>
          <w:rFonts w:ascii="Arial" w:hAnsi="Arial" w:cs="Arial"/>
          <w:sz w:val="24"/>
          <w:szCs w:val="24"/>
        </w:rPr>
        <w:t>206:068.500 (impuestos incluidos);</w:t>
      </w:r>
    </w:p>
    <w:p w:rsidR="008C0D67" w:rsidRDefault="008C0D67" w:rsidP="00EC597C">
      <w:pPr>
        <w:spacing w:after="0" w:line="360" w:lineRule="auto"/>
        <w:ind w:firstLine="2835"/>
        <w:jc w:val="both"/>
        <w:rPr>
          <w:rFonts w:ascii="Arial" w:hAnsi="Arial" w:cs="Arial"/>
          <w:sz w:val="24"/>
          <w:szCs w:val="24"/>
        </w:rPr>
      </w:pPr>
      <w:r w:rsidRPr="008C0D67">
        <w:rPr>
          <w:rFonts w:ascii="Arial" w:hAnsi="Arial" w:cs="Arial"/>
          <w:b/>
          <w:sz w:val="24"/>
          <w:szCs w:val="24"/>
        </w:rPr>
        <w:t>2)</w:t>
      </w:r>
      <w:r>
        <w:rPr>
          <w:rFonts w:ascii="Arial" w:hAnsi="Arial" w:cs="Arial"/>
          <w:b/>
          <w:sz w:val="24"/>
          <w:szCs w:val="24"/>
        </w:rPr>
        <w:t xml:space="preserve"> </w:t>
      </w:r>
      <w:r>
        <w:rPr>
          <w:rFonts w:ascii="Arial" w:hAnsi="Arial" w:cs="Arial"/>
          <w:sz w:val="24"/>
          <w:szCs w:val="24"/>
        </w:rPr>
        <w:t>que por Resolución N° 2076/18 adoptada en Sesión de fecha 20.06.18, este Tribunal acordó observar el gasto en razón de que:</w:t>
      </w:r>
    </w:p>
    <w:p w:rsidR="008C0D67" w:rsidRDefault="008C0D67" w:rsidP="009A3325">
      <w:pPr>
        <w:spacing w:after="0" w:line="360" w:lineRule="auto"/>
        <w:jc w:val="both"/>
        <w:rPr>
          <w:rFonts w:ascii="Arial" w:hAnsi="Arial" w:cs="Arial"/>
          <w:sz w:val="24"/>
          <w:szCs w:val="24"/>
        </w:rPr>
      </w:pPr>
      <w:r w:rsidRPr="008C0D67">
        <w:rPr>
          <w:rFonts w:ascii="Arial" w:hAnsi="Arial" w:cs="Arial"/>
          <w:b/>
          <w:sz w:val="24"/>
          <w:szCs w:val="24"/>
        </w:rPr>
        <w:t>2.1)</w:t>
      </w:r>
      <w:r>
        <w:rPr>
          <w:rFonts w:ascii="Arial" w:hAnsi="Arial" w:cs="Arial"/>
          <w:b/>
          <w:sz w:val="24"/>
          <w:szCs w:val="24"/>
        </w:rPr>
        <w:t xml:space="preserve"> </w:t>
      </w:r>
      <w:r w:rsidRPr="00BF4120">
        <w:rPr>
          <w:rFonts w:ascii="Arial" w:hAnsi="Arial" w:cs="Arial"/>
          <w:sz w:val="24"/>
          <w:szCs w:val="24"/>
        </w:rPr>
        <w:t xml:space="preserve"> el </w:t>
      </w:r>
      <w:r w:rsidR="009A3325">
        <w:rPr>
          <w:rFonts w:ascii="Arial" w:hAnsi="Arial" w:cs="Arial"/>
          <w:sz w:val="24"/>
          <w:szCs w:val="24"/>
        </w:rPr>
        <w:t>A</w:t>
      </w:r>
      <w:r w:rsidRPr="00BF4120">
        <w:rPr>
          <w:rFonts w:ascii="Arial" w:hAnsi="Arial" w:cs="Arial"/>
          <w:sz w:val="24"/>
          <w:szCs w:val="24"/>
        </w:rPr>
        <w:t>rtículo 10.1 de las bases del llamado</w:t>
      </w:r>
      <w:r>
        <w:rPr>
          <w:rFonts w:ascii="Arial" w:hAnsi="Arial" w:cs="Arial"/>
          <w:sz w:val="24"/>
          <w:szCs w:val="24"/>
        </w:rPr>
        <w:t xml:space="preserve"> establece en su literal e) que una oferta puede ser rechazada </w:t>
      </w:r>
      <w:r w:rsidRPr="00BF4120">
        <w:rPr>
          <w:rFonts w:ascii="Arial" w:hAnsi="Arial" w:cs="Arial"/>
          <w:sz w:val="24"/>
          <w:szCs w:val="24"/>
        </w:rPr>
        <w:t>cuando el oferente registre</w:t>
      </w:r>
      <w:r>
        <w:rPr>
          <w:rFonts w:ascii="Arial" w:hAnsi="Arial" w:cs="Arial"/>
          <w:sz w:val="24"/>
          <w:szCs w:val="24"/>
        </w:rPr>
        <w:t xml:space="preserve"> </w:t>
      </w:r>
      <w:r w:rsidRPr="00BF4120">
        <w:rPr>
          <w:rFonts w:ascii="Arial" w:hAnsi="Arial" w:cs="Arial"/>
          <w:sz w:val="24"/>
          <w:szCs w:val="24"/>
        </w:rPr>
        <w:t>antecedentes negati</w:t>
      </w:r>
      <w:r>
        <w:rPr>
          <w:rFonts w:ascii="Arial" w:hAnsi="Arial" w:cs="Arial"/>
          <w:sz w:val="24"/>
          <w:szCs w:val="24"/>
        </w:rPr>
        <w:t xml:space="preserve">vos en la Administración, no constando de manera clara y determinada qué antecedente negativo -y la duración de la respectiva sanción- amerita el total descarte de la oferta, en tanto la mencionada norma refiera a “antecedentes negativos” en carácter general, siendo que </w:t>
      </w:r>
      <w:r w:rsidRPr="00BF4120">
        <w:rPr>
          <w:rFonts w:ascii="Arial" w:hAnsi="Arial" w:cs="Arial"/>
          <w:sz w:val="24"/>
          <w:szCs w:val="24"/>
        </w:rPr>
        <w:t>los únicos extremos que</w:t>
      </w:r>
      <w:r>
        <w:rPr>
          <w:rFonts w:ascii="Arial" w:hAnsi="Arial" w:cs="Arial"/>
          <w:sz w:val="24"/>
          <w:szCs w:val="24"/>
        </w:rPr>
        <w:t xml:space="preserve"> </w:t>
      </w:r>
      <w:r w:rsidRPr="00BF4120">
        <w:rPr>
          <w:rFonts w:ascii="Arial" w:hAnsi="Arial" w:cs="Arial"/>
          <w:sz w:val="24"/>
          <w:szCs w:val="24"/>
        </w:rPr>
        <w:t>habilitan a una Administración a determinar que un oferente no se encuentra</w:t>
      </w:r>
      <w:r>
        <w:rPr>
          <w:rFonts w:ascii="Arial" w:hAnsi="Arial" w:cs="Arial"/>
          <w:sz w:val="24"/>
          <w:szCs w:val="24"/>
        </w:rPr>
        <w:t xml:space="preserve"> </w:t>
      </w:r>
      <w:r w:rsidRPr="00BF4120">
        <w:rPr>
          <w:rFonts w:ascii="Arial" w:hAnsi="Arial" w:cs="Arial"/>
          <w:sz w:val="24"/>
          <w:szCs w:val="24"/>
        </w:rPr>
        <w:t>apto para presentarse en</w:t>
      </w:r>
      <w:r>
        <w:rPr>
          <w:rFonts w:ascii="Arial" w:hAnsi="Arial" w:cs="Arial"/>
          <w:sz w:val="24"/>
          <w:szCs w:val="24"/>
        </w:rPr>
        <w:t xml:space="preserve"> una convocatoria del Organismo, </w:t>
      </w:r>
      <w:r w:rsidRPr="00BF4120">
        <w:rPr>
          <w:rFonts w:ascii="Arial" w:hAnsi="Arial" w:cs="Arial"/>
          <w:sz w:val="24"/>
          <w:szCs w:val="24"/>
        </w:rPr>
        <w:t>son las sanciones</w:t>
      </w:r>
      <w:r>
        <w:rPr>
          <w:rFonts w:ascii="Arial" w:hAnsi="Arial" w:cs="Arial"/>
          <w:sz w:val="24"/>
          <w:szCs w:val="24"/>
        </w:rPr>
        <w:t xml:space="preserve"> </w:t>
      </w:r>
      <w:r w:rsidRPr="00BF4120">
        <w:rPr>
          <w:rFonts w:ascii="Arial" w:hAnsi="Arial" w:cs="Arial"/>
          <w:sz w:val="24"/>
          <w:szCs w:val="24"/>
        </w:rPr>
        <w:t xml:space="preserve">de </w:t>
      </w:r>
      <w:r>
        <w:rPr>
          <w:rFonts w:ascii="Arial" w:hAnsi="Arial" w:cs="Arial"/>
          <w:sz w:val="24"/>
          <w:szCs w:val="24"/>
        </w:rPr>
        <w:t>suspensión -</w:t>
      </w:r>
      <w:r w:rsidRPr="00BF4120">
        <w:rPr>
          <w:rFonts w:ascii="Arial" w:hAnsi="Arial" w:cs="Arial"/>
          <w:sz w:val="24"/>
          <w:szCs w:val="24"/>
        </w:rPr>
        <w:t>por el período y alcance que en cada caso el Organismo</w:t>
      </w:r>
      <w:r>
        <w:rPr>
          <w:rFonts w:ascii="Arial" w:hAnsi="Arial" w:cs="Arial"/>
          <w:sz w:val="24"/>
          <w:szCs w:val="24"/>
        </w:rPr>
        <w:t xml:space="preserve"> determine-</w:t>
      </w:r>
      <w:r w:rsidRPr="00BF4120">
        <w:rPr>
          <w:rFonts w:ascii="Arial" w:hAnsi="Arial" w:cs="Arial"/>
          <w:sz w:val="24"/>
          <w:szCs w:val="24"/>
        </w:rPr>
        <w:t xml:space="preserve"> y la eliminación del infractor como proveedor del Organismo</w:t>
      </w:r>
      <w:r>
        <w:rPr>
          <w:rFonts w:ascii="Arial" w:hAnsi="Arial" w:cs="Arial"/>
          <w:sz w:val="24"/>
          <w:szCs w:val="24"/>
        </w:rPr>
        <w:t xml:space="preserve"> </w:t>
      </w:r>
      <w:r w:rsidRPr="00BF4120">
        <w:rPr>
          <w:rFonts w:ascii="Arial" w:hAnsi="Arial" w:cs="Arial"/>
          <w:sz w:val="24"/>
          <w:szCs w:val="24"/>
        </w:rPr>
        <w:lastRenderedPageBreak/>
        <w:t xml:space="preserve">sancionador, todo ello en la forma establecida en los </w:t>
      </w:r>
      <w:r w:rsidR="009A3325">
        <w:rPr>
          <w:rFonts w:ascii="Arial" w:hAnsi="Arial" w:cs="Arial"/>
          <w:sz w:val="24"/>
          <w:szCs w:val="24"/>
        </w:rPr>
        <w:t>A</w:t>
      </w:r>
      <w:r w:rsidRPr="00BF4120">
        <w:rPr>
          <w:rFonts w:ascii="Arial" w:hAnsi="Arial" w:cs="Arial"/>
          <w:sz w:val="24"/>
          <w:szCs w:val="24"/>
        </w:rPr>
        <w:t xml:space="preserve">rtículos 17, </w:t>
      </w:r>
      <w:r w:rsidR="009A3325">
        <w:rPr>
          <w:rFonts w:ascii="Arial" w:hAnsi="Arial" w:cs="Arial"/>
          <w:sz w:val="24"/>
          <w:szCs w:val="24"/>
        </w:rPr>
        <w:t>L</w:t>
      </w:r>
      <w:r w:rsidRPr="00BF4120">
        <w:rPr>
          <w:rFonts w:ascii="Arial" w:hAnsi="Arial" w:cs="Arial"/>
          <w:sz w:val="24"/>
          <w:szCs w:val="24"/>
        </w:rPr>
        <w:t>iteral e) y 18</w:t>
      </w:r>
      <w:r>
        <w:rPr>
          <w:rFonts w:ascii="Arial" w:hAnsi="Arial" w:cs="Arial"/>
          <w:sz w:val="24"/>
          <w:szCs w:val="24"/>
        </w:rPr>
        <w:t xml:space="preserve"> </w:t>
      </w:r>
      <w:r w:rsidRPr="00BF4120">
        <w:rPr>
          <w:rFonts w:ascii="Arial" w:hAnsi="Arial" w:cs="Arial"/>
          <w:sz w:val="24"/>
          <w:szCs w:val="24"/>
        </w:rPr>
        <w:t>del Decreto 155/013 de fecha 21/5/13;</w:t>
      </w:r>
      <w:r>
        <w:rPr>
          <w:rFonts w:ascii="Arial" w:hAnsi="Arial" w:cs="Arial"/>
          <w:sz w:val="24"/>
          <w:szCs w:val="24"/>
        </w:rPr>
        <w:t xml:space="preserve"> en consecuencia, </w:t>
      </w:r>
      <w:r w:rsidRPr="00BF4120">
        <w:rPr>
          <w:rFonts w:ascii="Arial" w:hAnsi="Arial" w:cs="Arial"/>
          <w:sz w:val="24"/>
          <w:szCs w:val="24"/>
        </w:rPr>
        <w:t>la</w:t>
      </w:r>
      <w:r>
        <w:rPr>
          <w:rFonts w:ascii="Arial" w:hAnsi="Arial" w:cs="Arial"/>
          <w:sz w:val="24"/>
          <w:szCs w:val="24"/>
        </w:rPr>
        <w:t xml:space="preserve"> </w:t>
      </w:r>
      <w:r w:rsidRPr="00BF4120">
        <w:rPr>
          <w:rFonts w:ascii="Arial" w:hAnsi="Arial" w:cs="Arial"/>
          <w:sz w:val="24"/>
          <w:szCs w:val="24"/>
        </w:rPr>
        <w:t xml:space="preserve">circunstancia de </w:t>
      </w:r>
      <w:r>
        <w:rPr>
          <w:rFonts w:ascii="Arial" w:hAnsi="Arial" w:cs="Arial"/>
          <w:sz w:val="24"/>
          <w:szCs w:val="24"/>
        </w:rPr>
        <w:t>contar con</w:t>
      </w:r>
      <w:r w:rsidRPr="00BF4120">
        <w:rPr>
          <w:rFonts w:ascii="Arial" w:hAnsi="Arial" w:cs="Arial"/>
          <w:sz w:val="24"/>
          <w:szCs w:val="24"/>
        </w:rPr>
        <w:t xml:space="preserve"> antecedentes negativos en el Registro de</w:t>
      </w:r>
      <w:r>
        <w:rPr>
          <w:rFonts w:ascii="Arial" w:hAnsi="Arial" w:cs="Arial"/>
          <w:sz w:val="24"/>
          <w:szCs w:val="24"/>
        </w:rPr>
        <w:t xml:space="preserve"> </w:t>
      </w:r>
      <w:r w:rsidRPr="00BF4120">
        <w:rPr>
          <w:rFonts w:ascii="Arial" w:hAnsi="Arial" w:cs="Arial"/>
          <w:sz w:val="24"/>
          <w:szCs w:val="24"/>
        </w:rPr>
        <w:t>Proveedores del Organismo puede establecerse en los Pliegos de Condiciones</w:t>
      </w:r>
      <w:r>
        <w:rPr>
          <w:rFonts w:ascii="Arial" w:hAnsi="Arial" w:cs="Arial"/>
          <w:sz w:val="24"/>
          <w:szCs w:val="24"/>
        </w:rPr>
        <w:t xml:space="preserve"> </w:t>
      </w:r>
      <w:r w:rsidRPr="00BF4120">
        <w:rPr>
          <w:rFonts w:ascii="Arial" w:hAnsi="Arial" w:cs="Arial"/>
          <w:sz w:val="24"/>
          <w:szCs w:val="24"/>
        </w:rPr>
        <w:t xml:space="preserve">Particulares como factor </w:t>
      </w:r>
      <w:r>
        <w:rPr>
          <w:rFonts w:ascii="Arial" w:hAnsi="Arial" w:cs="Arial"/>
          <w:sz w:val="24"/>
          <w:szCs w:val="24"/>
        </w:rPr>
        <w:t>de ponderación, a ser considerado en la etapa de evaluación de las ofertas</w:t>
      </w:r>
      <w:r w:rsidRPr="00BF4120">
        <w:rPr>
          <w:rFonts w:ascii="Arial" w:hAnsi="Arial" w:cs="Arial"/>
          <w:sz w:val="24"/>
          <w:szCs w:val="24"/>
        </w:rPr>
        <w:t xml:space="preserve">, </w:t>
      </w:r>
      <w:r>
        <w:rPr>
          <w:rFonts w:ascii="Arial" w:hAnsi="Arial" w:cs="Arial"/>
          <w:sz w:val="24"/>
          <w:szCs w:val="24"/>
        </w:rPr>
        <w:t>no pudiendo</w:t>
      </w:r>
      <w:r w:rsidRPr="00BF4120">
        <w:rPr>
          <w:rFonts w:ascii="Arial" w:hAnsi="Arial" w:cs="Arial"/>
          <w:sz w:val="24"/>
          <w:szCs w:val="24"/>
        </w:rPr>
        <w:t xml:space="preserve"> constituir un</w:t>
      </w:r>
      <w:r>
        <w:rPr>
          <w:rFonts w:ascii="Arial" w:hAnsi="Arial" w:cs="Arial"/>
          <w:sz w:val="24"/>
          <w:szCs w:val="24"/>
        </w:rPr>
        <w:t xml:space="preserve"> requisito de inadmisibilidad;</w:t>
      </w:r>
    </w:p>
    <w:p w:rsidR="008C0D67" w:rsidRDefault="008C0D67" w:rsidP="009A3325">
      <w:pPr>
        <w:spacing w:after="0" w:line="360" w:lineRule="auto"/>
        <w:jc w:val="both"/>
        <w:rPr>
          <w:rFonts w:ascii="Arial" w:hAnsi="Arial" w:cs="Arial"/>
          <w:sz w:val="24"/>
          <w:szCs w:val="24"/>
        </w:rPr>
      </w:pPr>
      <w:r w:rsidRPr="008C0D67">
        <w:rPr>
          <w:rFonts w:ascii="Arial" w:hAnsi="Arial" w:cs="Arial"/>
          <w:b/>
          <w:sz w:val="24"/>
          <w:szCs w:val="24"/>
        </w:rPr>
        <w:t xml:space="preserve">2.2) </w:t>
      </w:r>
      <w:r>
        <w:rPr>
          <w:rFonts w:ascii="Arial" w:hAnsi="Arial" w:cs="Arial"/>
          <w:sz w:val="24"/>
          <w:szCs w:val="24"/>
        </w:rPr>
        <w:t xml:space="preserve">para la acreditación de su experiencia, </w:t>
      </w:r>
      <w:proofErr w:type="spellStart"/>
      <w:r>
        <w:rPr>
          <w:rFonts w:ascii="Arial" w:hAnsi="Arial" w:cs="Arial"/>
          <w:sz w:val="24"/>
          <w:szCs w:val="24"/>
        </w:rPr>
        <w:t>Berkes</w:t>
      </w:r>
      <w:proofErr w:type="spellEnd"/>
      <w:r>
        <w:rPr>
          <w:rFonts w:ascii="Arial" w:hAnsi="Arial" w:cs="Arial"/>
          <w:sz w:val="24"/>
          <w:szCs w:val="24"/>
        </w:rPr>
        <w:t xml:space="preserve"> Construcción y Montajes S.A contó con dos oportunidades otorgadas por la Administración: una según lo dispuesto en el </w:t>
      </w:r>
      <w:r w:rsidR="009A3325">
        <w:rPr>
          <w:rFonts w:ascii="Arial" w:hAnsi="Arial" w:cs="Arial"/>
          <w:sz w:val="24"/>
          <w:szCs w:val="24"/>
        </w:rPr>
        <w:t>A</w:t>
      </w:r>
      <w:r>
        <w:rPr>
          <w:rFonts w:ascii="Arial" w:hAnsi="Arial" w:cs="Arial"/>
          <w:sz w:val="24"/>
          <w:szCs w:val="24"/>
        </w:rPr>
        <w:t xml:space="preserve">rtículo 65 del </w:t>
      </w:r>
      <w:r w:rsidRPr="008C0D67">
        <w:rPr>
          <w:rFonts w:ascii="Arial" w:hAnsi="Arial" w:cs="Arial"/>
          <w:sz w:val="24"/>
          <w:szCs w:val="24"/>
        </w:rPr>
        <w:t xml:space="preserve">TOCAF y la segunda al amparo de lo establecido en el </w:t>
      </w:r>
      <w:r w:rsidR="009A3325">
        <w:rPr>
          <w:rFonts w:ascii="Arial" w:hAnsi="Arial" w:cs="Arial"/>
          <w:sz w:val="24"/>
          <w:szCs w:val="24"/>
        </w:rPr>
        <w:t>A</w:t>
      </w:r>
      <w:r w:rsidRPr="008C0D67">
        <w:rPr>
          <w:rFonts w:ascii="Arial" w:hAnsi="Arial" w:cs="Arial"/>
          <w:sz w:val="24"/>
          <w:szCs w:val="24"/>
        </w:rPr>
        <w:t>rtículo 66,</w:t>
      </w:r>
      <w:r w:rsidR="00CA09FE">
        <w:rPr>
          <w:rFonts w:ascii="Arial" w:hAnsi="Arial" w:cs="Arial"/>
          <w:sz w:val="24"/>
          <w:szCs w:val="24"/>
        </w:rPr>
        <w:t xml:space="preserve"> del </w:t>
      </w:r>
      <w:proofErr w:type="spellStart"/>
      <w:r w:rsidR="00CA09FE">
        <w:rPr>
          <w:rFonts w:ascii="Arial" w:hAnsi="Arial" w:cs="Arial"/>
          <w:sz w:val="24"/>
          <w:szCs w:val="24"/>
        </w:rPr>
        <w:t>Tocaf</w:t>
      </w:r>
      <w:proofErr w:type="spellEnd"/>
      <w:r w:rsidR="00CA09FE">
        <w:rPr>
          <w:rFonts w:ascii="Arial" w:hAnsi="Arial" w:cs="Arial"/>
          <w:sz w:val="24"/>
          <w:szCs w:val="24"/>
        </w:rPr>
        <w:t>,</w:t>
      </w:r>
      <w:r w:rsidR="009A3325">
        <w:rPr>
          <w:rFonts w:ascii="Arial" w:hAnsi="Arial" w:cs="Arial"/>
          <w:sz w:val="24"/>
          <w:szCs w:val="24"/>
        </w:rPr>
        <w:t xml:space="preserve"> </w:t>
      </w:r>
      <w:r>
        <w:rPr>
          <w:rFonts w:ascii="Arial" w:hAnsi="Arial" w:cs="Arial"/>
          <w:sz w:val="24"/>
          <w:szCs w:val="24"/>
        </w:rPr>
        <w:t xml:space="preserve">si bien la solicitud de fecha 22.02.18 fue realizada bajo el acápite de </w:t>
      </w:r>
      <w:r w:rsidRPr="00A85BC2">
        <w:rPr>
          <w:rFonts w:ascii="Arial" w:hAnsi="Arial" w:cs="Arial"/>
          <w:sz w:val="24"/>
          <w:szCs w:val="24"/>
        </w:rPr>
        <w:t>“aclaración”</w:t>
      </w:r>
      <w:r>
        <w:rPr>
          <w:rFonts w:ascii="Arial" w:hAnsi="Arial" w:cs="Arial"/>
          <w:sz w:val="24"/>
          <w:szCs w:val="24"/>
        </w:rPr>
        <w:t xml:space="preserve"> -</w:t>
      </w:r>
      <w:r w:rsidR="00CA09FE">
        <w:rPr>
          <w:rFonts w:ascii="Arial" w:hAnsi="Arial" w:cs="Arial"/>
          <w:sz w:val="24"/>
          <w:szCs w:val="24"/>
        </w:rPr>
        <w:t>invocándose</w:t>
      </w:r>
      <w:r>
        <w:rPr>
          <w:rFonts w:ascii="Arial" w:hAnsi="Arial" w:cs="Arial"/>
          <w:sz w:val="24"/>
          <w:szCs w:val="24"/>
        </w:rPr>
        <w:t xml:space="preserve"> el artículo 66 del TOCAF-, la Administración no requirió al oferente que aclarara algún aspecto dudoso respecto de lo ya presentado, sino que le solicitó</w:t>
      </w:r>
      <w:r w:rsidRPr="00101A33">
        <w:rPr>
          <w:rFonts w:ascii="Arial" w:hAnsi="Arial" w:cs="Arial"/>
          <w:sz w:val="24"/>
          <w:szCs w:val="24"/>
        </w:rPr>
        <w:t xml:space="preserve"> </w:t>
      </w:r>
      <w:r>
        <w:rPr>
          <w:rFonts w:ascii="Arial" w:hAnsi="Arial" w:cs="Arial"/>
          <w:sz w:val="24"/>
          <w:szCs w:val="24"/>
        </w:rPr>
        <w:t>que aval</w:t>
      </w:r>
      <w:r w:rsidR="00CA09FE">
        <w:rPr>
          <w:rFonts w:ascii="Arial" w:hAnsi="Arial" w:cs="Arial"/>
          <w:sz w:val="24"/>
          <w:szCs w:val="24"/>
        </w:rPr>
        <w:t>ara</w:t>
      </w:r>
      <w:r>
        <w:rPr>
          <w:rFonts w:ascii="Arial" w:hAnsi="Arial" w:cs="Arial"/>
          <w:sz w:val="24"/>
          <w:szCs w:val="24"/>
        </w:rPr>
        <w:t xml:space="preserve"> la experiencia que ya había sido declarada y respecto de la cual ya se había solicitado información complementaria, por lo que, en consecuencia, se otorgó a la referida firma una segunda oportunidad para presentar esta documentación, lo que afectó el principio de igualdad de oferentes consagrado en el </w:t>
      </w:r>
      <w:r w:rsidR="009A3325">
        <w:rPr>
          <w:rFonts w:ascii="Arial" w:hAnsi="Arial" w:cs="Arial"/>
          <w:sz w:val="24"/>
          <w:szCs w:val="24"/>
        </w:rPr>
        <w:t>A</w:t>
      </w:r>
      <w:r>
        <w:rPr>
          <w:rFonts w:ascii="Arial" w:hAnsi="Arial" w:cs="Arial"/>
          <w:sz w:val="24"/>
          <w:szCs w:val="24"/>
        </w:rPr>
        <w:t>rtículo 149 del TOCAF, no obstante la oferta fuera finalmente descartada;</w:t>
      </w:r>
    </w:p>
    <w:p w:rsidR="008C0D67" w:rsidRPr="008C0D67" w:rsidRDefault="008C0D67" w:rsidP="009A3325">
      <w:pPr>
        <w:spacing w:after="0" w:line="360" w:lineRule="auto"/>
        <w:jc w:val="both"/>
        <w:rPr>
          <w:rFonts w:ascii="Arial" w:hAnsi="Arial" w:cs="Arial"/>
          <w:sz w:val="24"/>
          <w:szCs w:val="24"/>
        </w:rPr>
      </w:pPr>
      <w:r w:rsidRPr="008C0D67">
        <w:rPr>
          <w:rFonts w:ascii="Arial" w:hAnsi="Arial" w:cs="Arial"/>
          <w:b/>
          <w:sz w:val="24"/>
          <w:szCs w:val="24"/>
        </w:rPr>
        <w:t>2.3)</w:t>
      </w:r>
      <w:r>
        <w:rPr>
          <w:rFonts w:ascii="Arial" w:hAnsi="Arial" w:cs="Arial"/>
          <w:sz w:val="24"/>
          <w:szCs w:val="24"/>
        </w:rPr>
        <w:t xml:space="preserve"> </w:t>
      </w:r>
      <w:r w:rsidRPr="008C0D67">
        <w:rPr>
          <w:rFonts w:ascii="Arial" w:hAnsi="Arial" w:cs="Arial"/>
          <w:sz w:val="24"/>
          <w:szCs w:val="24"/>
        </w:rPr>
        <w:t xml:space="preserve">no obra en los informes de la Comisión Asesora de Adjudicaciones el análisis del cumplimiento por parte de los oferentes de todos los requisitos exigidos en las bases del llamado, de conformidad con lo dispuesto en los </w:t>
      </w:r>
      <w:r w:rsidR="009A3325">
        <w:rPr>
          <w:rFonts w:ascii="Arial" w:hAnsi="Arial" w:cs="Arial"/>
          <w:sz w:val="24"/>
          <w:szCs w:val="24"/>
        </w:rPr>
        <w:t>A</w:t>
      </w:r>
      <w:r w:rsidRPr="008C0D67">
        <w:rPr>
          <w:rFonts w:ascii="Arial" w:hAnsi="Arial" w:cs="Arial"/>
          <w:sz w:val="24"/>
          <w:szCs w:val="24"/>
        </w:rPr>
        <w:t xml:space="preserve">rtículos 10.2 y 10.3 del Pliego de Condiciones Particulares -referidos a la acreditación de la experiencia y a las etapas de admisibilidad y de evaluación de las propuestas-, de conformidad con los criterios allí previstos; </w:t>
      </w:r>
      <w:r w:rsidR="00CA09FE">
        <w:rPr>
          <w:rFonts w:ascii="Arial" w:hAnsi="Arial" w:cs="Arial"/>
          <w:sz w:val="24"/>
          <w:szCs w:val="24"/>
        </w:rPr>
        <w:t>y</w:t>
      </w:r>
    </w:p>
    <w:p w:rsidR="008C0D67" w:rsidRDefault="008C0D67" w:rsidP="009A3325">
      <w:pPr>
        <w:pStyle w:val="Textoindependiente"/>
        <w:rPr>
          <w:rFonts w:cs="Arial"/>
          <w:szCs w:val="24"/>
        </w:rPr>
      </w:pPr>
      <w:r w:rsidRPr="008C0D67">
        <w:rPr>
          <w:b/>
        </w:rPr>
        <w:t>2.4)</w:t>
      </w:r>
      <w:r>
        <w:t xml:space="preserve"> </w:t>
      </w:r>
      <w:r>
        <w:rPr>
          <w:rFonts w:cs="Arial"/>
          <w:szCs w:val="24"/>
        </w:rPr>
        <w:t xml:space="preserve">no se dio cumplimiento a lo dispuesto en el </w:t>
      </w:r>
      <w:r w:rsidR="009A3325">
        <w:rPr>
          <w:rFonts w:cs="Arial"/>
          <w:szCs w:val="24"/>
        </w:rPr>
        <w:t>A</w:t>
      </w:r>
      <w:r>
        <w:rPr>
          <w:rFonts w:cs="Arial"/>
          <w:szCs w:val="24"/>
        </w:rPr>
        <w:t>rtículo 15 del TOCAF, al comprometerse un gasto sin disponibilidad suficiente en el correspondiente rubro de imputación;</w:t>
      </w:r>
    </w:p>
    <w:p w:rsidR="008C0D67" w:rsidRDefault="008C0D67" w:rsidP="00EC597C">
      <w:pPr>
        <w:pStyle w:val="Textoindependiente"/>
        <w:ind w:firstLine="2835"/>
        <w:rPr>
          <w:rFonts w:cs="Arial"/>
          <w:szCs w:val="24"/>
        </w:rPr>
      </w:pPr>
      <w:r w:rsidRPr="008C0D67">
        <w:rPr>
          <w:rFonts w:cs="Arial"/>
          <w:b/>
          <w:szCs w:val="24"/>
        </w:rPr>
        <w:t>3)</w:t>
      </w:r>
      <w:r>
        <w:rPr>
          <w:rFonts w:cs="Arial"/>
          <w:b/>
          <w:szCs w:val="24"/>
        </w:rPr>
        <w:t xml:space="preserve"> </w:t>
      </w:r>
      <w:r>
        <w:rPr>
          <w:rFonts w:cs="Arial"/>
          <w:szCs w:val="24"/>
        </w:rPr>
        <w:t>que en la opor</w:t>
      </w:r>
      <w:r w:rsidR="00EC597C">
        <w:rPr>
          <w:rFonts w:cs="Arial"/>
          <w:szCs w:val="24"/>
        </w:rPr>
        <w:t>tunidad, mediante Resolución N°</w:t>
      </w:r>
      <w:r>
        <w:rPr>
          <w:rFonts w:cs="Arial"/>
          <w:szCs w:val="24"/>
        </w:rPr>
        <w:t>18.-2202 de fecha 23.08.18, el Directorio reiteró el gasto</w:t>
      </w:r>
      <w:r w:rsidR="00CA09FE">
        <w:rPr>
          <w:rFonts w:cs="Arial"/>
          <w:szCs w:val="24"/>
        </w:rPr>
        <w:t>,</w:t>
      </w:r>
      <w:r>
        <w:rPr>
          <w:rFonts w:cs="Arial"/>
          <w:szCs w:val="24"/>
        </w:rPr>
        <w:t xml:space="preserve"> argumentando que:</w:t>
      </w:r>
    </w:p>
    <w:p w:rsidR="008C0D67" w:rsidRDefault="008C0D67" w:rsidP="009A3325">
      <w:pPr>
        <w:pStyle w:val="Textoindependiente"/>
        <w:rPr>
          <w:rFonts w:cs="Arial"/>
          <w:szCs w:val="24"/>
        </w:rPr>
      </w:pPr>
      <w:r w:rsidRPr="008C0D67">
        <w:rPr>
          <w:rFonts w:cs="Arial"/>
          <w:b/>
          <w:szCs w:val="24"/>
        </w:rPr>
        <w:t>3.1)</w:t>
      </w:r>
      <w:r>
        <w:rPr>
          <w:rFonts w:cs="Arial"/>
          <w:b/>
          <w:szCs w:val="24"/>
        </w:rPr>
        <w:t xml:space="preserve"> </w:t>
      </w:r>
      <w:r>
        <w:rPr>
          <w:rFonts w:cs="Arial"/>
          <w:szCs w:val="24"/>
        </w:rPr>
        <w:t>el hecho de que se constate un incumplimiento de cualquier tipo es causal suficiente para el rechazo de una oferta, siendo el objetivo preservar el derecho de excluir de una contratación a</w:t>
      </w:r>
      <w:r w:rsidR="00CA09FE">
        <w:rPr>
          <w:rFonts w:cs="Arial"/>
          <w:szCs w:val="24"/>
        </w:rPr>
        <w:t xml:space="preserve">l que </w:t>
      </w:r>
      <w:r>
        <w:rPr>
          <w:rFonts w:cs="Arial"/>
          <w:szCs w:val="24"/>
        </w:rPr>
        <w:t xml:space="preserve"> ya ha incurrido en incumplimientos. La aplicación de dichas penalizaciones (antecedentes negativos) se realiza respetando estrictamente los principios del debido proceso otorgando vista previa al proveedor y dando el plazo legalmente dispuesto a los efectos de que el mismo presente sus descargos y con notificación del acto que dispone tal sanción, tal cual prevé el decreto 500/91. Por lo tanto, la Administración tomó el derecho de no adjudicar un contrato a aquella empresa que tuviese incumplimientos anteriores con UTE, cuyo antecedente negativo se encuentre vigente en el período de presentación de la oferta;</w:t>
      </w:r>
    </w:p>
    <w:p w:rsidR="008C0D67" w:rsidRDefault="008C0D67" w:rsidP="009A3325">
      <w:pPr>
        <w:pStyle w:val="Textoindependiente"/>
        <w:rPr>
          <w:rFonts w:cs="Arial"/>
          <w:szCs w:val="24"/>
        </w:rPr>
      </w:pPr>
      <w:r w:rsidRPr="008C0D67">
        <w:rPr>
          <w:rFonts w:cs="Arial"/>
          <w:b/>
          <w:szCs w:val="24"/>
        </w:rPr>
        <w:t xml:space="preserve">3.2) </w:t>
      </w:r>
      <w:r>
        <w:rPr>
          <w:rFonts w:cs="Arial"/>
          <w:szCs w:val="24"/>
        </w:rPr>
        <w:t xml:space="preserve">del análisis de lo dispuesto en los </w:t>
      </w:r>
      <w:r w:rsidR="009A3325">
        <w:rPr>
          <w:rFonts w:cs="Arial"/>
          <w:szCs w:val="24"/>
        </w:rPr>
        <w:t>A</w:t>
      </w:r>
      <w:r>
        <w:rPr>
          <w:rFonts w:cs="Arial"/>
          <w:szCs w:val="24"/>
        </w:rPr>
        <w:t>rtículos 65 y 66 del TOCAF, no surge que la Administración pueda hacer uso de la potestad establecida de solicitar la presentación de carencias formales o requerir aclaraciones necesarias para producir su informe en una única instancia;</w:t>
      </w:r>
    </w:p>
    <w:p w:rsidR="008C0D67" w:rsidRDefault="008C0D67" w:rsidP="009A3325">
      <w:pPr>
        <w:pStyle w:val="Textoindependiente"/>
        <w:rPr>
          <w:rFonts w:cs="Arial"/>
          <w:szCs w:val="24"/>
        </w:rPr>
      </w:pPr>
      <w:r w:rsidRPr="008C0D67">
        <w:rPr>
          <w:rFonts w:cs="Arial"/>
          <w:b/>
          <w:szCs w:val="24"/>
        </w:rPr>
        <w:t>3.3)</w:t>
      </w:r>
      <w:r>
        <w:rPr>
          <w:rFonts w:cs="Arial"/>
          <w:b/>
          <w:szCs w:val="24"/>
        </w:rPr>
        <w:t xml:space="preserve"> </w:t>
      </w:r>
      <w:r w:rsidRPr="008C0D67">
        <w:rPr>
          <w:rFonts w:cs="Arial"/>
          <w:szCs w:val="24"/>
        </w:rPr>
        <w:t xml:space="preserve">en </w:t>
      </w:r>
      <w:r>
        <w:rPr>
          <w:rFonts w:cs="Arial"/>
          <w:szCs w:val="24"/>
        </w:rPr>
        <w:t>el informe de fecha 09.03.18 de la Comisión Asesora</w:t>
      </w:r>
      <w:r w:rsidR="00CA09FE">
        <w:rPr>
          <w:rFonts w:cs="Arial"/>
          <w:szCs w:val="24"/>
        </w:rPr>
        <w:t xml:space="preserve"> se realizó a </w:t>
      </w:r>
      <w:r>
        <w:rPr>
          <w:rFonts w:cs="Arial"/>
          <w:szCs w:val="24"/>
        </w:rPr>
        <w:t xml:space="preserve"> los efectos de determinar las ofertas admisibles, indefectiblemente el análisis sobre el ajuste de las ofertas al Pliego de Condiciones</w:t>
      </w:r>
      <w:r w:rsidR="00CA09FE">
        <w:rPr>
          <w:rFonts w:cs="Arial"/>
          <w:szCs w:val="24"/>
        </w:rPr>
        <w:t>, m</w:t>
      </w:r>
      <w:r>
        <w:rPr>
          <w:rFonts w:cs="Arial"/>
          <w:szCs w:val="24"/>
        </w:rPr>
        <w:t>ás allá de que no se indicó a texto expreso este análisis con cada uno de los requisitos que cumplen los oferentes elegibles, surg</w:t>
      </w:r>
      <w:r w:rsidR="00CA09FE">
        <w:rPr>
          <w:rFonts w:cs="Arial"/>
          <w:szCs w:val="24"/>
        </w:rPr>
        <w:t>i</w:t>
      </w:r>
      <w:r>
        <w:rPr>
          <w:rFonts w:cs="Arial"/>
          <w:szCs w:val="24"/>
        </w:rPr>
        <w:t>e</w:t>
      </w:r>
      <w:r w:rsidR="00CA09FE">
        <w:rPr>
          <w:rFonts w:cs="Arial"/>
          <w:szCs w:val="24"/>
        </w:rPr>
        <w:t>ndo</w:t>
      </w:r>
      <w:r>
        <w:rPr>
          <w:rFonts w:cs="Arial"/>
          <w:szCs w:val="24"/>
        </w:rPr>
        <w:t xml:space="preserve"> de los documentos que el accionar de la Comisión Asesora se ajustó a lo establecido en el </w:t>
      </w:r>
      <w:r w:rsidR="009A3325">
        <w:rPr>
          <w:rFonts w:cs="Arial"/>
          <w:szCs w:val="24"/>
        </w:rPr>
        <w:t>A</w:t>
      </w:r>
      <w:r>
        <w:rPr>
          <w:rFonts w:cs="Arial"/>
          <w:szCs w:val="24"/>
        </w:rPr>
        <w:t xml:space="preserve">rtículo 66 </w:t>
      </w:r>
      <w:r w:rsidR="009A3325">
        <w:rPr>
          <w:rFonts w:cs="Arial"/>
          <w:szCs w:val="24"/>
        </w:rPr>
        <w:t>I</w:t>
      </w:r>
      <w:r>
        <w:rPr>
          <w:rFonts w:cs="Arial"/>
          <w:szCs w:val="24"/>
        </w:rPr>
        <w:t>nciso 2 del TOCAF;</w:t>
      </w:r>
      <w:r w:rsidR="00CA09FE">
        <w:rPr>
          <w:rFonts w:cs="Arial"/>
          <w:szCs w:val="24"/>
        </w:rPr>
        <w:t xml:space="preserve"> y</w:t>
      </w:r>
    </w:p>
    <w:p w:rsidR="008C0D67" w:rsidRDefault="008C0D67" w:rsidP="009A3325">
      <w:pPr>
        <w:pStyle w:val="Textoindependiente"/>
        <w:rPr>
          <w:rFonts w:cs="Arial"/>
          <w:szCs w:val="24"/>
        </w:rPr>
      </w:pPr>
      <w:r w:rsidRPr="008C0D67">
        <w:rPr>
          <w:rFonts w:cs="Arial"/>
          <w:b/>
          <w:szCs w:val="24"/>
        </w:rPr>
        <w:t>3.4)</w:t>
      </w:r>
      <w:r>
        <w:rPr>
          <w:rFonts w:cs="Arial"/>
          <w:szCs w:val="24"/>
        </w:rPr>
        <w:t xml:space="preserve"> en la planificación de la Gerencia Centro, está prevista la realización de trabajos de ejecución de suministros y mejoras que posibilitan la mejor calidad de servicios a los clientes, permitiendo mantener en estado adecuado las líneas de distribución y extender la red de distribución para cumplir con las solicitudes de suministro en forma correcta con los clientes. Debe considerarse también la ejecución de obras de inclusión social en un grado importante;</w:t>
      </w:r>
    </w:p>
    <w:p w:rsidR="008C0D67" w:rsidRDefault="008C0D67" w:rsidP="00EC597C">
      <w:pPr>
        <w:pStyle w:val="Textoindependiente"/>
        <w:ind w:firstLine="851"/>
        <w:rPr>
          <w:rFonts w:cs="Arial"/>
          <w:szCs w:val="24"/>
        </w:rPr>
      </w:pPr>
      <w:r w:rsidRPr="008C0D67">
        <w:rPr>
          <w:rFonts w:cs="Arial"/>
          <w:b/>
          <w:szCs w:val="24"/>
        </w:rPr>
        <w:t>CONSIDERANDO:</w:t>
      </w:r>
      <w:r w:rsidR="009A3325">
        <w:rPr>
          <w:rFonts w:cs="Arial"/>
          <w:b/>
          <w:szCs w:val="24"/>
        </w:rPr>
        <w:t xml:space="preserve"> </w:t>
      </w:r>
      <w:r>
        <w:rPr>
          <w:rFonts w:cs="Arial"/>
          <w:b/>
          <w:szCs w:val="24"/>
        </w:rPr>
        <w:t>1)</w:t>
      </w:r>
      <w:r w:rsidRPr="008C0D67">
        <w:rPr>
          <w:rFonts w:cs="Arial"/>
          <w:szCs w:val="24"/>
        </w:rPr>
        <w:t xml:space="preserve"> </w:t>
      </w:r>
      <w:r w:rsidRPr="00BF4120">
        <w:rPr>
          <w:rFonts w:cs="Arial"/>
          <w:szCs w:val="24"/>
        </w:rPr>
        <w:t>que los únicos extremos que</w:t>
      </w:r>
      <w:r>
        <w:rPr>
          <w:rFonts w:cs="Arial"/>
          <w:szCs w:val="24"/>
        </w:rPr>
        <w:t xml:space="preserve"> </w:t>
      </w:r>
      <w:r w:rsidRPr="00BF4120">
        <w:rPr>
          <w:rFonts w:cs="Arial"/>
          <w:szCs w:val="24"/>
        </w:rPr>
        <w:t>habilitan a una Administración a determinar que un oferente no se encuentra</w:t>
      </w:r>
      <w:r>
        <w:rPr>
          <w:rFonts w:cs="Arial"/>
          <w:szCs w:val="24"/>
        </w:rPr>
        <w:t xml:space="preserve"> </w:t>
      </w:r>
      <w:r w:rsidRPr="00BF4120">
        <w:rPr>
          <w:rFonts w:cs="Arial"/>
          <w:szCs w:val="24"/>
        </w:rPr>
        <w:t>apto para presentarse en</w:t>
      </w:r>
      <w:r>
        <w:rPr>
          <w:rFonts w:cs="Arial"/>
          <w:szCs w:val="24"/>
        </w:rPr>
        <w:t xml:space="preserve"> una convocatoria del Organismo, </w:t>
      </w:r>
      <w:r w:rsidRPr="00BF4120">
        <w:rPr>
          <w:rFonts w:cs="Arial"/>
          <w:szCs w:val="24"/>
        </w:rPr>
        <w:t xml:space="preserve">son </w:t>
      </w:r>
      <w:r>
        <w:rPr>
          <w:rFonts w:cs="Arial"/>
          <w:szCs w:val="24"/>
        </w:rPr>
        <w:t xml:space="preserve">la suspensión o eliminación del Registro Único de Proveedores del Estado, según lo dispuesto en el </w:t>
      </w:r>
      <w:r w:rsidR="009A3325">
        <w:rPr>
          <w:rFonts w:cs="Arial"/>
          <w:szCs w:val="24"/>
        </w:rPr>
        <w:t>A</w:t>
      </w:r>
      <w:r>
        <w:rPr>
          <w:rFonts w:cs="Arial"/>
          <w:szCs w:val="24"/>
        </w:rPr>
        <w:t xml:space="preserve">rtículo 46 del TOCAF y </w:t>
      </w:r>
      <w:r w:rsidRPr="00BF4120">
        <w:rPr>
          <w:rFonts w:cs="Arial"/>
          <w:szCs w:val="24"/>
        </w:rPr>
        <w:t xml:space="preserve">en la forma establecida en los </w:t>
      </w:r>
      <w:r w:rsidR="009A3325">
        <w:rPr>
          <w:rFonts w:cs="Arial"/>
          <w:szCs w:val="24"/>
        </w:rPr>
        <w:t>A</w:t>
      </w:r>
      <w:r w:rsidRPr="00BF4120">
        <w:rPr>
          <w:rFonts w:cs="Arial"/>
          <w:szCs w:val="24"/>
        </w:rPr>
        <w:t xml:space="preserve">rtículos 17, </w:t>
      </w:r>
      <w:r w:rsidR="009A3325">
        <w:rPr>
          <w:rFonts w:cs="Arial"/>
          <w:szCs w:val="24"/>
        </w:rPr>
        <w:t>L</w:t>
      </w:r>
      <w:r w:rsidRPr="00BF4120">
        <w:rPr>
          <w:rFonts w:cs="Arial"/>
          <w:szCs w:val="24"/>
        </w:rPr>
        <w:t>iteral e) y 18</w:t>
      </w:r>
      <w:r>
        <w:rPr>
          <w:rFonts w:cs="Arial"/>
          <w:szCs w:val="24"/>
        </w:rPr>
        <w:t xml:space="preserve"> </w:t>
      </w:r>
      <w:r w:rsidRPr="00BF4120">
        <w:rPr>
          <w:rFonts w:cs="Arial"/>
          <w:szCs w:val="24"/>
        </w:rPr>
        <w:t>del D</w:t>
      </w:r>
      <w:r>
        <w:rPr>
          <w:rFonts w:cs="Arial"/>
          <w:szCs w:val="24"/>
        </w:rPr>
        <w:t xml:space="preserve">ecreto 155/013 de fecha 21/5/13, por lo que debe constar en las bases de los llamados, de manera clara y determinada, qué antecedente negativo -y la duración de su respectiva sanción- amerita el total descarte de la oferta, no pudiendo referirse a </w:t>
      </w:r>
      <w:r w:rsidRPr="00CE79EC">
        <w:rPr>
          <w:rFonts w:cs="Arial"/>
          <w:i/>
          <w:szCs w:val="24"/>
        </w:rPr>
        <w:t>“antecedentes negativos”</w:t>
      </w:r>
      <w:r>
        <w:rPr>
          <w:rFonts w:cs="Arial"/>
          <w:szCs w:val="24"/>
        </w:rPr>
        <w:t xml:space="preserve"> en carácter general;</w:t>
      </w:r>
    </w:p>
    <w:p w:rsidR="009A3325" w:rsidRDefault="00EC597C" w:rsidP="00EC597C">
      <w:pPr>
        <w:pStyle w:val="Textoindependiente"/>
        <w:ind w:firstLine="2977"/>
        <w:rPr>
          <w:rFonts w:cs="Arial"/>
          <w:szCs w:val="24"/>
        </w:rPr>
      </w:pPr>
      <w:r>
        <w:rPr>
          <w:rFonts w:cs="Arial"/>
          <w:b/>
          <w:szCs w:val="24"/>
        </w:rPr>
        <w:t xml:space="preserve"> </w:t>
      </w:r>
      <w:r w:rsidR="008C0D67" w:rsidRPr="008C0D67">
        <w:rPr>
          <w:rFonts w:cs="Arial"/>
          <w:b/>
          <w:szCs w:val="24"/>
        </w:rPr>
        <w:t>2)</w:t>
      </w:r>
      <w:r w:rsidR="008C0D67">
        <w:rPr>
          <w:rFonts w:cs="Arial"/>
          <w:b/>
          <w:szCs w:val="24"/>
        </w:rPr>
        <w:t xml:space="preserve"> </w:t>
      </w:r>
      <w:r w:rsidR="008C0D67">
        <w:rPr>
          <w:rFonts w:cs="Arial"/>
          <w:szCs w:val="24"/>
        </w:rPr>
        <w:t xml:space="preserve">que el </w:t>
      </w:r>
      <w:r w:rsidR="009A3325">
        <w:rPr>
          <w:rFonts w:cs="Arial"/>
          <w:szCs w:val="24"/>
        </w:rPr>
        <w:t>A</w:t>
      </w:r>
      <w:r w:rsidR="008C0D67">
        <w:rPr>
          <w:rFonts w:cs="Arial"/>
          <w:szCs w:val="24"/>
        </w:rPr>
        <w:t xml:space="preserve">rtículo 65 del TOCAF otorga a la Administración la posibilidad de otorgar </w:t>
      </w:r>
      <w:r w:rsidR="008C0D67" w:rsidRPr="008C0D67">
        <w:rPr>
          <w:rFonts w:cs="Arial"/>
          <w:i/>
          <w:szCs w:val="24"/>
        </w:rPr>
        <w:t>un</w:t>
      </w:r>
      <w:r w:rsidR="008C0D67">
        <w:rPr>
          <w:rFonts w:cs="Arial"/>
          <w:szCs w:val="24"/>
        </w:rPr>
        <w:t xml:space="preserve"> plazo máximo de dos días hábiles para salvar defectos, carencias formales o errores evidentes o de escasa importancia, en tanto la potestad otorgada en el artículo 66 refiere a la posibilidad de solicitar a los oferentes</w:t>
      </w:r>
      <w:r w:rsidR="008C0D67" w:rsidRPr="008C0D67">
        <w:rPr>
          <w:rFonts w:cs="Arial"/>
          <w:i/>
          <w:szCs w:val="24"/>
        </w:rPr>
        <w:t xml:space="preserve"> </w:t>
      </w:r>
      <w:r w:rsidR="008C0D67" w:rsidRPr="008C0D67">
        <w:rPr>
          <w:rFonts w:cs="Arial"/>
          <w:szCs w:val="24"/>
        </w:rPr>
        <w:t>aclaraciones necesarias</w:t>
      </w:r>
      <w:r w:rsidR="008C0D67">
        <w:rPr>
          <w:rFonts w:cs="Arial"/>
          <w:szCs w:val="24"/>
        </w:rPr>
        <w:t xml:space="preserve">; en el caso, en la segunda solicitud realizada a </w:t>
      </w:r>
      <w:proofErr w:type="spellStart"/>
      <w:r w:rsidR="008C0D67">
        <w:rPr>
          <w:rFonts w:cs="Arial"/>
          <w:szCs w:val="24"/>
        </w:rPr>
        <w:t>Berkes</w:t>
      </w:r>
      <w:proofErr w:type="spellEnd"/>
      <w:r w:rsidR="008C0D67">
        <w:rPr>
          <w:rFonts w:cs="Arial"/>
          <w:szCs w:val="24"/>
        </w:rPr>
        <w:t xml:space="preserve"> Construcción y Montajes S.A con fecha 22.02.18 -bajo el acápite de </w:t>
      </w:r>
      <w:r w:rsidR="008C0D67" w:rsidRPr="00A85BC2">
        <w:rPr>
          <w:rFonts w:cs="Arial"/>
          <w:szCs w:val="24"/>
        </w:rPr>
        <w:t>“aclaración”</w:t>
      </w:r>
      <w:r w:rsidR="008C0D67">
        <w:rPr>
          <w:rFonts w:cs="Arial"/>
          <w:szCs w:val="24"/>
        </w:rPr>
        <w:t xml:space="preserve"> e</w:t>
      </w:r>
      <w:r w:rsidR="008C0D67" w:rsidRPr="008C0D67">
        <w:rPr>
          <w:rFonts w:cs="Arial"/>
          <w:szCs w:val="24"/>
        </w:rPr>
        <w:t xml:space="preserve"> </w:t>
      </w:r>
      <w:r w:rsidR="008C0D67">
        <w:rPr>
          <w:rFonts w:cs="Arial"/>
          <w:szCs w:val="24"/>
        </w:rPr>
        <w:t xml:space="preserve">invocando el </w:t>
      </w:r>
      <w:r w:rsidR="009A3325">
        <w:rPr>
          <w:rFonts w:cs="Arial"/>
          <w:szCs w:val="24"/>
        </w:rPr>
        <w:t>A</w:t>
      </w:r>
      <w:r w:rsidR="008C0D67">
        <w:rPr>
          <w:rFonts w:cs="Arial"/>
          <w:szCs w:val="24"/>
        </w:rPr>
        <w:t>rtículo 66 del TOCAF- se le pidió que avalara su experiencia declarada y respecto de la cual ya se había solicitado información complementaria el 04.12.17, por lo que se le confirió una segunda ocasión para hacerlo, en detrimento del principio de igualdad de oferentes;</w:t>
      </w:r>
    </w:p>
    <w:p w:rsidR="008C0D67" w:rsidRDefault="00EC597C" w:rsidP="00EC597C">
      <w:pPr>
        <w:pStyle w:val="Textoindependiente"/>
        <w:ind w:firstLine="2977"/>
        <w:rPr>
          <w:rFonts w:cs="Arial"/>
          <w:szCs w:val="24"/>
        </w:rPr>
      </w:pPr>
      <w:r>
        <w:rPr>
          <w:rFonts w:cs="Arial"/>
          <w:b/>
          <w:szCs w:val="24"/>
        </w:rPr>
        <w:t xml:space="preserve"> </w:t>
      </w:r>
      <w:r w:rsidR="008C0D67" w:rsidRPr="008C0D67">
        <w:rPr>
          <w:rFonts w:cs="Arial"/>
          <w:b/>
          <w:szCs w:val="24"/>
        </w:rPr>
        <w:t>3)</w:t>
      </w:r>
      <w:r w:rsidR="008C0D67">
        <w:rPr>
          <w:rFonts w:cs="Arial"/>
          <w:b/>
          <w:szCs w:val="24"/>
        </w:rPr>
        <w:t xml:space="preserve"> </w:t>
      </w:r>
      <w:r w:rsidR="008C0D67">
        <w:rPr>
          <w:rFonts w:cs="Arial"/>
          <w:szCs w:val="24"/>
        </w:rPr>
        <w:t>que en tanto los requisitos de admisibilidad preestablecidos en los Pliegos de Condiciones Particulares determinan nada menos que el rechazo o bien la aceptación (</w:t>
      </w:r>
      <w:r w:rsidR="008C0D67" w:rsidRPr="008C0D67">
        <w:rPr>
          <w:rFonts w:cs="Arial"/>
          <w:i/>
          <w:szCs w:val="24"/>
        </w:rPr>
        <w:t>admisibilidad</w:t>
      </w:r>
      <w:r w:rsidR="008C0D67">
        <w:rPr>
          <w:rFonts w:cs="Arial"/>
          <w:szCs w:val="24"/>
        </w:rPr>
        <w:t>) de una oferta para participar del procedimiento, resulta por demás relevante que el análisis del cumplimiento de los mismos, así como de los factores de ponderación en su caso, surjan a texto expreso en los informes elaborados por la Comisión Asesora de Adjudicaciones, en relación a cada uno de los requerimientos solicitados en las bases del llamado;</w:t>
      </w:r>
    </w:p>
    <w:p w:rsidR="008C0D67" w:rsidRPr="00427234" w:rsidRDefault="008C0D67" w:rsidP="00EC597C">
      <w:pPr>
        <w:pStyle w:val="Textoindependiente"/>
        <w:ind w:firstLine="851"/>
        <w:rPr>
          <w:rFonts w:cs="Arial"/>
          <w:szCs w:val="24"/>
        </w:rPr>
      </w:pPr>
      <w:r w:rsidRPr="00427234">
        <w:rPr>
          <w:rFonts w:cs="Arial"/>
          <w:b/>
          <w:szCs w:val="24"/>
        </w:rPr>
        <w:t>ATENTO:</w:t>
      </w:r>
      <w:r w:rsidRPr="00427234">
        <w:rPr>
          <w:rFonts w:cs="Arial"/>
          <w:szCs w:val="24"/>
        </w:rPr>
        <w:t xml:space="preserve"> a lo expuesto y a lo dispuesto por el </w:t>
      </w:r>
      <w:r w:rsidR="009A3325">
        <w:rPr>
          <w:rFonts w:cs="Arial"/>
          <w:szCs w:val="24"/>
        </w:rPr>
        <w:t>A</w:t>
      </w:r>
      <w:r w:rsidRPr="00427234">
        <w:rPr>
          <w:rFonts w:cs="Arial"/>
          <w:szCs w:val="24"/>
        </w:rPr>
        <w:t xml:space="preserve">rtículo 211 </w:t>
      </w:r>
      <w:r w:rsidR="009A3325">
        <w:rPr>
          <w:rFonts w:cs="Arial"/>
          <w:szCs w:val="24"/>
        </w:rPr>
        <w:t>L</w:t>
      </w:r>
      <w:r w:rsidRPr="00427234">
        <w:rPr>
          <w:rFonts w:cs="Arial"/>
          <w:szCs w:val="24"/>
        </w:rPr>
        <w:t>iteral B) de l</w:t>
      </w:r>
      <w:r w:rsidR="00EC597C">
        <w:rPr>
          <w:rFonts w:cs="Arial"/>
          <w:szCs w:val="24"/>
        </w:rPr>
        <w:t>a Constitución de la República;</w:t>
      </w:r>
    </w:p>
    <w:p w:rsidR="008C0D67" w:rsidRDefault="008C0D67" w:rsidP="009A3325">
      <w:pPr>
        <w:spacing w:after="0" w:line="360" w:lineRule="auto"/>
        <w:jc w:val="center"/>
        <w:rPr>
          <w:rFonts w:ascii="Arial" w:hAnsi="Arial" w:cs="Arial"/>
          <w:b/>
          <w:sz w:val="24"/>
          <w:szCs w:val="24"/>
        </w:rPr>
      </w:pPr>
      <w:r w:rsidRPr="00427234">
        <w:rPr>
          <w:rFonts w:ascii="Arial" w:hAnsi="Arial" w:cs="Arial"/>
          <w:b/>
          <w:sz w:val="24"/>
          <w:szCs w:val="24"/>
        </w:rPr>
        <w:t>EL TRIBUNAL ACUERDA</w:t>
      </w:r>
    </w:p>
    <w:p w:rsidR="008C0D67" w:rsidRPr="009A3325" w:rsidRDefault="008C0D67" w:rsidP="009A3325">
      <w:pPr>
        <w:pStyle w:val="Prrafodelista"/>
        <w:numPr>
          <w:ilvl w:val="0"/>
          <w:numId w:val="1"/>
        </w:numPr>
        <w:spacing w:after="0" w:line="360" w:lineRule="auto"/>
        <w:ind w:left="284" w:hanging="284"/>
        <w:jc w:val="both"/>
        <w:rPr>
          <w:rFonts w:ascii="Arial" w:hAnsi="Arial" w:cs="Arial"/>
          <w:sz w:val="24"/>
          <w:szCs w:val="24"/>
        </w:rPr>
      </w:pPr>
      <w:r w:rsidRPr="009A3325">
        <w:rPr>
          <w:rFonts w:ascii="Arial" w:hAnsi="Arial" w:cs="Arial"/>
          <w:sz w:val="24"/>
          <w:szCs w:val="24"/>
        </w:rPr>
        <w:t>Mantener la observación formulada mediante Resolución N° 2076 adoptada en Sesión de fecha 20.06.18</w:t>
      </w:r>
      <w:r w:rsidR="009A3325" w:rsidRPr="009A3325">
        <w:rPr>
          <w:rFonts w:ascii="Arial" w:hAnsi="Arial" w:cs="Arial"/>
          <w:sz w:val="24"/>
          <w:szCs w:val="24"/>
        </w:rPr>
        <w:t>;</w:t>
      </w:r>
    </w:p>
    <w:p w:rsidR="00CA09FE" w:rsidRPr="009A3325" w:rsidRDefault="00CA09FE" w:rsidP="009A3325">
      <w:pPr>
        <w:pStyle w:val="Prrafodelista"/>
        <w:numPr>
          <w:ilvl w:val="0"/>
          <w:numId w:val="1"/>
        </w:numPr>
        <w:spacing w:after="0" w:line="360" w:lineRule="auto"/>
        <w:ind w:left="284" w:hanging="284"/>
        <w:jc w:val="both"/>
        <w:rPr>
          <w:rFonts w:ascii="Arial" w:hAnsi="Arial" w:cs="Arial"/>
          <w:b/>
          <w:sz w:val="24"/>
          <w:szCs w:val="24"/>
        </w:rPr>
      </w:pPr>
      <w:r w:rsidRPr="009A3325">
        <w:rPr>
          <w:rFonts w:ascii="Arial" w:hAnsi="Arial" w:cs="Arial"/>
          <w:sz w:val="24"/>
          <w:szCs w:val="24"/>
        </w:rPr>
        <w:t>Dar cuenta a la Asamblea Genera</w:t>
      </w:r>
      <w:r w:rsidR="009A3325">
        <w:rPr>
          <w:rFonts w:ascii="Arial" w:hAnsi="Arial" w:cs="Arial"/>
          <w:sz w:val="24"/>
          <w:szCs w:val="24"/>
        </w:rPr>
        <w:t>l; y</w:t>
      </w:r>
    </w:p>
    <w:p w:rsidR="00CA09FE" w:rsidRDefault="00CA09FE" w:rsidP="009A3325">
      <w:pPr>
        <w:pStyle w:val="Prrafodelista"/>
        <w:numPr>
          <w:ilvl w:val="0"/>
          <w:numId w:val="1"/>
        </w:numPr>
        <w:spacing w:after="0" w:line="360" w:lineRule="auto"/>
        <w:ind w:left="284" w:hanging="284"/>
        <w:jc w:val="both"/>
        <w:rPr>
          <w:rFonts w:ascii="Arial" w:hAnsi="Arial" w:cs="Arial"/>
          <w:sz w:val="24"/>
          <w:szCs w:val="24"/>
        </w:rPr>
      </w:pPr>
      <w:r w:rsidRPr="009A3325">
        <w:rPr>
          <w:rFonts w:ascii="Arial" w:hAnsi="Arial" w:cs="Arial"/>
          <w:sz w:val="24"/>
          <w:szCs w:val="24"/>
        </w:rPr>
        <w:t>Comunicar a la Administración actuante y al Contador Delegado</w:t>
      </w:r>
      <w:r w:rsidR="009A3325">
        <w:rPr>
          <w:rFonts w:ascii="Arial" w:hAnsi="Arial" w:cs="Arial"/>
          <w:sz w:val="24"/>
          <w:szCs w:val="24"/>
        </w:rPr>
        <w:t>.</w:t>
      </w:r>
    </w:p>
    <w:p w:rsidR="009A3325" w:rsidRDefault="009A3325" w:rsidP="009A3325">
      <w:pPr>
        <w:spacing w:after="0" w:line="360" w:lineRule="auto"/>
        <w:rPr>
          <w:rFonts w:ascii="Arial" w:hAnsi="Arial" w:cs="Arial"/>
          <w:sz w:val="24"/>
          <w:szCs w:val="24"/>
        </w:rPr>
      </w:pPr>
    </w:p>
    <w:p w:rsidR="009A3325" w:rsidRDefault="009A3325" w:rsidP="009A3325">
      <w:pPr>
        <w:spacing w:after="0" w:line="360" w:lineRule="auto"/>
        <w:rPr>
          <w:rFonts w:ascii="Arial" w:hAnsi="Arial" w:cs="Arial"/>
          <w:sz w:val="24"/>
          <w:szCs w:val="24"/>
        </w:rPr>
      </w:pPr>
    </w:p>
    <w:p w:rsidR="008C0D67" w:rsidRPr="00EC597C" w:rsidRDefault="009A3325" w:rsidP="00EC597C">
      <w:pPr>
        <w:spacing w:after="0" w:line="360" w:lineRule="auto"/>
        <w:rPr>
          <w:rFonts w:ascii="Arial" w:hAnsi="Arial" w:cs="Arial"/>
          <w:sz w:val="24"/>
          <w:szCs w:val="24"/>
        </w:rPr>
      </w:pPr>
      <w:proofErr w:type="spellStart"/>
      <w:proofErr w:type="gramStart"/>
      <w:r>
        <w:rPr>
          <w:rFonts w:ascii="Arial" w:hAnsi="Arial" w:cs="Arial"/>
          <w:sz w:val="24"/>
          <w:szCs w:val="24"/>
        </w:rPr>
        <w:t>aa</w:t>
      </w:r>
      <w:proofErr w:type="spellEnd"/>
      <w:proofErr w:type="gramEnd"/>
    </w:p>
    <w:sectPr w:rsidR="008C0D67" w:rsidRPr="00EC597C" w:rsidSect="00CE533C">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6A08"/>
    <w:multiLevelType w:val="hybridMultilevel"/>
    <w:tmpl w:val="CD92FE7A"/>
    <w:lvl w:ilvl="0" w:tplc="5344F02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67"/>
    <w:rsid w:val="0012460D"/>
    <w:rsid w:val="00627664"/>
    <w:rsid w:val="00646E4C"/>
    <w:rsid w:val="008C0D67"/>
    <w:rsid w:val="009A3325"/>
    <w:rsid w:val="00CA09FE"/>
    <w:rsid w:val="00CE533C"/>
    <w:rsid w:val="00EC597C"/>
    <w:rsid w:val="00F44B16"/>
    <w:rsid w:val="00F534CA"/>
    <w:rsid w:val="00FF49B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C0D67"/>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rsid w:val="008C0D67"/>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9A3325"/>
    <w:pPr>
      <w:ind w:left="720"/>
      <w:contextualSpacing/>
    </w:pPr>
  </w:style>
  <w:style w:type="paragraph" w:styleId="Textodeglobo">
    <w:name w:val="Balloon Text"/>
    <w:basedOn w:val="Normal"/>
    <w:link w:val="TextodegloboCar"/>
    <w:uiPriority w:val="99"/>
    <w:semiHidden/>
    <w:unhideWhenUsed/>
    <w:rsid w:val="00646E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E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C0D67"/>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rsid w:val="008C0D67"/>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9A3325"/>
    <w:pPr>
      <w:ind w:left="720"/>
      <w:contextualSpacing/>
    </w:pPr>
  </w:style>
  <w:style w:type="paragraph" w:styleId="Textodeglobo">
    <w:name w:val="Balloon Text"/>
    <w:basedOn w:val="Normal"/>
    <w:link w:val="TextodegloboCar"/>
    <w:uiPriority w:val="99"/>
    <w:semiHidden/>
    <w:unhideWhenUsed/>
    <w:rsid w:val="00646E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4AD7B-C7FE-4753-9729-B4404FFF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1239</Words>
  <Characters>6818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2018-10-01T16:08:00Z</cp:lastPrinted>
  <dcterms:created xsi:type="dcterms:W3CDTF">2018-10-01T16:08:00Z</dcterms:created>
  <dcterms:modified xsi:type="dcterms:W3CDTF">2018-11-06T16:51:00Z</dcterms:modified>
</cp:coreProperties>
</file>