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00" w:rsidRPr="00786EEB" w:rsidRDefault="0069010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3014/18</w:t>
      </w:r>
    </w:p>
    <w:p w:rsidR="00690100" w:rsidRDefault="0069010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90100" w:rsidRPr="00690100" w:rsidRDefault="00690100" w:rsidP="00690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9010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90100" w:rsidRPr="00690100" w:rsidRDefault="00690100" w:rsidP="0069010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90100" w:rsidRPr="00690100" w:rsidRDefault="00690100" w:rsidP="00690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9010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90100" w:rsidRPr="00690100" w:rsidRDefault="00690100" w:rsidP="0069010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90100" w:rsidRPr="00690100" w:rsidRDefault="00690100" w:rsidP="00690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90100">
        <w:rPr>
          <w:rFonts w:ascii="Arial" w:hAnsi="Arial" w:cs="Arial"/>
          <w:b/>
          <w:sz w:val="24"/>
          <w:szCs w:val="24"/>
          <w:lang w:val="es-ES_tradnl"/>
        </w:rPr>
        <w:t xml:space="preserve">EN SESION DE FECHA 26 DE SETIEMBRE </w:t>
      </w:r>
      <w:r w:rsidRPr="00690100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690100" w:rsidRPr="00690100" w:rsidRDefault="00690100" w:rsidP="00690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90100" w:rsidRPr="00920B35" w:rsidRDefault="00690100" w:rsidP="0069010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920B35">
        <w:rPr>
          <w:rFonts w:ascii="Arial" w:hAnsi="Arial" w:cs="Arial"/>
          <w:b/>
          <w:sz w:val="24"/>
          <w:szCs w:val="24"/>
          <w:lang w:val="es-UY"/>
        </w:rPr>
        <w:t xml:space="preserve">(E. E. Nº 2017-17-1-0008221, </w:t>
      </w:r>
      <w:proofErr w:type="spellStart"/>
      <w:r w:rsidRPr="00920B35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920B35">
        <w:rPr>
          <w:rFonts w:ascii="Arial" w:hAnsi="Arial" w:cs="Arial"/>
          <w:b/>
          <w:sz w:val="24"/>
          <w:szCs w:val="24"/>
          <w:lang w:val="es-UY"/>
        </w:rPr>
        <w:t>. N° 4314/18)</w:t>
      </w:r>
    </w:p>
    <w:p w:rsidR="00690100" w:rsidRDefault="0069010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90100" w:rsidRDefault="00013F86" w:rsidP="0069010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</w:t>
      </w:r>
      <w:r w:rsidR="003413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Contador</w:t>
      </w:r>
      <w:r w:rsidR="003413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Delegad</w:t>
      </w:r>
      <w:r w:rsidR="00341374">
        <w:rPr>
          <w:rFonts w:ascii="Arial" w:hAnsi="Arial" w:cs="Arial"/>
          <w:sz w:val="24"/>
          <w:szCs w:val="24"/>
        </w:rPr>
        <w:t>a</w:t>
      </w:r>
      <w:r w:rsidR="00690100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la Intendencia de Canelones, relacionadas con la </w:t>
      </w:r>
      <w:r w:rsidR="00341374">
        <w:rPr>
          <w:rFonts w:ascii="Arial" w:hAnsi="Arial" w:cs="Arial"/>
          <w:sz w:val="24"/>
          <w:szCs w:val="24"/>
        </w:rPr>
        <w:t xml:space="preserve">reiteración del gasto emergente de la </w:t>
      </w:r>
      <w:r>
        <w:rPr>
          <w:rFonts w:ascii="Arial" w:hAnsi="Arial" w:cs="Arial"/>
          <w:sz w:val="24"/>
          <w:szCs w:val="24"/>
        </w:rPr>
        <w:t xml:space="preserve">contratación directa por excepción para la adquisición de tres camiones recolectores marca IVECO, modelo 170 E 22 Euro V, caja </w:t>
      </w:r>
      <w:r w:rsidR="00690100">
        <w:rPr>
          <w:rFonts w:ascii="Arial" w:hAnsi="Arial" w:cs="Arial"/>
          <w:sz w:val="24"/>
          <w:szCs w:val="24"/>
        </w:rPr>
        <w:t xml:space="preserve">manual con compactador </w:t>
      </w:r>
      <w:proofErr w:type="spellStart"/>
      <w:r w:rsidR="00690100">
        <w:rPr>
          <w:rFonts w:ascii="Arial" w:hAnsi="Arial" w:cs="Arial"/>
          <w:sz w:val="24"/>
          <w:szCs w:val="24"/>
        </w:rPr>
        <w:t>Econovo</w:t>
      </w:r>
      <w:proofErr w:type="spellEnd"/>
      <w:r w:rsidR="00690100">
        <w:rPr>
          <w:rFonts w:ascii="Arial" w:hAnsi="Arial" w:cs="Arial"/>
          <w:sz w:val="24"/>
          <w:szCs w:val="24"/>
        </w:rPr>
        <w:t>;</w:t>
      </w:r>
    </w:p>
    <w:p w:rsidR="00690100" w:rsidRDefault="00013F86" w:rsidP="0069010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="00341374" w:rsidRPr="00341374">
        <w:rPr>
          <w:rFonts w:ascii="Arial" w:hAnsi="Arial" w:cs="Arial"/>
          <w:b/>
          <w:color w:val="000000"/>
          <w:sz w:val="24"/>
          <w:szCs w:val="24"/>
          <w:lang w:eastAsia="es-ES"/>
        </w:rPr>
        <w:t>1</w:t>
      </w:r>
      <w:r w:rsidRPr="00341374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por Resolución 17/08816, de fecha 05/12/017, el Ejecutivo Departamental autorizó la contratación directa por excepción, al amparo de </w:t>
      </w:r>
      <w:r w:rsidR="00690100">
        <w:rPr>
          <w:rFonts w:ascii="Arial" w:hAnsi="Arial" w:cs="Arial"/>
          <w:sz w:val="24"/>
          <w:szCs w:val="24"/>
        </w:rPr>
        <w:t>lo dispuesto por el A</w:t>
      </w:r>
      <w:r>
        <w:rPr>
          <w:rFonts w:ascii="Arial" w:hAnsi="Arial" w:cs="Arial"/>
          <w:sz w:val="24"/>
          <w:szCs w:val="24"/>
        </w:rPr>
        <w:t>rt</w:t>
      </w:r>
      <w:r w:rsidR="00690100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</w:t>
      </w:r>
      <w:r w:rsidR="0069010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690100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C</w:t>
      </w:r>
      <w:r w:rsidR="0069010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690100">
        <w:rPr>
          <w:rFonts w:ascii="Arial" w:hAnsi="Arial" w:cs="Arial"/>
          <w:sz w:val="24"/>
          <w:szCs w:val="24"/>
        </w:rPr>
        <w:t>Nume</w:t>
      </w:r>
      <w:r>
        <w:rPr>
          <w:rFonts w:ascii="Arial" w:hAnsi="Arial" w:cs="Arial"/>
          <w:sz w:val="24"/>
          <w:szCs w:val="24"/>
        </w:rPr>
        <w:t>ral 9</w:t>
      </w:r>
      <w:r w:rsidR="0069010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del T.O.C.A.F., de la </w:t>
      </w:r>
      <w:r w:rsidR="00714DD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mpresa FLEXTIL S.R.L., para la adquisición de 3 camiones recolectores marca IVECO, Modelo 170 e 22 Euro V, caja manual con compactador </w:t>
      </w:r>
      <w:proofErr w:type="spellStart"/>
      <w:r>
        <w:rPr>
          <w:rFonts w:ascii="Arial" w:hAnsi="Arial" w:cs="Arial"/>
          <w:sz w:val="24"/>
          <w:szCs w:val="24"/>
        </w:rPr>
        <w:t>Econovo</w:t>
      </w:r>
      <w:proofErr w:type="spellEnd"/>
      <w:r>
        <w:rPr>
          <w:rFonts w:ascii="Arial" w:hAnsi="Arial" w:cs="Arial"/>
          <w:sz w:val="24"/>
          <w:szCs w:val="24"/>
        </w:rPr>
        <w:t>, Modelo Andrés 17, con el opcional de sis</w:t>
      </w:r>
      <w:r w:rsidR="00690100">
        <w:rPr>
          <w:rFonts w:ascii="Arial" w:hAnsi="Arial" w:cs="Arial"/>
          <w:sz w:val="24"/>
          <w:szCs w:val="24"/>
        </w:rPr>
        <w:t>tema de contenedor polivalente;</w:t>
      </w:r>
    </w:p>
    <w:p w:rsidR="00690100" w:rsidRDefault="00341374" w:rsidP="0069010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41374">
        <w:rPr>
          <w:rFonts w:ascii="Arial" w:hAnsi="Arial" w:cs="Arial"/>
          <w:b/>
          <w:sz w:val="24"/>
          <w:szCs w:val="24"/>
        </w:rPr>
        <w:t>2</w:t>
      </w:r>
      <w:r w:rsidR="00013F86">
        <w:rPr>
          <w:rFonts w:ascii="Arial" w:hAnsi="Arial" w:cs="Arial"/>
          <w:b/>
          <w:bCs/>
          <w:sz w:val="24"/>
          <w:szCs w:val="24"/>
        </w:rPr>
        <w:t xml:space="preserve">) </w:t>
      </w:r>
      <w:r w:rsidR="00013F8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este Tribunal, mediante Res</w:t>
      </w:r>
      <w:r w:rsidR="00690100">
        <w:rPr>
          <w:rFonts w:ascii="Arial" w:hAnsi="Arial" w:cs="Arial"/>
          <w:sz w:val="24"/>
          <w:szCs w:val="24"/>
        </w:rPr>
        <w:t>olución N° 157/18, adoptada en S</w:t>
      </w:r>
      <w:r>
        <w:rPr>
          <w:rFonts w:ascii="Arial" w:hAnsi="Arial" w:cs="Arial"/>
          <w:sz w:val="24"/>
          <w:szCs w:val="24"/>
        </w:rPr>
        <w:t xml:space="preserve">esión de fecha </w:t>
      </w:r>
      <w:r w:rsidR="00F15A8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/0</w:t>
      </w:r>
      <w:r w:rsidR="00F15A8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/018, observó el gasto en </w:t>
      </w:r>
      <w:r w:rsidR="00714DD4">
        <w:rPr>
          <w:rFonts w:ascii="Arial" w:hAnsi="Arial" w:cs="Arial"/>
          <w:sz w:val="24"/>
          <w:szCs w:val="24"/>
        </w:rPr>
        <w:t>razón de que se</w:t>
      </w:r>
      <w:r>
        <w:rPr>
          <w:rFonts w:ascii="Arial" w:hAnsi="Arial" w:cs="Arial"/>
          <w:sz w:val="24"/>
          <w:szCs w:val="24"/>
        </w:rPr>
        <w:t xml:space="preserve"> contravino </w:t>
      </w:r>
      <w:r w:rsidR="00690100">
        <w:rPr>
          <w:rFonts w:ascii="Arial" w:hAnsi="Arial" w:cs="Arial"/>
          <w:sz w:val="24"/>
          <w:szCs w:val="24"/>
        </w:rPr>
        <w:t>el A</w:t>
      </w:r>
      <w:r>
        <w:rPr>
          <w:rFonts w:ascii="Arial" w:hAnsi="Arial" w:cs="Arial"/>
          <w:sz w:val="24"/>
          <w:szCs w:val="24"/>
        </w:rPr>
        <w:t>rt</w:t>
      </w:r>
      <w:r w:rsidR="00690100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13 </w:t>
      </w:r>
      <w:r w:rsidR="0069010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690100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D) de la Ordenanza N° 27 de fecha 22/05/958</w:t>
      </w:r>
      <w:r w:rsidR="009C145B">
        <w:rPr>
          <w:rFonts w:ascii="Arial" w:hAnsi="Arial" w:cs="Arial"/>
          <w:sz w:val="24"/>
          <w:szCs w:val="24"/>
        </w:rPr>
        <w:t xml:space="preserve"> y el </w:t>
      </w:r>
      <w:r w:rsidR="00690100">
        <w:rPr>
          <w:rFonts w:ascii="Arial" w:hAnsi="Arial" w:cs="Arial"/>
          <w:sz w:val="24"/>
          <w:szCs w:val="24"/>
        </w:rPr>
        <w:t>A</w:t>
      </w:r>
      <w:r w:rsidR="009C145B">
        <w:rPr>
          <w:rFonts w:ascii="Arial" w:hAnsi="Arial" w:cs="Arial"/>
          <w:sz w:val="24"/>
          <w:szCs w:val="24"/>
        </w:rPr>
        <w:t>rt</w:t>
      </w:r>
      <w:r w:rsidR="00690100">
        <w:rPr>
          <w:rFonts w:ascii="Arial" w:hAnsi="Arial" w:cs="Arial"/>
          <w:sz w:val="24"/>
          <w:szCs w:val="24"/>
        </w:rPr>
        <w:t>ículo</w:t>
      </w:r>
      <w:r w:rsidR="009C145B">
        <w:rPr>
          <w:rFonts w:ascii="Arial" w:hAnsi="Arial" w:cs="Arial"/>
          <w:sz w:val="24"/>
          <w:szCs w:val="24"/>
        </w:rPr>
        <w:t xml:space="preserve">. 211 </w:t>
      </w:r>
      <w:r w:rsidR="00690100">
        <w:rPr>
          <w:rFonts w:ascii="Arial" w:hAnsi="Arial" w:cs="Arial"/>
          <w:sz w:val="24"/>
          <w:szCs w:val="24"/>
        </w:rPr>
        <w:t>L</w:t>
      </w:r>
      <w:r w:rsidR="009C145B">
        <w:rPr>
          <w:rFonts w:ascii="Arial" w:hAnsi="Arial" w:cs="Arial"/>
          <w:sz w:val="24"/>
          <w:szCs w:val="24"/>
        </w:rPr>
        <w:t>it</w:t>
      </w:r>
      <w:r w:rsidR="00690100">
        <w:rPr>
          <w:rFonts w:ascii="Arial" w:hAnsi="Arial" w:cs="Arial"/>
          <w:sz w:val="24"/>
          <w:szCs w:val="24"/>
        </w:rPr>
        <w:t>eral</w:t>
      </w:r>
      <w:r w:rsidR="009C145B">
        <w:rPr>
          <w:rFonts w:ascii="Arial" w:hAnsi="Arial" w:cs="Arial"/>
          <w:sz w:val="24"/>
          <w:szCs w:val="24"/>
        </w:rPr>
        <w:t xml:space="preserve"> B</w:t>
      </w:r>
      <w:r w:rsidR="00690100">
        <w:rPr>
          <w:rFonts w:ascii="Arial" w:hAnsi="Arial" w:cs="Arial"/>
          <w:sz w:val="24"/>
          <w:szCs w:val="24"/>
        </w:rPr>
        <w:t>)</w:t>
      </w:r>
      <w:r w:rsidR="009C145B">
        <w:rPr>
          <w:rFonts w:ascii="Arial" w:hAnsi="Arial" w:cs="Arial"/>
          <w:sz w:val="24"/>
          <w:szCs w:val="24"/>
        </w:rPr>
        <w:t xml:space="preserve"> de la Constitución de la República</w:t>
      </w:r>
      <w:r w:rsidR="00690100">
        <w:rPr>
          <w:rFonts w:ascii="Arial" w:hAnsi="Arial" w:cs="Arial"/>
          <w:sz w:val="24"/>
          <w:szCs w:val="24"/>
        </w:rPr>
        <w:t>;</w:t>
      </w:r>
    </w:p>
    <w:p w:rsidR="00690100" w:rsidRDefault="00761F78" w:rsidP="0069010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013F86">
        <w:rPr>
          <w:rFonts w:ascii="Arial" w:hAnsi="Arial" w:cs="Arial"/>
          <w:b/>
          <w:bCs/>
          <w:sz w:val="24"/>
          <w:szCs w:val="24"/>
        </w:rPr>
        <w:t>)</w:t>
      </w:r>
      <w:r w:rsidR="00013F86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mediante Resolución 18/00960, de fecha 9/02/018, el Ejecutivo Departamental reiter</w:t>
      </w:r>
      <w:r w:rsidR="00690100">
        <w:rPr>
          <w:rFonts w:ascii="Arial" w:hAnsi="Arial" w:cs="Arial"/>
          <w:sz w:val="24"/>
          <w:szCs w:val="24"/>
        </w:rPr>
        <w:t>ó el gasto por el monto de U$S</w:t>
      </w:r>
      <w:r>
        <w:rPr>
          <w:rFonts w:ascii="Arial" w:hAnsi="Arial" w:cs="Arial"/>
          <w:sz w:val="24"/>
          <w:szCs w:val="24"/>
        </w:rPr>
        <w:t xml:space="preserve">353.040, sin motivar </w:t>
      </w:r>
      <w:r w:rsidR="00690100">
        <w:rPr>
          <w:rFonts w:ascii="Arial" w:hAnsi="Arial" w:cs="Arial"/>
          <w:sz w:val="24"/>
          <w:szCs w:val="24"/>
        </w:rPr>
        <w:t>el acto administrativo dictado;</w:t>
      </w:r>
    </w:p>
    <w:p w:rsidR="00690100" w:rsidRDefault="00013F86" w:rsidP="0069010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CONSIDERANDO: </w:t>
      </w:r>
      <w:r w:rsidR="00D45FFB" w:rsidRPr="00D45FF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1) </w:t>
      </w:r>
      <w:r w:rsidR="00D45FFB" w:rsidRPr="00D45FFB">
        <w:rPr>
          <w:rFonts w:ascii="Arial" w:eastAsia="Times New Roman" w:hAnsi="Arial" w:cs="Arial"/>
          <w:sz w:val="24"/>
          <w:szCs w:val="24"/>
          <w:lang w:eastAsia="es-ES"/>
        </w:rPr>
        <w:t xml:space="preserve">que el </w:t>
      </w:r>
      <w:r w:rsidR="00690100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D45FFB" w:rsidRPr="00D45FFB">
        <w:rPr>
          <w:rFonts w:ascii="Arial" w:eastAsia="Times New Roman" w:hAnsi="Arial" w:cs="Arial"/>
          <w:sz w:val="24"/>
          <w:szCs w:val="24"/>
          <w:lang w:eastAsia="es-ES"/>
        </w:rPr>
        <w:t>rt</w:t>
      </w:r>
      <w:r w:rsidR="00690100">
        <w:rPr>
          <w:rFonts w:ascii="Arial" w:eastAsia="Times New Roman" w:hAnsi="Arial" w:cs="Arial"/>
          <w:sz w:val="24"/>
          <w:szCs w:val="24"/>
          <w:lang w:eastAsia="es-ES"/>
        </w:rPr>
        <w:t>ículo</w:t>
      </w:r>
      <w:r w:rsidR="00D45FFB" w:rsidRPr="00D45FFB">
        <w:rPr>
          <w:rFonts w:ascii="Arial" w:eastAsia="Times New Roman" w:hAnsi="Arial" w:cs="Arial"/>
          <w:sz w:val="24"/>
          <w:szCs w:val="24"/>
          <w:lang w:eastAsia="es-ES"/>
        </w:rPr>
        <w:t xml:space="preserve"> 475 de la Ley 17.296 establece que los Ordenadores de gastos y pagos, al ejercer la facultad de insistencia o reiteración que les acuerda el </w:t>
      </w:r>
      <w:r w:rsidR="00690100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714DD4">
        <w:rPr>
          <w:rFonts w:ascii="Arial" w:eastAsia="Times New Roman" w:hAnsi="Arial" w:cs="Arial"/>
          <w:sz w:val="24"/>
          <w:szCs w:val="24"/>
          <w:lang w:eastAsia="es-ES"/>
        </w:rPr>
        <w:t>it</w:t>
      </w:r>
      <w:r w:rsidR="00690100">
        <w:rPr>
          <w:rFonts w:ascii="Arial" w:eastAsia="Times New Roman" w:hAnsi="Arial" w:cs="Arial"/>
          <w:sz w:val="24"/>
          <w:szCs w:val="24"/>
          <w:lang w:eastAsia="es-ES"/>
        </w:rPr>
        <w:t>eral</w:t>
      </w:r>
      <w:r w:rsidR="00714DD4">
        <w:rPr>
          <w:rFonts w:ascii="Arial" w:eastAsia="Times New Roman" w:hAnsi="Arial" w:cs="Arial"/>
          <w:sz w:val="24"/>
          <w:szCs w:val="24"/>
          <w:lang w:eastAsia="es-ES"/>
        </w:rPr>
        <w:t xml:space="preserve"> B) del </w:t>
      </w:r>
      <w:r w:rsidR="00690100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D45FFB" w:rsidRPr="00D45FFB">
        <w:rPr>
          <w:rFonts w:ascii="Arial" w:eastAsia="Times New Roman" w:hAnsi="Arial" w:cs="Arial"/>
          <w:sz w:val="24"/>
          <w:szCs w:val="24"/>
          <w:lang w:eastAsia="es-ES"/>
        </w:rPr>
        <w:t>rt</w:t>
      </w:r>
      <w:r w:rsidR="00690100">
        <w:rPr>
          <w:rFonts w:ascii="Arial" w:eastAsia="Times New Roman" w:hAnsi="Arial" w:cs="Arial"/>
          <w:sz w:val="24"/>
          <w:szCs w:val="24"/>
          <w:lang w:eastAsia="es-ES"/>
        </w:rPr>
        <w:t>ículo</w:t>
      </w:r>
      <w:r w:rsidR="00D45FFB" w:rsidRPr="00D45FFB">
        <w:rPr>
          <w:rFonts w:ascii="Arial" w:eastAsia="Times New Roman" w:hAnsi="Arial" w:cs="Arial"/>
          <w:sz w:val="24"/>
          <w:szCs w:val="24"/>
          <w:lang w:eastAsia="es-ES"/>
        </w:rPr>
        <w:t xml:space="preserve"> 211 de la Constitución de la República, deben hacerlo en forma fundada, expresando de manera detallada los motivos que justifican a su juicio se</w:t>
      </w:r>
      <w:r w:rsidR="00690100">
        <w:rPr>
          <w:rFonts w:ascii="Arial" w:eastAsia="Times New Roman" w:hAnsi="Arial" w:cs="Arial"/>
          <w:sz w:val="24"/>
          <w:szCs w:val="24"/>
          <w:lang w:eastAsia="es-ES"/>
        </w:rPr>
        <w:t>guir el curso del gasto o pago;</w:t>
      </w:r>
    </w:p>
    <w:p w:rsidR="00D45FFB" w:rsidRPr="00D45FFB" w:rsidRDefault="00920B35" w:rsidP="00920B35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D45FFB" w:rsidRPr="00D45FFB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D45FFB" w:rsidRPr="00D45FFB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F15A8F">
        <w:rPr>
          <w:rFonts w:ascii="Arial" w:eastAsia="Times New Roman" w:hAnsi="Arial" w:cs="Arial"/>
          <w:sz w:val="24"/>
          <w:szCs w:val="24"/>
          <w:lang w:eastAsia="es-ES"/>
        </w:rPr>
        <w:t>se mantienen incambiadas la circunstan</w:t>
      </w:r>
      <w:r w:rsidR="00690100">
        <w:rPr>
          <w:rFonts w:ascii="Arial" w:eastAsia="Times New Roman" w:hAnsi="Arial" w:cs="Arial"/>
          <w:sz w:val="24"/>
          <w:szCs w:val="24"/>
          <w:lang w:eastAsia="es-ES"/>
        </w:rPr>
        <w:softHyphen/>
      </w:r>
      <w:r w:rsidR="00F15A8F">
        <w:rPr>
          <w:rFonts w:ascii="Arial" w:eastAsia="Times New Roman" w:hAnsi="Arial" w:cs="Arial"/>
          <w:sz w:val="24"/>
          <w:szCs w:val="24"/>
          <w:lang w:eastAsia="es-ES"/>
        </w:rPr>
        <w:t xml:space="preserve">cias </w:t>
      </w:r>
      <w:r w:rsidR="00D45FFB" w:rsidRPr="00D45FFB">
        <w:rPr>
          <w:rFonts w:ascii="Arial" w:eastAsia="Times New Roman" w:hAnsi="Arial" w:cs="Arial"/>
          <w:sz w:val="24"/>
          <w:szCs w:val="24"/>
          <w:lang w:eastAsia="es-ES"/>
        </w:rPr>
        <w:t>de orden legal que ameritaron la observación del gasto por parte de este Tribunal (Resultando 2);</w:t>
      </w:r>
    </w:p>
    <w:p w:rsidR="00D45FFB" w:rsidRPr="00D45FFB" w:rsidRDefault="00D45FFB" w:rsidP="00DF1A34">
      <w:pPr>
        <w:tabs>
          <w:tab w:val="left" w:pos="2127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45FF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ATENTO:</w:t>
      </w:r>
      <w:r w:rsidRPr="00D45FF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D45FFB">
        <w:rPr>
          <w:rFonts w:ascii="Arial" w:eastAsia="Times New Roman" w:hAnsi="Arial" w:cs="Arial"/>
          <w:sz w:val="24"/>
          <w:szCs w:val="24"/>
          <w:lang w:eastAsia="es-ES"/>
        </w:rPr>
        <w:t>a lo precedentemente expuesto;</w:t>
      </w:r>
    </w:p>
    <w:p w:rsidR="00D45FFB" w:rsidRPr="00D45FFB" w:rsidRDefault="00D45FFB" w:rsidP="00DF1A34">
      <w:pPr>
        <w:tabs>
          <w:tab w:val="left" w:pos="2127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</w:pPr>
      <w:r w:rsidRPr="00D45FFB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EL TRIBUNAL ACUERDA</w:t>
      </w:r>
    </w:p>
    <w:p w:rsidR="00D45FFB" w:rsidRPr="00D45FFB" w:rsidRDefault="00D45FFB" w:rsidP="00DF1A34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45FFB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D45FFB">
        <w:rPr>
          <w:rFonts w:ascii="Arial" w:eastAsia="Times New Roman" w:hAnsi="Arial" w:cs="Arial"/>
          <w:sz w:val="24"/>
          <w:szCs w:val="24"/>
          <w:lang w:eastAsia="es-ES"/>
        </w:rPr>
        <w:tab/>
        <w:t xml:space="preserve">Mantener la observación del gasto formulada con fecha </w:t>
      </w:r>
      <w:r w:rsidR="00F15A8F">
        <w:rPr>
          <w:rFonts w:ascii="Arial" w:eastAsia="Times New Roman" w:hAnsi="Arial" w:cs="Arial"/>
          <w:sz w:val="24"/>
          <w:szCs w:val="24"/>
          <w:lang w:eastAsia="es-ES"/>
        </w:rPr>
        <w:t>10</w:t>
      </w:r>
      <w:r w:rsidRPr="00D45FFB">
        <w:rPr>
          <w:rFonts w:ascii="Arial" w:eastAsia="Times New Roman" w:hAnsi="Arial" w:cs="Arial"/>
          <w:sz w:val="24"/>
          <w:szCs w:val="24"/>
          <w:lang w:eastAsia="es-ES"/>
        </w:rPr>
        <w:t>/0</w:t>
      </w:r>
      <w:r w:rsidR="00F15A8F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Pr="00D45FFB">
        <w:rPr>
          <w:rFonts w:ascii="Arial" w:eastAsia="Times New Roman" w:hAnsi="Arial" w:cs="Arial"/>
          <w:sz w:val="24"/>
          <w:szCs w:val="24"/>
          <w:lang w:eastAsia="es-ES"/>
        </w:rPr>
        <w:t>/01</w:t>
      </w:r>
      <w:r w:rsidR="00F15A8F">
        <w:rPr>
          <w:rFonts w:ascii="Arial" w:eastAsia="Times New Roman" w:hAnsi="Arial" w:cs="Arial"/>
          <w:sz w:val="24"/>
          <w:szCs w:val="24"/>
          <w:lang w:eastAsia="es-ES"/>
        </w:rPr>
        <w:t>8</w:t>
      </w:r>
      <w:r w:rsidRPr="00D45FFB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D45FFB" w:rsidRPr="00D45FFB" w:rsidRDefault="00D45FFB" w:rsidP="00DF1A34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45FFB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Pr="00D45FFB">
        <w:rPr>
          <w:rFonts w:ascii="Arial" w:eastAsia="Times New Roman" w:hAnsi="Arial" w:cs="Arial"/>
          <w:sz w:val="24"/>
          <w:szCs w:val="24"/>
          <w:lang w:eastAsia="es-ES"/>
        </w:rPr>
        <w:tab/>
        <w:t>Dar cuenta a la Junt</w:t>
      </w:r>
      <w:r w:rsidR="00920B35">
        <w:rPr>
          <w:rFonts w:ascii="Arial" w:eastAsia="Times New Roman" w:hAnsi="Arial" w:cs="Arial"/>
          <w:sz w:val="24"/>
          <w:szCs w:val="24"/>
          <w:lang w:eastAsia="es-ES"/>
        </w:rPr>
        <w:t>a Departamental de Canelones; y</w:t>
      </w:r>
    </w:p>
    <w:p w:rsidR="00D45FFB" w:rsidRDefault="00D45FFB" w:rsidP="00DF1A34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45FFB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 w:rsidRPr="00D45FFB">
        <w:rPr>
          <w:rFonts w:ascii="Arial" w:eastAsia="Times New Roman" w:hAnsi="Arial" w:cs="Arial"/>
          <w:sz w:val="24"/>
          <w:szCs w:val="24"/>
          <w:lang w:eastAsia="es-ES"/>
        </w:rPr>
        <w:tab/>
        <w:t>Comunica</w:t>
      </w:r>
      <w:r w:rsidR="00A12816">
        <w:rPr>
          <w:rFonts w:ascii="Arial" w:eastAsia="Times New Roman" w:hAnsi="Arial" w:cs="Arial"/>
          <w:sz w:val="24"/>
          <w:szCs w:val="24"/>
          <w:lang w:eastAsia="es-ES"/>
        </w:rPr>
        <w:t>r a la Intendencia</w:t>
      </w:r>
      <w:r w:rsidRPr="00D45FFB">
        <w:rPr>
          <w:rFonts w:ascii="Arial" w:eastAsia="Times New Roman" w:hAnsi="Arial" w:cs="Arial"/>
          <w:sz w:val="24"/>
          <w:szCs w:val="24"/>
          <w:lang w:eastAsia="es-ES"/>
        </w:rPr>
        <w:t xml:space="preserve"> de Canelones.</w:t>
      </w:r>
    </w:p>
    <w:p w:rsidR="00DF1A34" w:rsidRDefault="00DF1A34" w:rsidP="00DF1A34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F1A34" w:rsidRDefault="00DF1A34" w:rsidP="00DF1A34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F1A34" w:rsidRPr="00D45FFB" w:rsidRDefault="00DF1A34" w:rsidP="00DF1A34">
      <w:pPr>
        <w:tabs>
          <w:tab w:val="left" w:pos="284"/>
        </w:tabs>
        <w:spacing w:after="0" w:line="360" w:lineRule="auto"/>
        <w:ind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dc</w:t>
      </w:r>
      <w:proofErr w:type="gramEnd"/>
    </w:p>
    <w:sectPr w:rsidR="00DF1A34" w:rsidRPr="00D45FFB" w:rsidSect="00A12816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86" w:rsidRDefault="00013F86">
      <w:pPr>
        <w:spacing w:after="0" w:line="240" w:lineRule="auto"/>
      </w:pPr>
      <w:r>
        <w:separator/>
      </w:r>
    </w:p>
  </w:endnote>
  <w:endnote w:type="continuationSeparator" w:id="0">
    <w:p w:rsidR="00013F86" w:rsidRDefault="0001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86" w:rsidRDefault="00761F7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C158EC">
      <w:rPr>
        <w:noProof/>
      </w:rPr>
      <w:t>1</w:t>
    </w:r>
    <w:r>
      <w:rPr>
        <w:noProof/>
      </w:rPr>
      <w:fldChar w:fldCharType="end"/>
    </w:r>
  </w:p>
  <w:p w:rsidR="00013F86" w:rsidRDefault="00013F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86" w:rsidRDefault="00013F86">
      <w:pPr>
        <w:spacing w:after="0" w:line="240" w:lineRule="auto"/>
      </w:pPr>
      <w:r>
        <w:separator/>
      </w:r>
    </w:p>
  </w:footnote>
  <w:footnote w:type="continuationSeparator" w:id="0">
    <w:p w:rsidR="00013F86" w:rsidRDefault="00013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387"/>
    <w:multiLevelType w:val="hybridMultilevel"/>
    <w:tmpl w:val="4C34E084"/>
    <w:lvl w:ilvl="0" w:tplc="A3E02FC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u w:val="none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86"/>
    <w:rsid w:val="00013F86"/>
    <w:rsid w:val="00341374"/>
    <w:rsid w:val="00690100"/>
    <w:rsid w:val="00714DD4"/>
    <w:rsid w:val="00761F78"/>
    <w:rsid w:val="008C58A8"/>
    <w:rsid w:val="00920B35"/>
    <w:rsid w:val="009C145B"/>
    <w:rsid w:val="00A12816"/>
    <w:rsid w:val="00B43437"/>
    <w:rsid w:val="00B50849"/>
    <w:rsid w:val="00C158EC"/>
    <w:rsid w:val="00CE3BD6"/>
    <w:rsid w:val="00D45FFB"/>
    <w:rsid w:val="00DF1A34"/>
    <w:rsid w:val="00F1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hAnsi="Calibri" w:cs="Calibri"/>
      <w:lang w:eastAsia="en-U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hAnsi="Calibri" w:cs="Calibri"/>
      <w:lang w:eastAsia="en-U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2016-17-1-0002532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2016-17-1-0002532</dc:title>
  <dc:creator>Tribunal1</dc:creator>
  <cp:lastModifiedBy>Tribunal1</cp:lastModifiedBy>
  <cp:revision>5</cp:revision>
  <cp:lastPrinted>2018-09-27T17:17:00Z</cp:lastPrinted>
  <dcterms:created xsi:type="dcterms:W3CDTF">2018-09-27T14:25:00Z</dcterms:created>
  <dcterms:modified xsi:type="dcterms:W3CDTF">2018-11-06T16:25:00Z</dcterms:modified>
</cp:coreProperties>
</file>