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5D" w:rsidRPr="00786EEB" w:rsidRDefault="005D6F5D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2939/18</w:t>
      </w:r>
    </w:p>
    <w:p w:rsidR="005D6F5D" w:rsidRDefault="005D6F5D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D6F5D" w:rsidRDefault="005D6F5D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D6F5D" w:rsidRPr="00762B34" w:rsidRDefault="005D6F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5D6F5D" w:rsidRPr="00762B34" w:rsidRDefault="005D6F5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D6F5D" w:rsidRPr="00762B34" w:rsidRDefault="005D6F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5D6F5D" w:rsidRPr="00762B34" w:rsidRDefault="005D6F5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D6F5D" w:rsidRPr="00762B34" w:rsidRDefault="005D6F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SETIEMBRE </w:t>
      </w:r>
      <w:r>
        <w:rPr>
          <w:rFonts w:ascii="Helvetica" w:hAnsi="Helvetica"/>
          <w:b/>
          <w:lang w:val="es-ES_tradnl"/>
        </w:rPr>
        <w:t>DE 2018</w:t>
      </w:r>
    </w:p>
    <w:p w:rsidR="005D6F5D" w:rsidRPr="00762B34" w:rsidRDefault="005D6F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D6F5D" w:rsidRPr="00762B34" w:rsidRDefault="005D6F5D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2018-17-1-0005667</w:t>
      </w:r>
      <w:r w:rsidRPr="00762B34">
        <w:rPr>
          <w:rFonts w:cs="Arial"/>
          <w:b/>
          <w:lang w:val="en-US"/>
        </w:rPr>
        <w:t xml:space="preserve">, Ent. N° </w:t>
      </w:r>
      <w:r>
        <w:rPr>
          <w:rFonts w:cs="Arial"/>
          <w:b/>
          <w:lang w:val="en-US"/>
        </w:rPr>
        <w:t>4354/18</w:t>
      </w:r>
      <w:r w:rsidRPr="00762B34">
        <w:rPr>
          <w:rFonts w:cs="Arial"/>
          <w:b/>
          <w:lang w:val="en-US"/>
        </w:rPr>
        <w:t>)</w:t>
      </w:r>
    </w:p>
    <w:p w:rsidR="005D6F5D" w:rsidRDefault="005D6F5D" w:rsidP="001D3482">
      <w:pPr>
        <w:tabs>
          <w:tab w:val="left" w:pos="-720"/>
        </w:tabs>
        <w:suppressAutoHyphens/>
        <w:spacing w:line="360" w:lineRule="auto"/>
        <w:jc w:val="both"/>
        <w:rPr>
          <w:b/>
          <w:spacing w:val="-3"/>
          <w:lang w:val="es-ES_tradnl"/>
        </w:rPr>
      </w:pPr>
    </w:p>
    <w:p w:rsidR="005D6F5D" w:rsidRDefault="005D6F5D" w:rsidP="001D3482">
      <w:pPr>
        <w:tabs>
          <w:tab w:val="left" w:pos="-720"/>
        </w:tabs>
        <w:suppressAutoHyphens/>
        <w:spacing w:line="360" w:lineRule="auto"/>
        <w:jc w:val="both"/>
        <w:rPr>
          <w:b/>
          <w:spacing w:val="-3"/>
          <w:lang w:val="es-ES_tradnl"/>
        </w:rPr>
      </w:pPr>
    </w:p>
    <w:p w:rsidR="001D3482" w:rsidRDefault="0070036C" w:rsidP="001D3482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spacing w:val="-3"/>
          <w:lang w:val="es-ES_tradnl"/>
        </w:rPr>
        <w:tab/>
      </w:r>
      <w:r w:rsidR="001D3482">
        <w:rPr>
          <w:b/>
          <w:spacing w:val="-3"/>
          <w:lang w:val="es-ES_tradnl"/>
        </w:rPr>
        <w:t>VISTO:</w:t>
      </w:r>
      <w:r w:rsidR="001D3482">
        <w:rPr>
          <w:spacing w:val="-3"/>
          <w:lang w:val="es-ES_tradnl"/>
        </w:rPr>
        <w:t xml:space="preserve"> estos antecedentes remitidos por la </w:t>
      </w:r>
      <w:r w:rsidR="001D3482">
        <w:t>Administración de las Usinas y Transmisiones Eléctricas (UTE)</w:t>
      </w:r>
      <w:r w:rsidR="001D3482">
        <w:rPr>
          <w:spacing w:val="-3"/>
          <w:lang w:val="es-ES_tradnl"/>
        </w:rPr>
        <w:t xml:space="preserve">, relacionados con el acuerdo transaccional </w:t>
      </w:r>
      <w:r w:rsidR="006A35A8">
        <w:rPr>
          <w:spacing w:val="-3"/>
          <w:lang w:val="es-ES_tradnl"/>
        </w:rPr>
        <w:t xml:space="preserve">a </w:t>
      </w:r>
      <w:r w:rsidR="001D3482">
        <w:t>celebra</w:t>
      </w:r>
      <w:r w:rsidR="006A35A8">
        <w:t>r</w:t>
      </w:r>
      <w:r w:rsidR="001D3482">
        <w:t xml:space="preserve"> con los Sres. Odali</w:t>
      </w:r>
      <w:r w:rsidR="006A35A8">
        <w:t>s</w:t>
      </w:r>
      <w:r w:rsidR="001D3482">
        <w:t xml:space="preserve"> Silva y Ruben Plada;</w:t>
      </w:r>
    </w:p>
    <w:p w:rsidR="00B252DC" w:rsidRDefault="0070036C" w:rsidP="001D3482">
      <w:pPr>
        <w:tabs>
          <w:tab w:val="left" w:pos="-720"/>
        </w:tabs>
        <w:suppressAutoHyphens/>
        <w:spacing w:line="360" w:lineRule="auto"/>
        <w:jc w:val="both"/>
      </w:pPr>
      <w:r>
        <w:rPr>
          <w:b/>
        </w:rPr>
        <w:tab/>
      </w:r>
      <w:r w:rsidR="001D3482">
        <w:rPr>
          <w:b/>
        </w:rPr>
        <w:t>RESULTANDO: 1)</w:t>
      </w:r>
      <w:r w:rsidR="001D3482">
        <w:t xml:space="preserve"> que los Sres. Odali</w:t>
      </w:r>
      <w:r w:rsidR="006A35A8">
        <w:t>s</w:t>
      </w:r>
      <w:r w:rsidR="001D3482">
        <w:t xml:space="preserve"> Silva y Ruben Plada demand</w:t>
      </w:r>
      <w:r w:rsidR="006A35A8">
        <w:t>aron</w:t>
      </w:r>
      <w:r w:rsidR="001D3482">
        <w:t xml:space="preserve"> a UTE</w:t>
      </w:r>
      <w:r w:rsidR="006A35A8">
        <w:t>,</w:t>
      </w:r>
      <w:r w:rsidR="001D3482">
        <w:t xml:space="preserve"> solicitando la indemnización de los daños y perjuicios derivados del t</w:t>
      </w:r>
      <w:r w:rsidR="006A35A8">
        <w:t>r</w:t>
      </w:r>
      <w:r w:rsidR="001D3482">
        <w:t>azado de la línea de 150</w:t>
      </w:r>
      <w:r w:rsidR="006A35A8">
        <w:t xml:space="preserve"> K</w:t>
      </w:r>
      <w:r w:rsidR="001D3482">
        <w:t>v (Parque Eólico R del Sur-</w:t>
      </w:r>
      <w:r w:rsidR="006A35A8">
        <w:t xml:space="preserve"> Estación</w:t>
      </w:r>
      <w:r w:rsidR="001D3482">
        <w:t xml:space="preserve"> de San Carlos) y de 500</w:t>
      </w:r>
      <w:r w:rsidR="00B274DF">
        <w:t xml:space="preserve"> Kv</w:t>
      </w:r>
      <w:r w:rsidR="001D3482">
        <w:t xml:space="preserve"> de la </w:t>
      </w:r>
      <w:r w:rsidR="006A35A8">
        <w:t>interconexión</w:t>
      </w:r>
      <w:r w:rsidR="001D3482">
        <w:t xml:space="preserve"> con </w:t>
      </w:r>
      <w:r w:rsidR="006A35A8">
        <w:t>B</w:t>
      </w:r>
      <w:r w:rsidR="001D3482">
        <w:t>rasil (</w:t>
      </w:r>
      <w:r w:rsidR="006A35A8">
        <w:t>S</w:t>
      </w:r>
      <w:r w:rsidR="001D3482">
        <w:t>an Carlos- Acegu</w:t>
      </w:r>
      <w:r w:rsidR="006A35A8">
        <w:t>á</w:t>
      </w:r>
      <w:r w:rsidR="001D3482">
        <w:t xml:space="preserve">), </w:t>
      </w:r>
      <w:r w:rsidR="00B274DF">
        <w:t xml:space="preserve">incluyendo las </w:t>
      </w:r>
      <w:r w:rsidR="001D3482">
        <w:t xml:space="preserve">instalaciones de torres, gravamen de </w:t>
      </w:r>
      <w:r w:rsidR="006A35A8">
        <w:t>servidumbre</w:t>
      </w:r>
      <w:r w:rsidR="001D3482">
        <w:t xml:space="preserve">, </w:t>
      </w:r>
      <w:r w:rsidR="006A35A8">
        <w:t>disminución</w:t>
      </w:r>
      <w:r w:rsidR="001D3482">
        <w:t xml:space="preserve"> del </w:t>
      </w:r>
      <w:r w:rsidR="006A35A8">
        <w:t>derecho</w:t>
      </w:r>
      <w:r w:rsidR="001D3482">
        <w:t xml:space="preserve"> de uso y goce </w:t>
      </w:r>
      <w:r w:rsidR="006A35A8">
        <w:t>y del</w:t>
      </w:r>
      <w:r w:rsidR="001D3482">
        <w:t xml:space="preserve"> precio del </w:t>
      </w:r>
      <w:r w:rsidR="006A35A8">
        <w:t>arrendamiento</w:t>
      </w:r>
      <w:r w:rsidR="001D3482">
        <w:t xml:space="preserve">, </w:t>
      </w:r>
      <w:r w:rsidR="006A35A8">
        <w:t>así</w:t>
      </w:r>
      <w:r w:rsidR="001D3482">
        <w:t xml:space="preserve"> como</w:t>
      </w:r>
      <w:r w:rsidR="00B252DC">
        <w:t xml:space="preserve"> el valor de los bien</w:t>
      </w:r>
      <w:r w:rsidR="006A35A8">
        <w:t>es</w:t>
      </w:r>
      <w:r w:rsidR="00B252DC">
        <w:t xml:space="preserve"> inmuebles</w:t>
      </w:r>
      <w:r w:rsidR="006A35A8">
        <w:t>,</w:t>
      </w:r>
      <w:r w:rsidR="00B252DC">
        <w:t xml:space="preserve"> por el monto de U$S 350.000;</w:t>
      </w:r>
    </w:p>
    <w:p w:rsidR="0070036C" w:rsidRDefault="0070036C" w:rsidP="0070036C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 xml:space="preserve"> </w:t>
      </w:r>
      <w:r w:rsidR="00B252DC" w:rsidRPr="006A35A8">
        <w:rPr>
          <w:b/>
        </w:rPr>
        <w:t>2)</w:t>
      </w:r>
      <w:r w:rsidR="00B252DC">
        <w:t xml:space="preserve"> que tanto UTE como la citada en garantía  R del Sur S.A., </w:t>
      </w:r>
      <w:r w:rsidR="006A35A8">
        <w:t>contestaron</w:t>
      </w:r>
      <w:r w:rsidR="00B252DC">
        <w:t xml:space="preserve"> en ti</w:t>
      </w:r>
      <w:r w:rsidR="006A35A8">
        <w:t>e</w:t>
      </w:r>
      <w:r w:rsidR="00B252DC">
        <w:t>mp</w:t>
      </w:r>
      <w:r w:rsidR="006A35A8">
        <w:t>o</w:t>
      </w:r>
      <w:r w:rsidR="00B252DC">
        <w:t xml:space="preserve"> y forma la demanda</w:t>
      </w:r>
      <w:r w:rsidR="006A35A8">
        <w:t xml:space="preserve"> instaurada</w:t>
      </w:r>
      <w:r w:rsidR="00B252DC">
        <w:t xml:space="preserve">, habiéndose celebrado la audiencia </w:t>
      </w:r>
      <w:r w:rsidR="006A35A8">
        <w:t>preliminar</w:t>
      </w:r>
      <w:r w:rsidR="00B252DC">
        <w:t xml:space="preserve"> y </w:t>
      </w:r>
      <w:r w:rsidR="006A35A8">
        <w:t>complementaria</w:t>
      </w:r>
      <w:r w:rsidR="00B252DC">
        <w:t xml:space="preserve"> en dicho proceso caratulado</w:t>
      </w:r>
      <w:r w:rsidR="00B274DF">
        <w:t>:</w:t>
      </w:r>
      <w:r w:rsidR="00B252DC">
        <w:t xml:space="preserve"> “</w:t>
      </w:r>
      <w:r w:rsidR="00B252DC" w:rsidRPr="006A35A8">
        <w:rPr>
          <w:i/>
        </w:rPr>
        <w:t>Dutr</w:t>
      </w:r>
      <w:r w:rsidR="006A35A8" w:rsidRPr="006A35A8">
        <w:rPr>
          <w:i/>
        </w:rPr>
        <w:t>a</w:t>
      </w:r>
      <w:r w:rsidR="00B252DC" w:rsidRPr="006A35A8">
        <w:rPr>
          <w:i/>
        </w:rPr>
        <w:t>, Odalis y otro c/</w:t>
      </w:r>
      <w:r w:rsidR="00B274DF">
        <w:rPr>
          <w:i/>
        </w:rPr>
        <w:t xml:space="preserve"> </w:t>
      </w:r>
      <w:r w:rsidR="00B252DC" w:rsidRPr="006A35A8">
        <w:rPr>
          <w:i/>
        </w:rPr>
        <w:t>UTE. Demanda por daños y perjuicios</w:t>
      </w:r>
      <w:r w:rsidR="00B252DC">
        <w:t xml:space="preserve">” IUE 505-128/2017, tramitados ante el Juzgado Letrado de Primera Instancia de </w:t>
      </w:r>
      <w:r w:rsidR="002927A4">
        <w:t>Segundo</w:t>
      </w:r>
      <w:r w:rsidR="00B252DC">
        <w:t xml:space="preserve"> Turno de San Carlos;  </w:t>
      </w:r>
    </w:p>
    <w:p w:rsidR="0070036C" w:rsidRDefault="0070036C" w:rsidP="0070036C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B252DC" w:rsidRPr="006A35A8">
        <w:rPr>
          <w:b/>
        </w:rPr>
        <w:t>3)</w:t>
      </w:r>
      <w:r w:rsidR="00B252DC">
        <w:t xml:space="preserve"> que el monto del </w:t>
      </w:r>
      <w:r w:rsidR="002927A4">
        <w:t>perjuicio</w:t>
      </w:r>
      <w:r w:rsidR="00B252DC">
        <w:t xml:space="preserve"> sufrido por los actores por la línea  de</w:t>
      </w:r>
      <w:r w:rsidR="006A35A8">
        <w:t xml:space="preserve"> </w:t>
      </w:r>
      <w:r w:rsidR="00B252DC">
        <w:t xml:space="preserve">500 </w:t>
      </w:r>
      <w:r w:rsidR="006A35A8">
        <w:t>Kv</w:t>
      </w:r>
      <w:r w:rsidR="00B252DC">
        <w:t xml:space="preserve"> de la </w:t>
      </w:r>
      <w:r w:rsidR="002927A4">
        <w:t>Interconexión</w:t>
      </w:r>
      <w:r w:rsidR="00B252DC">
        <w:t xml:space="preserve"> con </w:t>
      </w:r>
      <w:r w:rsidR="002927A4">
        <w:t xml:space="preserve">Brasil </w:t>
      </w:r>
      <w:r w:rsidR="00B252DC">
        <w:t>(San Carlos-</w:t>
      </w:r>
      <w:r w:rsidR="002927A4">
        <w:t xml:space="preserve"> </w:t>
      </w:r>
      <w:r w:rsidR="00B252DC">
        <w:t>Acegu</w:t>
      </w:r>
      <w:r w:rsidR="002927A4">
        <w:t>á</w:t>
      </w:r>
      <w:r w:rsidR="00B252DC">
        <w:t xml:space="preserve">) fue tasado por el </w:t>
      </w:r>
      <w:r w:rsidR="002927A4">
        <w:t>Departamento</w:t>
      </w:r>
      <w:r w:rsidR="00B252DC">
        <w:t xml:space="preserve"> </w:t>
      </w:r>
      <w:r w:rsidR="00B274DF">
        <w:t xml:space="preserve">de </w:t>
      </w:r>
      <w:r w:rsidR="00B252DC">
        <w:t xml:space="preserve">Bienes </w:t>
      </w:r>
      <w:r w:rsidR="006A35A8">
        <w:t>R</w:t>
      </w:r>
      <w:r w:rsidR="00B252DC">
        <w:t xml:space="preserve">aíces </w:t>
      </w:r>
      <w:r w:rsidR="00B274DF">
        <w:t xml:space="preserve">de UTE </w:t>
      </w:r>
      <w:r w:rsidR="00B252DC">
        <w:t>en la suma de UI 468.670;</w:t>
      </w:r>
    </w:p>
    <w:p w:rsidR="0070036C" w:rsidRDefault="0070036C" w:rsidP="0070036C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lastRenderedPageBreak/>
        <w:t xml:space="preserve"> </w:t>
      </w:r>
      <w:r w:rsidR="00B252DC" w:rsidRPr="006A35A8">
        <w:rPr>
          <w:b/>
        </w:rPr>
        <w:t>4)</w:t>
      </w:r>
      <w:r w:rsidR="00B252DC">
        <w:t xml:space="preserve"> que luego de la audiencia </w:t>
      </w:r>
      <w:r w:rsidR="002927A4">
        <w:t>complementaria</w:t>
      </w:r>
      <w:r w:rsidR="00B252DC">
        <w:t xml:space="preserve"> celebra</w:t>
      </w:r>
      <w:r w:rsidR="006A35A8">
        <w:t>da</w:t>
      </w:r>
      <w:r w:rsidR="00B252DC">
        <w:t xml:space="preserve"> en el proceso referido, la parte actora</w:t>
      </w:r>
      <w:r w:rsidR="00165D8A">
        <w:t xml:space="preserve"> </w:t>
      </w:r>
      <w:r w:rsidR="002927A4">
        <w:t>manifest</w:t>
      </w:r>
      <w:r w:rsidR="006A35A8">
        <w:t>ó</w:t>
      </w:r>
      <w:r w:rsidR="00165D8A">
        <w:t xml:space="preserve"> su voluntad de aceptar la tasación realizada por el </w:t>
      </w:r>
      <w:r w:rsidR="00072BCE">
        <w:t>D</w:t>
      </w:r>
      <w:r w:rsidR="00165D8A">
        <w:t xml:space="preserve">epartamento Bienes </w:t>
      </w:r>
      <w:r w:rsidR="002927A4">
        <w:t>Raíces</w:t>
      </w:r>
      <w:r w:rsidR="00165D8A">
        <w:t xml:space="preserve"> </w:t>
      </w:r>
      <w:r w:rsidR="002927A4">
        <w:t>respecto</w:t>
      </w:r>
      <w:r w:rsidR="00165D8A">
        <w:t xml:space="preserve"> a la línea de 500 </w:t>
      </w:r>
      <w:r w:rsidR="00072BCE">
        <w:t>Kv</w:t>
      </w:r>
      <w:r w:rsidR="00165D8A">
        <w:t>;</w:t>
      </w:r>
    </w:p>
    <w:p w:rsidR="0070036C" w:rsidRDefault="0070036C" w:rsidP="0070036C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072BCE">
        <w:rPr>
          <w:b/>
        </w:rPr>
        <w:t>5</w:t>
      </w:r>
      <w:r w:rsidR="00165D8A" w:rsidRPr="00072BCE">
        <w:rPr>
          <w:b/>
        </w:rPr>
        <w:t>)</w:t>
      </w:r>
      <w:r w:rsidR="00165D8A">
        <w:t xml:space="preserve"> que con fecha 18/4/18</w:t>
      </w:r>
      <w:r w:rsidR="00072BCE">
        <w:t>,</w:t>
      </w:r>
      <w:r w:rsidR="00165D8A">
        <w:t xml:space="preserve"> la </w:t>
      </w:r>
      <w:r w:rsidR="002927A4">
        <w:t>Comisión</w:t>
      </w:r>
      <w:r w:rsidR="00165D8A">
        <w:t xml:space="preserve"> de Transacciones </w:t>
      </w:r>
      <w:r w:rsidR="00072BCE">
        <w:t xml:space="preserve">de UTE </w:t>
      </w:r>
      <w:r w:rsidR="002927A4">
        <w:t>emitió</w:t>
      </w:r>
      <w:r w:rsidR="00165D8A">
        <w:t xml:space="preserve"> </w:t>
      </w:r>
      <w:r w:rsidR="00072BCE">
        <w:t>su</w:t>
      </w:r>
      <w:r w:rsidR="00165D8A">
        <w:t xml:space="preserve"> </w:t>
      </w:r>
      <w:r w:rsidR="002927A4">
        <w:t>opinión</w:t>
      </w:r>
      <w:r w:rsidR="00165D8A">
        <w:t xml:space="preserve"> favorable </w:t>
      </w:r>
      <w:r w:rsidR="002927A4">
        <w:t>respecto</w:t>
      </w:r>
      <w:r w:rsidR="00165D8A">
        <w:t xml:space="preserve"> a la </w:t>
      </w:r>
      <w:r w:rsidR="002927A4">
        <w:t>propuesta</w:t>
      </w:r>
      <w:r w:rsidR="00165D8A">
        <w:t xml:space="preserve"> de transacción referida, la cual constituye un acuerdo parcial respecto a la pretensión de los actores, siendo que el objeto del juicio promovido por éstos</w:t>
      </w:r>
      <w:r w:rsidR="00072BCE">
        <w:t xml:space="preserve"> últimos</w:t>
      </w:r>
      <w:r w:rsidR="00165D8A">
        <w:t xml:space="preserve">, </w:t>
      </w:r>
      <w:r w:rsidR="002927A4">
        <w:t>también</w:t>
      </w:r>
      <w:r w:rsidR="00165D8A">
        <w:t xml:space="preserve"> comprende la </w:t>
      </w:r>
      <w:r w:rsidR="002927A4">
        <w:t>solicitud</w:t>
      </w:r>
      <w:r w:rsidR="00165D8A">
        <w:t xml:space="preserve"> de la indemnización de los eventuales daños </w:t>
      </w:r>
      <w:r w:rsidR="002927A4">
        <w:t>ocasion</w:t>
      </w:r>
      <w:r w:rsidR="00072BCE">
        <w:t>ados</w:t>
      </w:r>
      <w:r w:rsidR="00165D8A">
        <w:t xml:space="preserve"> por la </w:t>
      </w:r>
      <w:r w:rsidR="002927A4">
        <w:t>servidumbre</w:t>
      </w:r>
      <w:r w:rsidR="00165D8A">
        <w:t xml:space="preserve"> impuesta por la línea 150</w:t>
      </w:r>
      <w:r w:rsidR="00B274DF">
        <w:t xml:space="preserve"> Kv</w:t>
      </w:r>
      <w:r w:rsidR="00165D8A">
        <w:t xml:space="preserve"> (Parque Eólico R del Sur S.A.- Estación de San Carlos);</w:t>
      </w:r>
    </w:p>
    <w:p w:rsidR="002927A4" w:rsidRDefault="0070036C" w:rsidP="0070036C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072BCE">
        <w:rPr>
          <w:b/>
        </w:rPr>
        <w:t>6</w:t>
      </w:r>
      <w:r w:rsidR="00165D8A" w:rsidRPr="00072BCE">
        <w:rPr>
          <w:b/>
        </w:rPr>
        <w:t>)</w:t>
      </w:r>
      <w:r w:rsidR="002927A4">
        <w:t xml:space="preserve"> que</w:t>
      </w:r>
      <w:r w:rsidR="00072BCE">
        <w:t xml:space="preserve"> en consecuencia, </w:t>
      </w:r>
      <w:r w:rsidR="002927A4">
        <w:t xml:space="preserve"> </w:t>
      </w:r>
      <w:r w:rsidR="001D3482">
        <w:t xml:space="preserve">mediante </w:t>
      </w:r>
      <w:r w:rsidR="002927A4">
        <w:t>R</w:t>
      </w:r>
      <w:r w:rsidR="001D3482">
        <w:t xml:space="preserve">esolución del Directorio No. </w:t>
      </w:r>
      <w:r w:rsidR="002927A4">
        <w:t>R. 18-1173/18</w:t>
      </w:r>
      <w:r w:rsidR="001D3482">
        <w:t>, de fecha 2</w:t>
      </w:r>
      <w:r w:rsidR="002927A4">
        <w:t>4</w:t>
      </w:r>
      <w:r w:rsidR="001D3482">
        <w:t>/</w:t>
      </w:r>
      <w:r w:rsidR="002927A4">
        <w:t>05</w:t>
      </w:r>
      <w:r w:rsidR="001D3482">
        <w:t>/1</w:t>
      </w:r>
      <w:r w:rsidR="002927A4">
        <w:t>8</w:t>
      </w:r>
      <w:r w:rsidR="001D3482">
        <w:t>, se dispuso a</w:t>
      </w:r>
      <w:r w:rsidR="002927A4">
        <w:t xml:space="preserve">probar la  celebración de un acuerdo transaccional con los </w:t>
      </w:r>
      <w:r w:rsidR="00B274DF">
        <w:t xml:space="preserve">Sres. </w:t>
      </w:r>
      <w:r w:rsidR="002927A4">
        <w:t>Odali</w:t>
      </w:r>
      <w:r w:rsidR="00072BCE">
        <w:t>s</w:t>
      </w:r>
      <w:r w:rsidR="002927A4">
        <w:t xml:space="preserve"> Silva y Ruben Plada, consistente en el pago, por parte de UTE, de la suma de 468.670 UI como resarcimiento de los daños causado</w:t>
      </w:r>
      <w:r w:rsidR="00072BCE">
        <w:t>s</w:t>
      </w:r>
      <w:r w:rsidR="00B274DF">
        <w:t xml:space="preserve"> por la referida línea de 500 Kv;</w:t>
      </w:r>
    </w:p>
    <w:p w:rsidR="001D3482" w:rsidRDefault="0070036C" w:rsidP="002927A4">
      <w:pPr>
        <w:pStyle w:val="Textoindependiente"/>
        <w:rPr>
          <w:bCs/>
          <w:spacing w:val="-3"/>
          <w:lang w:val="es-ES_tradnl"/>
        </w:rPr>
      </w:pPr>
      <w:r>
        <w:tab/>
      </w:r>
      <w:r w:rsidR="001D3482">
        <w:rPr>
          <w:b/>
          <w:spacing w:val="-3"/>
        </w:rPr>
        <w:t>C</w:t>
      </w:r>
      <w:r w:rsidR="001D3482">
        <w:rPr>
          <w:b/>
          <w:spacing w:val="-3"/>
          <w:lang w:val="es-ES_tradnl"/>
        </w:rPr>
        <w:t xml:space="preserve">ONSIDERANDO: </w:t>
      </w:r>
      <w:r w:rsidR="001D3482">
        <w:rPr>
          <w:bCs/>
          <w:spacing w:val="-3"/>
          <w:lang w:val="es-ES_tradnl"/>
        </w:rPr>
        <w:t xml:space="preserve"> </w:t>
      </w:r>
      <w:r w:rsidR="001D3482" w:rsidRPr="00804141">
        <w:rPr>
          <w:b/>
          <w:bCs/>
          <w:spacing w:val="-3"/>
          <w:lang w:val="es-ES_tradnl"/>
        </w:rPr>
        <w:t>1)</w:t>
      </w:r>
      <w:r w:rsidR="001D3482">
        <w:rPr>
          <w:bCs/>
          <w:spacing w:val="-3"/>
          <w:lang w:val="es-ES_tradnl"/>
        </w:rPr>
        <w:t xml:space="preserve"> que por </w:t>
      </w:r>
      <w:r w:rsidR="003C42AA">
        <w:rPr>
          <w:bCs/>
          <w:spacing w:val="-3"/>
          <w:lang w:val="es-ES_tradnl"/>
        </w:rPr>
        <w:t>R</w:t>
      </w:r>
      <w:r w:rsidR="001D3482">
        <w:rPr>
          <w:bCs/>
          <w:spacing w:val="-3"/>
          <w:lang w:val="es-ES_tradnl"/>
        </w:rPr>
        <w:t>esolución del Tribunal de Cuentas, de</w:t>
      </w:r>
      <w:r w:rsidR="001D3482">
        <w:rPr>
          <w:b/>
          <w:spacing w:val="-3"/>
          <w:lang w:val="es-ES_tradnl"/>
        </w:rPr>
        <w:t xml:space="preserve"> </w:t>
      </w:r>
      <w:r w:rsidR="001D3482">
        <w:rPr>
          <w:bCs/>
          <w:spacing w:val="-3"/>
          <w:lang w:val="es-ES_tradnl"/>
        </w:rPr>
        <w:t>fecha 18 de junio de 2008 en la redacción dada por el artículo 2 de la Resolución de este Tribunal de 23.12.2009, se dispuso que se deben remitir al mismo, para su intervención, todos los gastos emergentes de transacciones  extrajudiciales y laudos  arbitrales, cualquiera sea su monto;</w:t>
      </w:r>
    </w:p>
    <w:p w:rsidR="001D3482" w:rsidRDefault="0070036C" w:rsidP="0070036C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2</w:t>
      </w:r>
      <w:r w:rsidR="001D3482" w:rsidRPr="00804141">
        <w:rPr>
          <w:b/>
          <w:bCs/>
          <w:spacing w:val="-3"/>
          <w:lang w:val="es-ES_tradnl"/>
        </w:rPr>
        <w:t>)</w:t>
      </w:r>
      <w:r w:rsidR="001D3482">
        <w:rPr>
          <w:b/>
          <w:bCs/>
          <w:spacing w:val="-3"/>
          <w:lang w:val="es-ES_tradnl"/>
        </w:rPr>
        <w:t xml:space="preserve"> </w:t>
      </w:r>
      <w:r w:rsidR="001D3482" w:rsidRPr="00804141">
        <w:rPr>
          <w:bCs/>
          <w:spacing w:val="-3"/>
          <w:lang w:val="es-ES_tradnl"/>
        </w:rPr>
        <w:t>que la transacción remitida no merece objeciones de índole legal y los aspectos que refieren a oportunidad o conveniencia de la misma, constituyen una cuestión de mérito cuya apreciación no encuadra en el ámbito de competencias de este Tribunal</w:t>
      </w:r>
      <w:r w:rsidR="001D3482">
        <w:rPr>
          <w:bCs/>
          <w:spacing w:val="-3"/>
          <w:lang w:val="es-ES_tradnl"/>
        </w:rPr>
        <w:t>;</w:t>
      </w:r>
    </w:p>
    <w:p w:rsidR="001D3482" w:rsidRDefault="001D3482" w:rsidP="001D3482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expuesto;</w:t>
      </w:r>
    </w:p>
    <w:p w:rsidR="001D3482" w:rsidRDefault="001D3482" w:rsidP="001D3482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1D3482" w:rsidRDefault="00B274DF" w:rsidP="0070036C">
      <w:pPr>
        <w:pStyle w:val="Textoindependiente2"/>
        <w:numPr>
          <w:ilvl w:val="0"/>
          <w:numId w:val="1"/>
        </w:numPr>
        <w:ind w:left="284" w:hanging="284"/>
        <w:jc w:val="both"/>
      </w:pPr>
      <w:r>
        <w:t>No formular observaciones y c</w:t>
      </w:r>
      <w:r w:rsidR="001D3482">
        <w:t>ometer al Contador Delegado la intervención del</w:t>
      </w:r>
      <w:r w:rsidR="00072BCE">
        <w:t xml:space="preserve"> gasto equivalente a </w:t>
      </w:r>
      <w:r w:rsidR="001D3482">
        <w:t xml:space="preserve"> </w:t>
      </w:r>
      <w:r w:rsidR="00072BCE">
        <w:t xml:space="preserve">468.670 UI, emergente  del acuerdo transaccional a </w:t>
      </w:r>
      <w:r w:rsidR="00072BCE">
        <w:lastRenderedPageBreak/>
        <w:t xml:space="preserve">celebrar con  los Sres. Odalis Silva y Ruben Plada, </w:t>
      </w:r>
      <w:r w:rsidR="001D3482">
        <w:t xml:space="preserve">previo control de su imputación con cargo a </w:t>
      </w:r>
      <w:r>
        <w:t>G</w:t>
      </w:r>
      <w:r w:rsidR="001D3482">
        <w:t>rupo adecuado con disponibilidad suficiente;</w:t>
      </w:r>
    </w:p>
    <w:p w:rsidR="001D3482" w:rsidRDefault="001D3482" w:rsidP="0070036C">
      <w:pPr>
        <w:pStyle w:val="Textoindependiente2"/>
        <w:numPr>
          <w:ilvl w:val="0"/>
          <w:numId w:val="1"/>
        </w:numPr>
        <w:ind w:left="284" w:hanging="284"/>
        <w:jc w:val="both"/>
      </w:pPr>
      <w:r>
        <w:t>Comunicar al Contador Delegado; y</w:t>
      </w:r>
    </w:p>
    <w:p w:rsidR="001D3482" w:rsidRDefault="001D3482" w:rsidP="0070036C">
      <w:pPr>
        <w:pStyle w:val="Textoindependiente2"/>
        <w:numPr>
          <w:ilvl w:val="0"/>
          <w:numId w:val="1"/>
        </w:numPr>
        <w:ind w:left="284" w:hanging="284"/>
        <w:jc w:val="both"/>
      </w:pPr>
      <w:r>
        <w:t>Devolver las actuaciones.</w:t>
      </w:r>
    </w:p>
    <w:p w:rsidR="0070036C" w:rsidRDefault="0070036C" w:rsidP="0070036C">
      <w:pPr>
        <w:pStyle w:val="Textoindependiente2"/>
        <w:jc w:val="left"/>
      </w:pPr>
    </w:p>
    <w:p w:rsidR="0070036C" w:rsidRDefault="0070036C" w:rsidP="0070036C">
      <w:pPr>
        <w:pStyle w:val="Textoindependiente2"/>
        <w:jc w:val="left"/>
      </w:pPr>
      <w:r>
        <w:t>aa</w:t>
      </w:r>
      <w:bookmarkStart w:id="0" w:name="_GoBack"/>
      <w:bookmarkEnd w:id="0"/>
    </w:p>
    <w:sectPr w:rsidR="0070036C" w:rsidSect="00BD2585">
      <w:headerReference w:type="default" r:id="rId8"/>
      <w:footerReference w:type="even" r:id="rId9"/>
      <w:footerReference w:type="default" r:id="rId10"/>
      <w:pgSz w:w="11907" w:h="16840" w:code="9"/>
      <w:pgMar w:top="3402" w:right="1701" w:bottom="1134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60" w:rsidRDefault="00801160">
      <w:r>
        <w:separator/>
      </w:r>
    </w:p>
  </w:endnote>
  <w:endnote w:type="continuationSeparator" w:id="0">
    <w:p w:rsidR="00801160" w:rsidRDefault="0080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3C42A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5D91" w:rsidRDefault="00BD25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3C42A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258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B5D91" w:rsidRDefault="00BD25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60" w:rsidRDefault="00801160">
      <w:r>
        <w:separator/>
      </w:r>
    </w:p>
  </w:footnote>
  <w:footnote w:type="continuationSeparator" w:id="0">
    <w:p w:rsidR="00801160" w:rsidRDefault="0080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1D3482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93BA4C" wp14:editId="705ECE2C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B5D91" w:rsidRDefault="003C42AA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5B5D91" w:rsidRDefault="003C42AA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5B5D91" w:rsidRDefault="00BD2585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00C"/>
    <w:multiLevelType w:val="hybridMultilevel"/>
    <w:tmpl w:val="80C6D05C"/>
    <w:lvl w:ilvl="0" w:tplc="265A94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82"/>
    <w:rsid w:val="00072BCE"/>
    <w:rsid w:val="00165D8A"/>
    <w:rsid w:val="001D3482"/>
    <w:rsid w:val="00227F4F"/>
    <w:rsid w:val="002927A4"/>
    <w:rsid w:val="003C42AA"/>
    <w:rsid w:val="00477F9F"/>
    <w:rsid w:val="005D6F5D"/>
    <w:rsid w:val="006A35A8"/>
    <w:rsid w:val="0070036C"/>
    <w:rsid w:val="00801160"/>
    <w:rsid w:val="00B252DC"/>
    <w:rsid w:val="00B274DF"/>
    <w:rsid w:val="00BD2585"/>
    <w:rsid w:val="00D9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48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D3482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D3482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3482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D3482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1D3482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1D3482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D3482"/>
  </w:style>
  <w:style w:type="paragraph" w:styleId="Textoindependiente">
    <w:name w:val="Body Text"/>
    <w:basedOn w:val="Normal"/>
    <w:link w:val="TextoindependienteCar"/>
    <w:semiHidden/>
    <w:rsid w:val="001D3482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D348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D3482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D3482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1D34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6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48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D3482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D3482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3482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D3482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1D3482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1D3482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D3482"/>
  </w:style>
  <w:style w:type="paragraph" w:styleId="Textoindependiente">
    <w:name w:val="Body Text"/>
    <w:basedOn w:val="Normal"/>
    <w:link w:val="TextoindependienteCar"/>
    <w:semiHidden/>
    <w:rsid w:val="001D3482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D348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D3482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D3482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1D34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6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Adrian Acosta</cp:lastModifiedBy>
  <cp:revision>2</cp:revision>
  <cp:lastPrinted>2018-09-20T16:21:00Z</cp:lastPrinted>
  <dcterms:created xsi:type="dcterms:W3CDTF">2018-09-20T16:21:00Z</dcterms:created>
  <dcterms:modified xsi:type="dcterms:W3CDTF">2018-09-20T16:21:00Z</dcterms:modified>
</cp:coreProperties>
</file>