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27" w:rsidRPr="00C55E27" w:rsidRDefault="00C55E27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55E27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2986</w:t>
      </w:r>
      <w:r w:rsidRPr="00C55E27">
        <w:rPr>
          <w:rFonts w:ascii="Arial" w:hAnsi="Arial" w:cs="Arial"/>
          <w:sz w:val="28"/>
          <w:szCs w:val="28"/>
          <w:lang w:val="es-ES_tradnl"/>
        </w:rPr>
        <w:t>/18</w:t>
      </w:r>
    </w:p>
    <w:p w:rsidR="00C55E27" w:rsidRPr="00C55E27" w:rsidRDefault="00C55E27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5E27">
        <w:rPr>
          <w:rFonts w:ascii="Arial" w:hAnsi="Arial" w:cs="Arial"/>
          <w:lang w:val="es-ES_tradnl"/>
        </w:rPr>
        <w:t>RESOLUCION ADOPTADA POR EL</w:t>
      </w:r>
    </w:p>
    <w:p w:rsidR="00C55E27" w:rsidRPr="00C55E27" w:rsidRDefault="00C55E2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5E27">
        <w:rPr>
          <w:rFonts w:ascii="Arial" w:hAnsi="Arial" w:cs="Arial"/>
          <w:lang w:val="es-ES_tradnl"/>
        </w:rPr>
        <w:t>TRIBUNAL DE CUENTAS</w:t>
      </w:r>
    </w:p>
    <w:p w:rsidR="00C55E27" w:rsidRPr="00C55E27" w:rsidRDefault="00C55E2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C55E27">
        <w:rPr>
          <w:rFonts w:ascii="Arial" w:hAnsi="Arial" w:cs="Arial"/>
          <w:lang w:val="es-ES_tradnl"/>
        </w:rPr>
        <w:t xml:space="preserve">EN SESION DE FECHA 19 DE SETIEMBRE </w:t>
      </w:r>
      <w:r w:rsidRPr="00C55E27">
        <w:rPr>
          <w:rFonts w:ascii="Helvetica" w:hAnsi="Helvetica"/>
          <w:lang w:val="es-ES_tradnl"/>
        </w:rPr>
        <w:t>DE 2018</w:t>
      </w: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C55E27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2017-17-1-0002627</w:t>
      </w:r>
      <w:r w:rsidRPr="00C55E27">
        <w:rPr>
          <w:rFonts w:ascii="Arial" w:hAnsi="Arial" w:cs="Arial"/>
          <w:lang w:val="en-US"/>
        </w:rPr>
        <w:t xml:space="preserve">, </w:t>
      </w:r>
      <w:proofErr w:type="gramStart"/>
      <w:r w:rsidRPr="00C55E27">
        <w:rPr>
          <w:rFonts w:ascii="Arial" w:hAnsi="Arial" w:cs="Arial"/>
          <w:lang w:val="en-US"/>
        </w:rPr>
        <w:t>Ent</w:t>
      </w:r>
      <w:proofErr w:type="gramEnd"/>
      <w:r w:rsidRPr="00C55E27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4198/18</w:t>
      </w:r>
      <w:r w:rsidRPr="00C55E27">
        <w:rPr>
          <w:rFonts w:ascii="Arial" w:hAnsi="Arial" w:cs="Arial"/>
          <w:lang w:val="en-US"/>
        </w:rPr>
        <w:t>)</w:t>
      </w:r>
    </w:p>
    <w:p w:rsidR="00C55E27" w:rsidRPr="00C55E27" w:rsidRDefault="00C55E27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C55E27" w:rsidRDefault="00C55E27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C55E27" w:rsidRDefault="00C55E27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BD0841" w:rsidRDefault="00BD0841" w:rsidP="00C55E27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>VISTO:</w:t>
      </w:r>
      <w:r>
        <w:rPr>
          <w:rFonts w:ascii="Arial" w:hAnsi="Arial" w:cs="Arial"/>
          <w:b w:val="0"/>
          <w:bCs w:val="0"/>
          <w:lang w:val="es-ES_tradnl"/>
        </w:rPr>
        <w:t xml:space="preserve"> el Oficio Nº </w:t>
      </w:r>
      <w:r w:rsidR="00FD6022">
        <w:rPr>
          <w:rFonts w:ascii="Arial" w:hAnsi="Arial" w:cs="Arial"/>
          <w:b w:val="0"/>
          <w:bCs w:val="0"/>
          <w:lang w:val="es-ES_tradnl"/>
        </w:rPr>
        <w:t>223/18 de fecha 24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 </w:t>
      </w:r>
      <w:r w:rsidR="00FD6022">
        <w:rPr>
          <w:rFonts w:ascii="Arial" w:hAnsi="Arial" w:cs="Arial"/>
          <w:b w:val="0"/>
          <w:bCs w:val="0"/>
          <w:lang w:val="es-ES_tradnl"/>
        </w:rPr>
        <w:t>de agosto de</w:t>
      </w:r>
      <w:r w:rsidR="00BF4636">
        <w:rPr>
          <w:rFonts w:ascii="Arial" w:hAnsi="Arial" w:cs="Arial"/>
          <w:b w:val="0"/>
          <w:bCs w:val="0"/>
          <w:lang w:val="es-ES_tradnl"/>
        </w:rPr>
        <w:t>l</w:t>
      </w:r>
      <w:r w:rsidR="00FD6022">
        <w:rPr>
          <w:rFonts w:ascii="Arial" w:hAnsi="Arial" w:cs="Arial"/>
          <w:b w:val="0"/>
          <w:bCs w:val="0"/>
          <w:lang w:val="es-ES_tradnl"/>
        </w:rPr>
        <w:t xml:space="preserve"> 2018</w:t>
      </w:r>
      <w:r>
        <w:rPr>
          <w:rFonts w:ascii="Arial" w:hAnsi="Arial" w:cs="Arial"/>
          <w:b w:val="0"/>
          <w:bCs w:val="0"/>
          <w:lang w:val="es-ES_tradnl"/>
        </w:rPr>
        <w:t xml:space="preserve"> remitido por la </w:t>
      </w:r>
      <w:r>
        <w:rPr>
          <w:rFonts w:ascii="Arial" w:hAnsi="Arial" w:cs="Arial"/>
          <w:b w:val="0"/>
          <w:bCs w:val="0"/>
          <w:lang w:val="es-UY"/>
        </w:rPr>
        <w:t xml:space="preserve">Intendencia de Río Negro relacionado con la </w:t>
      </w:r>
      <w:r w:rsidR="00FD6022">
        <w:rPr>
          <w:rFonts w:ascii="Arial" w:hAnsi="Arial" w:cs="Arial"/>
          <w:b w:val="0"/>
          <w:bCs w:val="0"/>
          <w:lang w:val="es-UY"/>
        </w:rPr>
        <w:t xml:space="preserve">ampliación de las obras en el </w:t>
      </w:r>
      <w:r w:rsidR="00535095">
        <w:rPr>
          <w:rFonts w:ascii="Arial" w:hAnsi="Arial" w:cs="Arial"/>
          <w:b w:val="0"/>
          <w:bCs w:val="0"/>
          <w:lang w:val="es-UY"/>
        </w:rPr>
        <w:t xml:space="preserve"> Complejo de Viviendas </w:t>
      </w:r>
      <w:r>
        <w:rPr>
          <w:rFonts w:ascii="Arial" w:hAnsi="Arial" w:cs="Arial"/>
          <w:b w:val="0"/>
          <w:bCs w:val="0"/>
          <w:lang w:val="es-UY"/>
        </w:rPr>
        <w:t>en el complejo J</w:t>
      </w:r>
      <w:r w:rsidR="00535095">
        <w:rPr>
          <w:rFonts w:ascii="Arial" w:hAnsi="Arial" w:cs="Arial"/>
          <w:b w:val="0"/>
          <w:bCs w:val="0"/>
          <w:lang w:val="es-UY"/>
        </w:rPr>
        <w:t>-C</w:t>
      </w:r>
      <w:r>
        <w:rPr>
          <w:rFonts w:ascii="Arial" w:hAnsi="Arial" w:cs="Arial"/>
          <w:b w:val="0"/>
          <w:bCs w:val="0"/>
          <w:lang w:val="es-UY"/>
        </w:rPr>
        <w:t>6</w:t>
      </w:r>
      <w:r w:rsidR="00535095">
        <w:rPr>
          <w:rFonts w:ascii="Arial" w:hAnsi="Arial" w:cs="Arial"/>
          <w:b w:val="0"/>
          <w:bCs w:val="0"/>
          <w:lang w:val="es-UY"/>
        </w:rPr>
        <w:t>”</w:t>
      </w:r>
      <w:r>
        <w:rPr>
          <w:rFonts w:ascii="Arial" w:hAnsi="Arial" w:cs="Arial"/>
          <w:b w:val="0"/>
          <w:bCs w:val="0"/>
          <w:lang w:val="es-UY"/>
        </w:rPr>
        <w:t xml:space="preserve">  de la ciudad de Fray Bentos;-</w:t>
      </w:r>
    </w:p>
    <w:p w:rsidR="00BD0841" w:rsidRDefault="00BD0841" w:rsidP="00C55E27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con fecha 21/07/14</w:t>
      </w:r>
      <w:r w:rsidR="00BF4636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se suscribió convenio marco e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ntre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la Intendencia de Río Negro y la Agencia Nacional de Vivienda</w:t>
      </w:r>
      <w:r w:rsidR="00535095">
        <w:rPr>
          <w:rFonts w:ascii="Arial" w:hAnsi="Arial" w:cs="Arial"/>
          <w:b w:val="0"/>
          <w:bCs w:val="0"/>
          <w:lang w:val="es-ES_tradnl"/>
        </w:rPr>
        <w:t xml:space="preserve"> con</w:t>
      </w:r>
      <w:r>
        <w:rPr>
          <w:rFonts w:ascii="Arial" w:hAnsi="Arial" w:cs="Arial"/>
          <w:b w:val="0"/>
          <w:bCs w:val="0"/>
          <w:lang w:val="es-ES_tradnl"/>
        </w:rPr>
        <w:t xml:space="preserve"> el  objeto</w:t>
      </w:r>
      <w:r>
        <w:rPr>
          <w:rFonts w:ascii="Arial" w:hAnsi="Arial" w:cs="Arial"/>
          <w:lang w:val="es-ES_tradnl"/>
        </w:rPr>
        <w:t xml:space="preserve"> </w:t>
      </w:r>
      <w:r w:rsidR="00C55E27" w:rsidRPr="00C55E27">
        <w:rPr>
          <w:rFonts w:ascii="Arial" w:hAnsi="Arial" w:cs="Arial"/>
          <w:b w:val="0"/>
          <w:lang w:val="es-ES_tradnl"/>
        </w:rPr>
        <w:t>para</w:t>
      </w:r>
      <w:r w:rsidR="00C55E2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la instrumentación de acciones tendientes a lograr el acondicionamiento de las viviendas del complejo </w:t>
      </w:r>
      <w:r w:rsidR="00535095">
        <w:rPr>
          <w:rFonts w:ascii="Arial" w:hAnsi="Arial" w:cs="Arial"/>
          <w:b w:val="0"/>
          <w:bCs w:val="0"/>
          <w:lang w:val="es-ES_tradnl"/>
        </w:rPr>
        <w:t>J-</w:t>
      </w:r>
      <w:r>
        <w:rPr>
          <w:rFonts w:ascii="Arial" w:hAnsi="Arial" w:cs="Arial"/>
          <w:b w:val="0"/>
          <w:bCs w:val="0"/>
          <w:lang w:val="es-ES_tradnl"/>
        </w:rPr>
        <w:t xml:space="preserve">C6; </w:t>
      </w:r>
    </w:p>
    <w:p w:rsidR="00BD0841" w:rsidRDefault="00535095" w:rsidP="00C55E27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2</w:t>
      </w:r>
      <w:r w:rsidR="00BD0841">
        <w:rPr>
          <w:rFonts w:ascii="Arial" w:hAnsi="Arial" w:cs="Arial"/>
          <w:lang w:val="es-ES_tradnl"/>
        </w:rPr>
        <w:t xml:space="preserve">) </w:t>
      </w:r>
      <w:r w:rsidR="00BD0841">
        <w:rPr>
          <w:rFonts w:ascii="Arial" w:hAnsi="Arial" w:cs="Arial"/>
          <w:b w:val="0"/>
          <w:bCs w:val="0"/>
          <w:lang w:val="es-ES_tradnl"/>
        </w:rPr>
        <w:t>que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en </w:t>
      </w:r>
      <w:r w:rsidR="00C55E27">
        <w:rPr>
          <w:rFonts w:ascii="Arial" w:hAnsi="Arial" w:cs="Arial"/>
          <w:b w:val="0"/>
          <w:bCs w:val="0"/>
          <w:lang w:val="es-ES_tradnl"/>
        </w:rPr>
        <w:t>S</w:t>
      </w:r>
      <w:r w:rsidR="00BD0841">
        <w:rPr>
          <w:rFonts w:ascii="Arial" w:hAnsi="Arial" w:cs="Arial"/>
          <w:b w:val="0"/>
          <w:bCs w:val="0"/>
          <w:lang w:val="es-ES_tradnl"/>
        </w:rPr>
        <w:t>esión de fecha 18/06/14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este Tribunal,  al considerar el convenio marco remitido por el MVOTMA, no formuló observaciones al mismo</w:t>
      </w:r>
      <w:r w:rsidR="00BD0841">
        <w:rPr>
          <w:rFonts w:ascii="Arial" w:hAnsi="Arial" w:cs="Arial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estableciendo que una vez dictada Resolución por el </w:t>
      </w:r>
      <w:r w:rsidR="00BF4636">
        <w:rPr>
          <w:rFonts w:ascii="Arial" w:hAnsi="Arial" w:cs="Arial"/>
          <w:b w:val="0"/>
          <w:bCs w:val="0"/>
          <w:lang w:val="es-ES_tradnl"/>
        </w:rPr>
        <w:t>o</w:t>
      </w:r>
      <w:r w:rsidR="00BD0841">
        <w:rPr>
          <w:rFonts w:ascii="Arial" w:hAnsi="Arial" w:cs="Arial"/>
          <w:b w:val="0"/>
          <w:bCs w:val="0"/>
          <w:lang w:val="es-ES_tradnl"/>
        </w:rPr>
        <w:t>rdenador competente, se tendría por intervenido el gasto de UR 25.881, cometiendo a la Contadora Auditora la verificación, previo a la concreción de los pagos previstos, de que la Resolución y el convenio conc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ordaran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con los antecedentes remitidos al T</w:t>
      </w:r>
      <w:r w:rsidR="00BF4636">
        <w:rPr>
          <w:rFonts w:ascii="Arial" w:hAnsi="Arial" w:cs="Arial"/>
          <w:b w:val="0"/>
          <w:bCs w:val="0"/>
          <w:lang w:val="es-ES_tradnl"/>
        </w:rPr>
        <w:t>ribunal</w:t>
      </w:r>
      <w:r w:rsidR="00BD0841">
        <w:rPr>
          <w:rFonts w:ascii="Arial" w:hAnsi="Arial" w:cs="Arial"/>
          <w:b w:val="0"/>
          <w:bCs w:val="0"/>
          <w:lang w:val="es-ES_tradnl"/>
        </w:rPr>
        <w:t>;-</w:t>
      </w:r>
    </w:p>
    <w:p w:rsidR="00BD0841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UY"/>
        </w:rPr>
        <w:t xml:space="preserve">                              </w:t>
      </w:r>
      <w:r w:rsidR="00C55E27">
        <w:rPr>
          <w:rFonts w:ascii="Arial" w:hAnsi="Arial" w:cs="Arial"/>
          <w:b w:val="0"/>
          <w:bCs w:val="0"/>
          <w:lang w:val="es-UY"/>
        </w:rPr>
        <w:t xml:space="preserve">          </w:t>
      </w:r>
      <w:r w:rsidR="00535095">
        <w:rPr>
          <w:rFonts w:ascii="Arial" w:hAnsi="Arial" w:cs="Arial"/>
          <w:bCs w:val="0"/>
          <w:lang w:val="es-UY"/>
        </w:rPr>
        <w:t>3</w:t>
      </w:r>
      <w:r>
        <w:rPr>
          <w:rFonts w:ascii="Arial" w:hAnsi="Arial" w:cs="Arial"/>
          <w:lang w:val="es-UY"/>
        </w:rPr>
        <w:t xml:space="preserve">) </w:t>
      </w:r>
      <w:r>
        <w:rPr>
          <w:rFonts w:ascii="Arial" w:hAnsi="Arial" w:cs="Arial"/>
          <w:b w:val="0"/>
          <w:bCs w:val="0"/>
          <w:lang w:val="es-UY"/>
        </w:rPr>
        <w:t>que por Resolución Nº 1061 dictada por el Intendente con fecha 28/09/2016</w:t>
      </w:r>
      <w:r w:rsidR="00BF4636">
        <w:rPr>
          <w:rFonts w:ascii="Arial" w:hAnsi="Arial" w:cs="Arial"/>
          <w:b w:val="0"/>
          <w:bCs w:val="0"/>
          <w:lang w:val="es-UY"/>
        </w:rPr>
        <w:t>,</w:t>
      </w:r>
      <w:r>
        <w:rPr>
          <w:rFonts w:ascii="Arial" w:hAnsi="Arial" w:cs="Arial"/>
          <w:b w:val="0"/>
          <w:bCs w:val="0"/>
          <w:lang w:val="es-UY"/>
        </w:rPr>
        <w:t xml:space="preserve"> se dispuso, en el marco del referido convenio,  realizar un llamado mediante licitación pública a</w:t>
      </w:r>
      <w:r>
        <w:rPr>
          <w:rFonts w:ascii="Arial" w:hAnsi="Arial" w:cs="Arial"/>
          <w:b w:val="0"/>
          <w:bCs w:val="0"/>
          <w:lang w:val="es-ES_tradnl"/>
        </w:rPr>
        <w:t xml:space="preserve"> empresas interesadas en la refacción del complejo de viviendas “JC6” (Blocks Nos. 1, 6, 7 y 8), ubicado en el Padrón Nº 2170, de la ciudad de Fray Bentos, propiedad de la Intendencia de Río Negro,  mediante el sistema “llave en mano” (licitación 2/2016).-</w:t>
      </w:r>
    </w:p>
    <w:p w:rsidR="00BD0841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lastRenderedPageBreak/>
        <w:t xml:space="preserve">              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    </w:t>
      </w:r>
      <w:r w:rsidR="00535095">
        <w:rPr>
          <w:rFonts w:ascii="Arial" w:hAnsi="Arial" w:cs="Arial"/>
          <w:bCs w:val="0"/>
          <w:lang w:val="es-ES_tradnl"/>
        </w:rPr>
        <w:t>4</w:t>
      </w:r>
      <w:r>
        <w:rPr>
          <w:rFonts w:ascii="Arial" w:hAnsi="Arial" w:cs="Arial"/>
          <w:lang w:val="es-ES_tradnl"/>
        </w:rPr>
        <w:t xml:space="preserve">) </w:t>
      </w:r>
      <w:r w:rsidR="00EC4408">
        <w:rPr>
          <w:rFonts w:ascii="Arial" w:hAnsi="Arial" w:cs="Arial"/>
          <w:b w:val="0"/>
          <w:lang w:val="es-ES_tradnl"/>
        </w:rPr>
        <w:t xml:space="preserve">que se resolvió rechazar la única oferta presentada en dicho llamado por la empresa PILARSYL S.A. </w:t>
      </w:r>
      <w:r w:rsidR="00BF4636">
        <w:rPr>
          <w:rFonts w:ascii="Arial" w:hAnsi="Arial" w:cs="Arial"/>
          <w:b w:val="0"/>
          <w:lang w:val="es-ES_tradnl"/>
        </w:rPr>
        <w:t>,</w:t>
      </w:r>
      <w:r w:rsidR="00EC4408">
        <w:rPr>
          <w:rFonts w:ascii="Arial" w:hAnsi="Arial" w:cs="Arial"/>
          <w:b w:val="0"/>
          <w:lang w:val="es-ES_tradnl"/>
        </w:rPr>
        <w:t>por considerarla manifiestamente inconveniente a los</w:t>
      </w:r>
      <w:r w:rsidR="00535095">
        <w:rPr>
          <w:rFonts w:ascii="Arial" w:hAnsi="Arial" w:cs="Arial"/>
          <w:b w:val="0"/>
          <w:lang w:val="es-ES_tradnl"/>
        </w:rPr>
        <w:t xml:space="preserve"> intereses de la Administración. D</w:t>
      </w:r>
      <w:r w:rsidR="00EC4408">
        <w:rPr>
          <w:rFonts w:ascii="Arial" w:hAnsi="Arial" w:cs="Arial"/>
          <w:b w:val="0"/>
          <w:lang w:val="es-ES_tradnl"/>
        </w:rPr>
        <w:t xml:space="preserve">icha empresa </w:t>
      </w:r>
      <w:r w:rsidR="00535095">
        <w:rPr>
          <w:rFonts w:ascii="Arial" w:hAnsi="Arial" w:cs="Arial"/>
          <w:b w:val="0"/>
          <w:lang w:val="es-ES_tradnl"/>
        </w:rPr>
        <w:t>presentó con fecha</w:t>
      </w:r>
      <w:r w:rsidR="00EC4408">
        <w:rPr>
          <w:rFonts w:ascii="Arial" w:hAnsi="Arial" w:cs="Arial"/>
          <w:b w:val="0"/>
          <w:lang w:val="es-ES_tradnl"/>
        </w:rPr>
        <w:t xml:space="preserve"> 20/3/2017 una nueva oferta confe</w:t>
      </w:r>
      <w:r>
        <w:rPr>
          <w:rFonts w:ascii="Arial" w:hAnsi="Arial" w:cs="Arial"/>
          <w:b w:val="0"/>
          <w:bCs w:val="0"/>
          <w:lang w:val="es-ES_tradnl"/>
        </w:rPr>
        <w:t>ccionada sobre la base de una proyección de metrajes vinculad</w:t>
      </w:r>
      <w:r w:rsidR="00535095">
        <w:rPr>
          <w:rFonts w:ascii="Arial" w:hAnsi="Arial" w:cs="Arial"/>
          <w:b w:val="0"/>
          <w:bCs w:val="0"/>
          <w:lang w:val="es-ES_tradnl"/>
        </w:rPr>
        <w:t>a a los metrajes reales de obra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BD0841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    </w:t>
      </w:r>
      <w:r w:rsidR="009364F6" w:rsidRPr="00FD6022">
        <w:rPr>
          <w:rFonts w:ascii="Arial" w:hAnsi="Arial" w:cs="Arial"/>
          <w:bCs w:val="0"/>
          <w:lang w:val="es-ES_tradnl"/>
        </w:rPr>
        <w:t>5</w:t>
      </w:r>
      <w:r w:rsidRPr="00FD602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b w:val="0"/>
          <w:bCs w:val="0"/>
          <w:lang w:val="es-ES_tradnl"/>
        </w:rPr>
        <w:t>que, considerando la nueva oferta presentada, por Resolución Nº 429 de fecha 04/04/2017 el Intendente dispuso contratar –en forma directa a PILARSYL S.A. a efectos de llevar a cabo las obras necesarias para la refacción del complejo JC6 Blocks Nos. 1, 6, 7 y 8 mediante el sistema “llave en mano” por un monto total de $ 24:078.802,15 con IVA y todo otro tributo exigido por la legislación vigente;</w:t>
      </w:r>
    </w:p>
    <w:p w:rsidR="00BD0841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 </w:t>
      </w:r>
      <w:r w:rsidR="00FD6022">
        <w:rPr>
          <w:rFonts w:ascii="Arial" w:hAnsi="Arial" w:cs="Arial"/>
          <w:bCs w:val="0"/>
          <w:lang w:val="es-ES_tradnl"/>
        </w:rPr>
        <w:t>6)</w:t>
      </w:r>
      <w:r>
        <w:rPr>
          <w:rFonts w:ascii="Arial" w:hAnsi="Arial" w:cs="Arial"/>
          <w:b w:val="0"/>
          <w:bCs w:val="0"/>
          <w:lang w:val="es-ES_tradnl"/>
        </w:rPr>
        <w:t xml:space="preserve"> que este Tribunal con fecha 26/0</w:t>
      </w:r>
      <w:r w:rsidR="00C55E27">
        <w:rPr>
          <w:rFonts w:ascii="Arial" w:hAnsi="Arial" w:cs="Arial"/>
          <w:b w:val="0"/>
          <w:bCs w:val="0"/>
          <w:lang w:val="es-ES_tradnl"/>
        </w:rPr>
        <w:t>5</w:t>
      </w:r>
      <w:r>
        <w:rPr>
          <w:rFonts w:ascii="Arial" w:hAnsi="Arial" w:cs="Arial"/>
          <w:b w:val="0"/>
          <w:bCs w:val="0"/>
          <w:lang w:val="es-ES_tradnl"/>
        </w:rPr>
        <w:t xml:space="preserve">/17, acordó no formular observaciones y cometer al Contador Delegado la intervención del gasto;        </w:t>
      </w:r>
    </w:p>
    <w:p w:rsidR="00BD0841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  </w:t>
      </w:r>
      <w:r w:rsidR="009364F6" w:rsidRPr="00FD6022">
        <w:rPr>
          <w:rFonts w:ascii="Arial" w:hAnsi="Arial" w:cs="Arial"/>
          <w:bCs w:val="0"/>
          <w:lang w:val="es-ES_tradnl"/>
        </w:rPr>
        <w:t>7</w:t>
      </w:r>
      <w:r w:rsidRPr="00FD602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bCs w:val="0"/>
          <w:lang w:val="es-ES_tradnl"/>
        </w:rPr>
        <w:t xml:space="preserve"> que previa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conformidaddel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adjudicatario, e informe en el que se expresa que la contratación se encuentra vigente al 22/09/17, el Intendente mediante Resolución Nº 1225 de 29/09/17, 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dispuso </w:t>
      </w:r>
      <w:r>
        <w:rPr>
          <w:rFonts w:ascii="Arial" w:hAnsi="Arial" w:cs="Arial"/>
          <w:b w:val="0"/>
          <w:bCs w:val="0"/>
          <w:lang w:val="es-ES_tradnl"/>
        </w:rPr>
        <w:t xml:space="preserve">ampliar, ad – referéndum de la intervención de este Tribunal,  en un 100 % la contratación con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Pilarsyl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S.A.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a los efectos de llevar a cabo las obras necesarias para la refacción del complejo de vivienda JC 6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por un monto total de</w:t>
      </w:r>
      <w:r w:rsidR="00A67893">
        <w:rPr>
          <w:rFonts w:ascii="Arial" w:hAnsi="Arial" w:cs="Arial"/>
          <w:b w:val="0"/>
          <w:bCs w:val="0"/>
          <w:lang w:val="es-ES_tradnl"/>
        </w:rPr>
        <w:t xml:space="preserve"> $ </w:t>
      </w:r>
      <w:r>
        <w:rPr>
          <w:rFonts w:ascii="Arial" w:hAnsi="Arial" w:cs="Arial"/>
          <w:b w:val="0"/>
          <w:bCs w:val="0"/>
          <w:lang w:val="es-ES_tradnl"/>
        </w:rPr>
        <w:t xml:space="preserve"> 24:078.802, 15 </w:t>
      </w:r>
      <w:r w:rsidR="00BF4636">
        <w:rPr>
          <w:rFonts w:ascii="Arial" w:hAnsi="Arial" w:cs="Arial"/>
          <w:b w:val="0"/>
          <w:bCs w:val="0"/>
          <w:lang w:val="es-ES_tradnl"/>
        </w:rPr>
        <w:t>(</w:t>
      </w:r>
      <w:r>
        <w:rPr>
          <w:rFonts w:ascii="Arial" w:hAnsi="Arial" w:cs="Arial"/>
          <w:b w:val="0"/>
          <w:bCs w:val="0"/>
          <w:lang w:val="es-ES_tradnl"/>
        </w:rPr>
        <w:t>I.V.A. y Aportes Sociales incluidos</w:t>
      </w:r>
      <w:r w:rsidR="00BF4636">
        <w:rPr>
          <w:rFonts w:ascii="Arial" w:hAnsi="Arial" w:cs="Arial"/>
          <w:b w:val="0"/>
          <w:bCs w:val="0"/>
          <w:lang w:val="es-ES_tradnl"/>
        </w:rPr>
        <w:t>)</w:t>
      </w:r>
      <w:r>
        <w:rPr>
          <w:rFonts w:ascii="Arial" w:hAnsi="Arial" w:cs="Arial"/>
          <w:b w:val="0"/>
          <w:bCs w:val="0"/>
          <w:lang w:val="es-ES_tradnl"/>
        </w:rPr>
        <w:t xml:space="preserve">; </w:t>
      </w:r>
    </w:p>
    <w:p w:rsidR="00C62FE3" w:rsidRDefault="00BD084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9364F6" w:rsidRPr="00FD6022">
        <w:rPr>
          <w:rFonts w:ascii="Arial" w:hAnsi="Arial" w:cs="Arial"/>
          <w:bCs w:val="0"/>
          <w:lang w:val="es-ES_tradnl"/>
        </w:rPr>
        <w:t>8</w:t>
      </w:r>
      <w:r w:rsidRPr="00FD6022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C62FE3">
        <w:rPr>
          <w:rFonts w:ascii="Arial" w:hAnsi="Arial" w:cs="Arial"/>
          <w:b w:val="0"/>
          <w:bCs w:val="0"/>
          <w:lang w:val="es-ES_tradnl"/>
        </w:rPr>
        <w:t>este Tribunal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en sesión </w:t>
      </w:r>
      <w:r w:rsidR="00BF4636">
        <w:rPr>
          <w:rFonts w:ascii="Arial" w:hAnsi="Arial" w:cs="Arial"/>
          <w:b w:val="0"/>
          <w:bCs w:val="0"/>
          <w:lang w:val="es-ES_tradnl"/>
        </w:rPr>
        <w:t>de fecha 1 de noviembre de 2017,</w:t>
      </w:r>
      <w:r w:rsidR="00C62FE3">
        <w:rPr>
          <w:rFonts w:ascii="Arial" w:hAnsi="Arial" w:cs="Arial"/>
          <w:b w:val="0"/>
          <w:bCs w:val="0"/>
          <w:lang w:val="es-ES_tradnl"/>
        </w:rPr>
        <w:t>observó el gasto</w:t>
      </w:r>
      <w:r w:rsidR="00A67893">
        <w:rPr>
          <w:rFonts w:ascii="Arial" w:hAnsi="Arial" w:cs="Arial"/>
          <w:b w:val="0"/>
          <w:bCs w:val="0"/>
          <w:lang w:val="es-ES_tradnl"/>
        </w:rPr>
        <w:t>,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en razón de considerar </w:t>
      </w:r>
      <w:proofErr w:type="spellStart"/>
      <w:r w:rsidR="00C62FE3">
        <w:rPr>
          <w:rFonts w:ascii="Arial" w:hAnsi="Arial" w:cs="Arial"/>
          <w:b w:val="0"/>
          <w:bCs w:val="0"/>
          <w:lang w:val="es-ES_tradnl"/>
        </w:rPr>
        <w:t>impro</w:t>
      </w:r>
      <w:proofErr w:type="spellEnd"/>
      <w:r>
        <w:rPr>
          <w:rFonts w:ascii="Arial" w:hAnsi="Arial" w:cs="Arial"/>
          <w:b w:val="0"/>
          <w:bCs w:val="0"/>
        </w:rPr>
        <w:t>cedente una nueva contratación, al destinarse fondos que exceden los previstos en el convenio, para la construcción o refacción de viviendas, competencias  que no se encuentran dentro de las atribuidas a los Gobiernos Departamentales, ya que las mismas corresponden al Ministerio de Vivienda, Ordenamiento Territorial y Medio Ambiente, el Banco Hipotecario del Uruguay y la Agencia Nacional de Vivienda</w:t>
      </w:r>
      <w:r w:rsidR="00C62FE3">
        <w:rPr>
          <w:rFonts w:ascii="Arial" w:hAnsi="Arial" w:cs="Arial"/>
          <w:b w:val="0"/>
          <w:bCs w:val="0"/>
        </w:rPr>
        <w:t xml:space="preserve"> y por contravenirse </w:t>
      </w:r>
      <w:r>
        <w:rPr>
          <w:rFonts w:ascii="Arial" w:hAnsi="Arial" w:cs="Arial"/>
          <w:b w:val="0"/>
          <w:bCs w:val="0"/>
          <w:lang w:val="es-ES_tradnl"/>
        </w:rPr>
        <w:t xml:space="preserve">el </w:t>
      </w:r>
      <w:r w:rsidR="00BF4636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 xml:space="preserve">rt. 15 del T.O.C.A.F. al </w:t>
      </w:r>
      <w:r>
        <w:rPr>
          <w:rFonts w:ascii="Arial" w:hAnsi="Arial" w:cs="Arial"/>
          <w:b w:val="0"/>
          <w:bCs w:val="0"/>
          <w:lang w:val="es-ES_tradnl"/>
        </w:rPr>
        <w:lastRenderedPageBreak/>
        <w:t>comprometerse un gasto sin crédito presupuestal disponible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 en el rubro de imputación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C221D4" w:rsidRDefault="00C62FE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</w:t>
      </w:r>
      <w:r w:rsidR="008B4735" w:rsidRPr="00FD6022">
        <w:rPr>
          <w:rFonts w:ascii="Arial" w:hAnsi="Arial" w:cs="Arial"/>
          <w:bCs w:val="0"/>
          <w:lang w:val="es-ES_tradnl"/>
        </w:rPr>
        <w:t>9</w:t>
      </w:r>
      <w:r w:rsidRPr="00FD6022">
        <w:rPr>
          <w:rFonts w:ascii="Arial" w:hAnsi="Arial" w:cs="Arial"/>
          <w:bCs w:val="0"/>
          <w:lang w:val="es-ES_tradnl"/>
        </w:rPr>
        <w:t>)</w:t>
      </w:r>
      <w:r>
        <w:rPr>
          <w:rFonts w:ascii="Arial" w:hAnsi="Arial" w:cs="Arial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>que el Intendente por Resolución No. 1401 de fecha 17 de noviembre de 2017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reiteró el gasto</w:t>
      </w:r>
      <w:r w:rsidR="00A67893">
        <w:rPr>
          <w:rFonts w:ascii="Arial" w:hAnsi="Arial" w:cs="Arial"/>
          <w:b w:val="0"/>
          <w:bCs w:val="0"/>
          <w:lang w:val="es-ES_tradnl"/>
        </w:rPr>
        <w:t xml:space="preserve"> de $ 24.078802,15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>fundando en que la obra que se realiza es de carácter impostergable para la habitación digna de los residentes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, siendo mantenida la observación por este Tribunal </w:t>
      </w:r>
      <w:r w:rsidR="00A67893">
        <w:rPr>
          <w:rFonts w:ascii="Arial" w:hAnsi="Arial" w:cs="Arial"/>
          <w:b w:val="0"/>
          <w:bCs w:val="0"/>
          <w:lang w:val="es-ES_tradnl"/>
        </w:rPr>
        <w:t>;</w:t>
      </w:r>
    </w:p>
    <w:p w:rsidR="00FD6022" w:rsidRDefault="00FD602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  <w:t xml:space="preserve">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</w:t>
      </w:r>
      <w:r>
        <w:rPr>
          <w:rFonts w:ascii="Arial" w:hAnsi="Arial" w:cs="Arial"/>
          <w:bCs w:val="0"/>
          <w:lang w:val="es-ES_tradnl"/>
        </w:rPr>
        <w:t xml:space="preserve">10) </w:t>
      </w:r>
      <w:r>
        <w:rPr>
          <w:rFonts w:ascii="Arial" w:hAnsi="Arial" w:cs="Arial"/>
          <w:b w:val="0"/>
          <w:bCs w:val="0"/>
          <w:lang w:val="es-ES_tradnl"/>
        </w:rPr>
        <w:t>que en la oportunidad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, </w:t>
      </w:r>
      <w:r>
        <w:rPr>
          <w:rFonts w:ascii="Arial" w:hAnsi="Arial" w:cs="Arial"/>
          <w:b w:val="0"/>
          <w:bCs w:val="0"/>
          <w:lang w:val="es-ES_tradnl"/>
        </w:rPr>
        <w:t xml:space="preserve"> se </w:t>
      </w:r>
      <w:r w:rsidR="00BF4636">
        <w:rPr>
          <w:rFonts w:ascii="Arial" w:hAnsi="Arial" w:cs="Arial"/>
          <w:b w:val="0"/>
          <w:bCs w:val="0"/>
          <w:lang w:val="es-ES_tradnl"/>
        </w:rPr>
        <w:t>informa</w:t>
      </w:r>
      <w:r>
        <w:rPr>
          <w:rFonts w:ascii="Arial" w:hAnsi="Arial" w:cs="Arial"/>
          <w:b w:val="0"/>
          <w:bCs w:val="0"/>
          <w:lang w:val="es-ES_tradnl"/>
        </w:rPr>
        <w:t xml:space="preserve"> que durante las obras han surgido imprevistos que determinan que en caso de no atenderse debidamente en tiempo y forma </w:t>
      </w:r>
      <w:r w:rsidR="002D05B5">
        <w:rPr>
          <w:rFonts w:ascii="Arial" w:hAnsi="Arial" w:cs="Arial"/>
          <w:b w:val="0"/>
          <w:bCs w:val="0"/>
          <w:lang w:val="es-ES_tradnl"/>
        </w:rPr>
        <w:t>los mismos, las obras proyectadas y adjudicadas se resentirían seri</w:t>
      </w:r>
      <w:r w:rsidR="00BF5498">
        <w:rPr>
          <w:rFonts w:ascii="Arial" w:hAnsi="Arial" w:cs="Arial"/>
          <w:b w:val="0"/>
          <w:bCs w:val="0"/>
          <w:lang w:val="es-ES_tradnl"/>
        </w:rPr>
        <w:t>a</w:t>
      </w:r>
      <w:r w:rsidR="002D05B5">
        <w:rPr>
          <w:rFonts w:ascii="Arial" w:hAnsi="Arial" w:cs="Arial"/>
          <w:b w:val="0"/>
          <w:bCs w:val="0"/>
          <w:lang w:val="es-ES_tradnl"/>
        </w:rPr>
        <w:t>mente demorando la solución para los vecinos del complejo;</w:t>
      </w:r>
    </w:p>
    <w:p w:rsidR="00C55E27" w:rsidRDefault="00BF549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b w:val="0"/>
          <w:bCs w:val="0"/>
          <w:lang w:val="es-ES_tradnl"/>
        </w:rPr>
        <w:tab/>
        <w:t xml:space="preserve">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</w:t>
      </w:r>
      <w:r>
        <w:rPr>
          <w:rFonts w:ascii="Arial" w:hAnsi="Arial" w:cs="Arial"/>
          <w:bCs w:val="0"/>
          <w:lang w:val="es-ES_tradnl"/>
        </w:rPr>
        <w:t xml:space="preserve">11) </w:t>
      </w:r>
      <w:r>
        <w:rPr>
          <w:rFonts w:ascii="Arial" w:hAnsi="Arial" w:cs="Arial"/>
          <w:b w:val="0"/>
          <w:bCs w:val="0"/>
          <w:lang w:val="es-ES_tradnl"/>
        </w:rPr>
        <w:t xml:space="preserve">que por Resolución No. 1049 de fecha 21 de agosto de 2018 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 se </w:t>
      </w:r>
      <w:r>
        <w:rPr>
          <w:rFonts w:ascii="Arial" w:hAnsi="Arial" w:cs="Arial"/>
          <w:b w:val="0"/>
          <w:bCs w:val="0"/>
          <w:lang w:val="es-ES_tradnl"/>
        </w:rPr>
        <w:t xml:space="preserve"> solicita al Tribunal de Cuentas la certificación de la configuración de los extremos previstos en el literal C numeral 9 del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Tocaf</w:t>
      </w:r>
      <w:proofErr w:type="spellEnd"/>
      <w:r w:rsidR="00827105">
        <w:rPr>
          <w:rFonts w:ascii="Arial" w:hAnsi="Arial" w:cs="Arial"/>
          <w:b w:val="0"/>
          <w:bCs w:val="0"/>
          <w:lang w:val="es-ES_tradnl"/>
        </w:rPr>
        <w:t xml:space="preserve">, que permitan adquirir en los términos de contratación directa de carácter urgente por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razones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de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excepción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a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la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empresa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</w:t>
      </w:r>
      <w:proofErr w:type="spellStart"/>
      <w:r w:rsidR="00827105">
        <w:rPr>
          <w:rFonts w:ascii="Arial" w:hAnsi="Arial" w:cs="Arial"/>
          <w:b w:val="0"/>
          <w:bCs w:val="0"/>
          <w:lang w:val="es-ES_tradnl"/>
        </w:rPr>
        <w:t>Pilarsyl</w:t>
      </w:r>
      <w:proofErr w:type="spellEnd"/>
      <w:r w:rsidR="00827105">
        <w:rPr>
          <w:rFonts w:ascii="Arial" w:hAnsi="Arial" w:cs="Arial"/>
          <w:b w:val="0"/>
          <w:bCs w:val="0"/>
          <w:lang w:val="es-ES_tradnl"/>
        </w:rPr>
        <w:t xml:space="preserve"> S.A.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</w:t>
      </w:r>
      <w:proofErr w:type="gramStart"/>
      <w:r w:rsidR="00827105">
        <w:rPr>
          <w:rFonts w:ascii="Arial" w:hAnsi="Arial" w:cs="Arial"/>
          <w:b w:val="0"/>
          <w:bCs w:val="0"/>
          <w:lang w:val="es-ES_tradnl"/>
        </w:rPr>
        <w:t>por</w:t>
      </w:r>
      <w:proofErr w:type="gramEnd"/>
      <w:r w:rsidR="00827105">
        <w:rPr>
          <w:rFonts w:ascii="Arial" w:hAnsi="Arial" w:cs="Arial"/>
          <w:b w:val="0"/>
          <w:bCs w:val="0"/>
          <w:lang w:val="es-ES_tradnl"/>
        </w:rPr>
        <w:t xml:space="preserve"> un monto de </w:t>
      </w:r>
    </w:p>
    <w:p w:rsidR="00BF5498" w:rsidRDefault="0082710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$ 7.386.645,31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Iva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y leyes sociales inclu</w:t>
      </w:r>
      <w:r w:rsidR="00C55E27">
        <w:rPr>
          <w:rFonts w:ascii="Arial" w:hAnsi="Arial" w:cs="Arial"/>
          <w:b w:val="0"/>
          <w:bCs w:val="0"/>
          <w:lang w:val="es-ES_tradnl"/>
        </w:rPr>
        <w:t>i</w:t>
      </w:r>
      <w:r>
        <w:rPr>
          <w:rFonts w:ascii="Arial" w:hAnsi="Arial" w:cs="Arial"/>
          <w:b w:val="0"/>
          <w:bCs w:val="0"/>
          <w:lang w:val="es-ES_tradnl"/>
        </w:rPr>
        <w:t>das,</w:t>
      </w:r>
    </w:p>
    <w:p w:rsidR="00827105" w:rsidRPr="00827105" w:rsidRDefault="00827105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ab/>
        <w:t xml:space="preserve">               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                             </w:t>
      </w:r>
      <w:r>
        <w:rPr>
          <w:rFonts w:ascii="Arial" w:hAnsi="Arial" w:cs="Arial"/>
          <w:bCs w:val="0"/>
          <w:lang w:val="es-ES_tradnl"/>
        </w:rPr>
        <w:t xml:space="preserve">12) 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que se informa </w:t>
      </w:r>
      <w:r>
        <w:rPr>
          <w:rFonts w:ascii="Arial" w:hAnsi="Arial" w:cs="Arial"/>
          <w:b w:val="0"/>
          <w:bCs w:val="0"/>
          <w:lang w:val="es-ES_tradnl"/>
        </w:rPr>
        <w:t xml:space="preserve"> que el gasto 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de </w:t>
      </w:r>
      <w:r>
        <w:rPr>
          <w:rFonts w:ascii="Arial" w:hAnsi="Arial" w:cs="Arial"/>
          <w:b w:val="0"/>
          <w:bCs w:val="0"/>
          <w:lang w:val="es-ES_tradnl"/>
        </w:rPr>
        <w:t xml:space="preserve"> esta ampliación se imputa al Rubro 51389, </w:t>
      </w:r>
      <w:r w:rsidR="00BF4636">
        <w:rPr>
          <w:rFonts w:ascii="Arial" w:hAnsi="Arial" w:cs="Arial"/>
          <w:b w:val="0"/>
          <w:bCs w:val="0"/>
          <w:lang w:val="es-ES_tradnl"/>
        </w:rPr>
        <w:t xml:space="preserve">del </w:t>
      </w:r>
      <w:r>
        <w:rPr>
          <w:rFonts w:ascii="Arial" w:hAnsi="Arial" w:cs="Arial"/>
          <w:b w:val="0"/>
          <w:bCs w:val="0"/>
          <w:lang w:val="es-ES_tradnl"/>
        </w:rPr>
        <w:t xml:space="preserve"> Programa “Obras”</w:t>
      </w:r>
      <w:r w:rsidR="00BF4636">
        <w:rPr>
          <w:rFonts w:ascii="Arial" w:hAnsi="Arial" w:cs="Arial"/>
          <w:b w:val="0"/>
          <w:bCs w:val="0"/>
          <w:lang w:val="es-ES_tradnl"/>
        </w:rPr>
        <w:t>,</w:t>
      </w:r>
      <w:r w:rsidR="00C55E27">
        <w:rPr>
          <w:rFonts w:ascii="Arial" w:hAnsi="Arial" w:cs="Arial"/>
          <w:b w:val="0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>existiendo disponibilidad suficiente;</w:t>
      </w:r>
    </w:p>
    <w:p w:rsidR="00BD717E" w:rsidRDefault="00C221D4" w:rsidP="00C55E2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 w:val="0"/>
        </w:rPr>
        <w:t>CONSIDERANDO:</w:t>
      </w:r>
      <w:r>
        <w:rPr>
          <w:rFonts w:ascii="Arial" w:hAnsi="Arial" w:cs="Arial"/>
          <w:b w:val="0"/>
          <w:bCs w:val="0"/>
        </w:rPr>
        <w:t xml:space="preserve"> </w:t>
      </w:r>
      <w:r w:rsidR="00BD717E">
        <w:rPr>
          <w:rFonts w:ascii="Arial" w:hAnsi="Arial" w:cs="Arial"/>
        </w:rPr>
        <w:t>1)</w:t>
      </w:r>
      <w:r w:rsidR="00BD717E" w:rsidRPr="00BD717E">
        <w:rPr>
          <w:rFonts w:ascii="Arial" w:hAnsi="Arial" w:cs="Arial"/>
          <w:b w:val="0"/>
        </w:rPr>
        <w:t xml:space="preserve"> que el </w:t>
      </w:r>
      <w:r w:rsidR="00C55E27">
        <w:rPr>
          <w:rFonts w:ascii="Arial" w:hAnsi="Arial" w:cs="Arial"/>
          <w:b w:val="0"/>
        </w:rPr>
        <w:t>N</w:t>
      </w:r>
      <w:r w:rsidR="00BD717E" w:rsidRPr="00BD717E">
        <w:rPr>
          <w:rFonts w:ascii="Arial" w:hAnsi="Arial" w:cs="Arial"/>
          <w:b w:val="0"/>
        </w:rPr>
        <w:t>umeral 9</w:t>
      </w:r>
      <w:r w:rsidR="00C55E27">
        <w:rPr>
          <w:rFonts w:ascii="Arial" w:hAnsi="Arial" w:cs="Arial"/>
          <w:b w:val="0"/>
        </w:rPr>
        <w:t>)</w:t>
      </w:r>
      <w:r w:rsidR="00BD717E" w:rsidRPr="00BD717E">
        <w:rPr>
          <w:rFonts w:ascii="Arial" w:hAnsi="Arial" w:cs="Arial"/>
          <w:b w:val="0"/>
        </w:rPr>
        <w:t xml:space="preserve"> del </w:t>
      </w:r>
      <w:r w:rsidR="00C55E27">
        <w:rPr>
          <w:rFonts w:ascii="Arial" w:hAnsi="Arial" w:cs="Arial"/>
          <w:b w:val="0"/>
        </w:rPr>
        <w:t>L</w:t>
      </w:r>
      <w:r w:rsidR="00BD717E" w:rsidRPr="00BD717E">
        <w:rPr>
          <w:rFonts w:ascii="Arial" w:hAnsi="Arial" w:cs="Arial"/>
          <w:b w:val="0"/>
        </w:rPr>
        <w:t xml:space="preserve">iteral C) del </w:t>
      </w:r>
      <w:r w:rsidR="00C55E27">
        <w:rPr>
          <w:rFonts w:ascii="Arial" w:hAnsi="Arial" w:cs="Arial"/>
          <w:b w:val="0"/>
        </w:rPr>
        <w:t>A</w:t>
      </w:r>
      <w:r w:rsidR="00BD717E" w:rsidRPr="00BD717E">
        <w:rPr>
          <w:rFonts w:ascii="Arial" w:hAnsi="Arial" w:cs="Arial"/>
          <w:b w:val="0"/>
        </w:rPr>
        <w:t>rtículo 33 del TOCAF autoriza la contratación directa, o por el procedimiento que el ordenador determine cuando medien probadas razones de urgencia no previsibles o no sea posible la realización de licitación o remate público o su realización resienta seriamente el servicio;</w:t>
      </w:r>
    </w:p>
    <w:p w:rsidR="00BD717E" w:rsidRDefault="00BD717E" w:rsidP="00BD717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C55E2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2) </w:t>
      </w:r>
      <w:r w:rsidRPr="00BD717E">
        <w:rPr>
          <w:rFonts w:ascii="Arial" w:hAnsi="Arial" w:cs="Arial"/>
          <w:b w:val="0"/>
        </w:rPr>
        <w:t xml:space="preserve">que el precitado </w:t>
      </w:r>
      <w:r w:rsidR="00C55E27">
        <w:rPr>
          <w:rFonts w:ascii="Arial" w:hAnsi="Arial" w:cs="Arial"/>
          <w:b w:val="0"/>
        </w:rPr>
        <w:t>A</w:t>
      </w:r>
      <w:r w:rsidRPr="00BD717E">
        <w:rPr>
          <w:rFonts w:ascii="Arial" w:hAnsi="Arial" w:cs="Arial"/>
          <w:b w:val="0"/>
        </w:rPr>
        <w:t xml:space="preserve">rtículo 33 del TOCAF establece que los procedimientos amparados en la excepción del </w:t>
      </w:r>
      <w:r w:rsidR="00C55E27">
        <w:rPr>
          <w:rFonts w:ascii="Arial" w:hAnsi="Arial" w:cs="Arial"/>
          <w:b w:val="0"/>
        </w:rPr>
        <w:t>L</w:t>
      </w:r>
      <w:r w:rsidRPr="00BD717E">
        <w:rPr>
          <w:rFonts w:ascii="Arial" w:hAnsi="Arial" w:cs="Arial"/>
          <w:b w:val="0"/>
        </w:rPr>
        <w:t xml:space="preserve">iteral C) </w:t>
      </w:r>
      <w:r w:rsidR="00C55E27">
        <w:rPr>
          <w:rFonts w:ascii="Arial" w:hAnsi="Arial" w:cs="Arial"/>
          <w:b w:val="0"/>
        </w:rPr>
        <w:t>N</w:t>
      </w:r>
      <w:r w:rsidRPr="00BD717E">
        <w:rPr>
          <w:rFonts w:ascii="Arial" w:hAnsi="Arial" w:cs="Arial"/>
          <w:b w:val="0"/>
        </w:rPr>
        <w:t>umeral 9</w:t>
      </w:r>
      <w:r w:rsidR="00C55E27">
        <w:rPr>
          <w:rFonts w:ascii="Arial" w:hAnsi="Arial" w:cs="Arial"/>
          <w:b w:val="0"/>
        </w:rPr>
        <w:t>)</w:t>
      </w:r>
      <w:r w:rsidRPr="00BD717E">
        <w:rPr>
          <w:rFonts w:ascii="Arial" w:hAnsi="Arial" w:cs="Arial"/>
          <w:b w:val="0"/>
        </w:rPr>
        <w:t xml:space="preserve"> deberán contar</w:t>
      </w:r>
      <w:r w:rsidR="00BF4636">
        <w:rPr>
          <w:rFonts w:ascii="Arial" w:hAnsi="Arial" w:cs="Arial"/>
          <w:b w:val="0"/>
        </w:rPr>
        <w:t>, para las Intendencias</w:t>
      </w:r>
      <w:r w:rsidRPr="00BD717E">
        <w:rPr>
          <w:rFonts w:ascii="Arial" w:hAnsi="Arial" w:cs="Arial"/>
          <w:b w:val="0"/>
        </w:rPr>
        <w:t xml:space="preserve"> con la certificación del </w:t>
      </w:r>
      <w:r w:rsidR="00BF4636">
        <w:rPr>
          <w:rFonts w:ascii="Arial" w:hAnsi="Arial" w:cs="Arial"/>
          <w:b w:val="0"/>
        </w:rPr>
        <w:t xml:space="preserve">Tribunal de </w:t>
      </w:r>
      <w:r w:rsidR="00BF4636">
        <w:rPr>
          <w:rFonts w:ascii="Arial" w:hAnsi="Arial" w:cs="Arial"/>
          <w:b w:val="0"/>
        </w:rPr>
        <w:lastRenderedPageBreak/>
        <w:t xml:space="preserve">Cuentas </w:t>
      </w:r>
      <w:r w:rsidRPr="00BD717E">
        <w:rPr>
          <w:rFonts w:ascii="Arial" w:hAnsi="Arial" w:cs="Arial"/>
          <w:b w:val="0"/>
        </w:rPr>
        <w:t xml:space="preserve"> tanto en la configuración de los extremos que habilitan la causal como los precios y condiciones que corresponden al mercado.</w:t>
      </w:r>
      <w:r>
        <w:rPr>
          <w:rFonts w:ascii="Arial" w:hAnsi="Arial" w:cs="Arial"/>
        </w:rPr>
        <w:t xml:space="preserve"> </w:t>
      </w:r>
    </w:p>
    <w:p w:rsidR="00BD717E" w:rsidRPr="00BD717E" w:rsidRDefault="00BD717E" w:rsidP="00BD717E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</w:t>
      </w:r>
      <w:r w:rsidR="00C55E27">
        <w:rPr>
          <w:rFonts w:ascii="Arial" w:hAnsi="Arial" w:cs="Arial"/>
        </w:rPr>
        <w:t xml:space="preserve"> </w:t>
      </w:r>
      <w:r w:rsidR="001241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BD717E">
        <w:rPr>
          <w:rFonts w:ascii="Arial" w:hAnsi="Arial" w:cs="Arial"/>
          <w:b w:val="0"/>
        </w:rPr>
        <w:t>que por Resolución de fecha 14/08/1996 este Tribunal dispuso que</w:t>
      </w:r>
      <w:r w:rsidR="00BF4636">
        <w:rPr>
          <w:rFonts w:ascii="Arial" w:hAnsi="Arial" w:cs="Arial"/>
          <w:b w:val="0"/>
        </w:rPr>
        <w:t>,</w:t>
      </w:r>
      <w:r w:rsidRPr="00BD717E">
        <w:rPr>
          <w:rFonts w:ascii="Arial" w:hAnsi="Arial" w:cs="Arial"/>
          <w:b w:val="0"/>
        </w:rPr>
        <w:t xml:space="preserve"> en oportunidad de solicitarse la certificación correspondiente</w:t>
      </w:r>
      <w:r w:rsidR="00BF4636">
        <w:rPr>
          <w:rFonts w:ascii="Arial" w:hAnsi="Arial" w:cs="Arial"/>
          <w:b w:val="0"/>
        </w:rPr>
        <w:t>,</w:t>
      </w:r>
      <w:r w:rsidRPr="00BD717E">
        <w:rPr>
          <w:rFonts w:ascii="Arial" w:hAnsi="Arial" w:cs="Arial"/>
          <w:b w:val="0"/>
        </w:rPr>
        <w:t xml:space="preserve"> debe proporcionarse todos los elementos y datos que permitan certificar que los precios y condiciones de la contratación a realizar son los que corresponden al mercado a cuyos efectos podrá tenerse en cuenta precios y condiciones que rigieron en un procedimiento anterior, precios eventualmente cotizados por diversas firmas en procedimientos similares del mismo o de otro Organismo, debidamente fundado;-</w:t>
      </w:r>
    </w:p>
    <w:p w:rsidR="00C221D4" w:rsidRDefault="00BD717E" w:rsidP="00BD717E">
      <w:pPr>
        <w:spacing w:line="360" w:lineRule="auto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</w:rPr>
        <w:t xml:space="preserve">                                         </w:t>
      </w:r>
      <w:r w:rsidR="00BF4636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="00C221D4">
        <w:rPr>
          <w:rFonts w:ascii="Arial" w:hAnsi="Arial" w:cs="Arial"/>
          <w:lang w:val="es-MX"/>
        </w:rPr>
        <w:t xml:space="preserve"> </w:t>
      </w:r>
      <w:r w:rsidR="00827105">
        <w:rPr>
          <w:rFonts w:ascii="Arial" w:hAnsi="Arial" w:cs="Arial"/>
          <w:b w:val="0"/>
          <w:lang w:val="es-MX"/>
        </w:rPr>
        <w:t>que la Intendencia de Rio Negro no ha remitido la información que permita determinar condiciones y valores del mercado para la adquisición que se proyecta;</w:t>
      </w:r>
    </w:p>
    <w:p w:rsidR="00D44785" w:rsidRDefault="00827105" w:rsidP="00C221D4">
      <w:pPr>
        <w:tabs>
          <w:tab w:val="left" w:pos="2268"/>
        </w:tabs>
        <w:spacing w:line="360" w:lineRule="auto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</w:t>
      </w:r>
      <w:r w:rsidR="00D44785">
        <w:rPr>
          <w:rFonts w:ascii="Arial" w:hAnsi="Arial" w:cs="Arial"/>
          <w:lang w:val="es-MX"/>
        </w:rPr>
        <w:t xml:space="preserve">        </w:t>
      </w:r>
      <w:r w:rsidR="00C55E27">
        <w:rPr>
          <w:rFonts w:ascii="Arial" w:hAnsi="Arial" w:cs="Arial"/>
          <w:lang w:val="es-MX"/>
        </w:rPr>
        <w:t xml:space="preserve"> </w:t>
      </w:r>
      <w:r w:rsidR="00BF4636">
        <w:rPr>
          <w:rFonts w:ascii="Arial" w:hAnsi="Arial" w:cs="Arial"/>
          <w:lang w:val="es-MX"/>
        </w:rPr>
        <w:t>5</w:t>
      </w:r>
      <w:r w:rsidR="00D44785">
        <w:rPr>
          <w:rFonts w:ascii="Arial" w:hAnsi="Arial" w:cs="Arial"/>
          <w:lang w:val="es-MX"/>
        </w:rPr>
        <w:t>)</w:t>
      </w:r>
      <w:r w:rsidR="00C221D4">
        <w:rPr>
          <w:rFonts w:ascii="Arial" w:hAnsi="Arial" w:cs="Arial"/>
          <w:b w:val="0"/>
          <w:lang w:val="es-MX"/>
        </w:rPr>
        <w:t xml:space="preserve"> que </w:t>
      </w:r>
      <w:r w:rsidR="00D44785">
        <w:rPr>
          <w:rFonts w:ascii="Arial" w:hAnsi="Arial" w:cs="Arial"/>
          <w:b w:val="0"/>
          <w:lang w:val="es-MX"/>
        </w:rPr>
        <w:t>en la especie no se han configurado los extremos requeridos por la causal de excepción invocada, cuando se invoquen razones de urgencia o imprevistos de carácter excepcional deberán fundarse adecuadamente y en el primer caso informar sobre la imposibilidad de la previsión en tiempo (</w:t>
      </w:r>
      <w:r w:rsidR="00C55E27">
        <w:rPr>
          <w:rFonts w:ascii="Arial" w:hAnsi="Arial" w:cs="Arial"/>
          <w:b w:val="0"/>
          <w:lang w:val="es-MX"/>
        </w:rPr>
        <w:t>A</w:t>
      </w:r>
      <w:r w:rsidR="00D44785">
        <w:rPr>
          <w:rFonts w:ascii="Arial" w:hAnsi="Arial" w:cs="Arial"/>
          <w:b w:val="0"/>
          <w:lang w:val="es-MX"/>
        </w:rPr>
        <w:t xml:space="preserve">rt. 157 del </w:t>
      </w:r>
      <w:proofErr w:type="spellStart"/>
      <w:r w:rsidR="00D44785">
        <w:rPr>
          <w:rFonts w:ascii="Arial" w:hAnsi="Arial" w:cs="Arial"/>
          <w:b w:val="0"/>
          <w:lang w:val="es-MX"/>
        </w:rPr>
        <w:t>Tocaf</w:t>
      </w:r>
      <w:proofErr w:type="spellEnd"/>
      <w:r w:rsidR="00D44785">
        <w:rPr>
          <w:rFonts w:ascii="Arial" w:hAnsi="Arial" w:cs="Arial"/>
          <w:b w:val="0"/>
          <w:lang w:val="es-MX"/>
        </w:rPr>
        <w:t>), lo cual no se acreditado en el caso;</w:t>
      </w:r>
      <w:r w:rsidR="0015709B">
        <w:rPr>
          <w:rFonts w:ascii="Arial" w:hAnsi="Arial" w:cs="Arial"/>
          <w:b w:val="0"/>
          <w:lang w:val="es-MX"/>
        </w:rPr>
        <w:tab/>
      </w:r>
      <w:r w:rsidR="00D44785">
        <w:rPr>
          <w:rFonts w:ascii="Arial" w:hAnsi="Arial" w:cs="Arial"/>
          <w:b w:val="0"/>
          <w:lang w:val="es-MX"/>
        </w:rPr>
        <w:t xml:space="preserve">      </w:t>
      </w:r>
    </w:p>
    <w:p w:rsidR="0015709B" w:rsidRDefault="00D44785" w:rsidP="00C221D4">
      <w:pPr>
        <w:tabs>
          <w:tab w:val="left" w:pos="2268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lang w:val="es-MX"/>
        </w:rPr>
        <w:t xml:space="preserve">                                      </w:t>
      </w:r>
      <w:r w:rsidR="00C55E27">
        <w:rPr>
          <w:rFonts w:ascii="Arial" w:hAnsi="Arial" w:cs="Arial"/>
          <w:b w:val="0"/>
          <w:lang w:val="es-MX"/>
        </w:rPr>
        <w:t xml:space="preserve">  </w:t>
      </w:r>
      <w:r w:rsidR="00BF4636" w:rsidRPr="00C55E27">
        <w:rPr>
          <w:rFonts w:ascii="Arial" w:hAnsi="Arial" w:cs="Arial"/>
          <w:lang w:val="es-MX"/>
        </w:rPr>
        <w:t>6</w:t>
      </w:r>
      <w:r w:rsidR="0015709B">
        <w:rPr>
          <w:rFonts w:ascii="Arial" w:hAnsi="Arial" w:cs="Arial"/>
          <w:lang w:val="es-MX"/>
        </w:rPr>
        <w:t>)</w:t>
      </w:r>
      <w:r w:rsidR="004F5BD9">
        <w:rPr>
          <w:rFonts w:ascii="Arial" w:hAnsi="Arial" w:cs="Arial"/>
          <w:lang w:val="es-MX"/>
        </w:rPr>
        <w:t xml:space="preserve"> </w:t>
      </w:r>
      <w:r w:rsidR="004F5BD9">
        <w:rPr>
          <w:rFonts w:ascii="Arial" w:hAnsi="Arial" w:cs="Arial"/>
          <w:b w:val="0"/>
          <w:lang w:val="es-MX"/>
        </w:rPr>
        <w:t xml:space="preserve">que </w:t>
      </w:r>
      <w:r>
        <w:rPr>
          <w:rFonts w:ascii="Arial" w:hAnsi="Arial" w:cs="Arial"/>
          <w:b w:val="0"/>
          <w:lang w:val="es-MX"/>
        </w:rPr>
        <w:t xml:space="preserve">esta nueva contratación </w:t>
      </w:r>
      <w:r w:rsidR="00BF4636">
        <w:rPr>
          <w:rFonts w:ascii="Arial" w:hAnsi="Arial" w:cs="Arial"/>
          <w:b w:val="0"/>
          <w:lang w:val="es-MX"/>
        </w:rPr>
        <w:t xml:space="preserve">queda afectada por la </w:t>
      </w:r>
      <w:r>
        <w:rPr>
          <w:rFonts w:ascii="Arial" w:hAnsi="Arial" w:cs="Arial"/>
          <w:b w:val="0"/>
          <w:lang w:val="es-MX"/>
        </w:rPr>
        <w:t xml:space="preserve"> observación formulada por este Tribunal el 1/11/17 (Resultando8), en cuanto</w:t>
      </w:r>
      <w:r w:rsidR="004F5BD9">
        <w:rPr>
          <w:rFonts w:ascii="Arial" w:hAnsi="Arial" w:cs="Arial"/>
          <w:b w:val="0"/>
          <w:bCs w:val="0"/>
        </w:rPr>
        <w:t xml:space="preserve"> se destinan fondos </w:t>
      </w:r>
      <w:r>
        <w:rPr>
          <w:rFonts w:ascii="Arial" w:hAnsi="Arial" w:cs="Arial"/>
          <w:b w:val="0"/>
          <w:bCs w:val="0"/>
        </w:rPr>
        <w:t xml:space="preserve">propios </w:t>
      </w:r>
      <w:r w:rsidR="004F5BD9">
        <w:rPr>
          <w:rFonts w:ascii="Arial" w:hAnsi="Arial" w:cs="Arial"/>
          <w:b w:val="0"/>
          <w:bCs w:val="0"/>
        </w:rPr>
        <w:t>para la construcción o refacción de viviendas, competencias  que no se encuentran dentro de las atribuidas a los Gobiernos Departamentales, ya que las mismas corresponden al Ministerio de Vivienda, Ordenamiento Territorial y Medio Ambiente, el Banco Hipotecario del Uruguay y la Agencia Nacional de Vivienda;</w:t>
      </w:r>
    </w:p>
    <w:p w:rsidR="00D44785" w:rsidRPr="00D44785" w:rsidRDefault="00D44785" w:rsidP="00C221D4">
      <w:pPr>
        <w:tabs>
          <w:tab w:val="left" w:pos="2268"/>
        </w:tabs>
        <w:spacing w:line="360" w:lineRule="auto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 w:val="0"/>
          <w:bCs w:val="0"/>
        </w:rPr>
        <w:t xml:space="preserve">                                      </w:t>
      </w:r>
      <w:r w:rsidR="00C55E27">
        <w:rPr>
          <w:rFonts w:ascii="Arial" w:hAnsi="Arial" w:cs="Arial"/>
          <w:b w:val="0"/>
          <w:bCs w:val="0"/>
        </w:rPr>
        <w:t xml:space="preserve">   </w:t>
      </w:r>
      <w:r w:rsidR="00124171" w:rsidRPr="00124171">
        <w:rPr>
          <w:rFonts w:ascii="Arial" w:hAnsi="Arial" w:cs="Arial"/>
          <w:bCs w:val="0"/>
        </w:rPr>
        <w:t>7</w:t>
      </w:r>
      <w:r>
        <w:rPr>
          <w:rFonts w:ascii="Arial" w:hAnsi="Arial" w:cs="Arial"/>
          <w:bCs w:val="0"/>
        </w:rPr>
        <w:t xml:space="preserve">) </w:t>
      </w:r>
      <w:r>
        <w:rPr>
          <w:rFonts w:ascii="Arial" w:hAnsi="Arial" w:cs="Arial"/>
          <w:b w:val="0"/>
          <w:bCs w:val="0"/>
        </w:rPr>
        <w:t xml:space="preserve">que mediante sucesivas contrataciones, una </w:t>
      </w:r>
      <w:r w:rsidR="00BF4636">
        <w:rPr>
          <w:rFonts w:ascii="Arial" w:hAnsi="Arial" w:cs="Arial"/>
          <w:b w:val="0"/>
          <w:bCs w:val="0"/>
        </w:rPr>
        <w:t>licitación,</w:t>
      </w:r>
      <w:r>
        <w:rPr>
          <w:rFonts w:ascii="Arial" w:hAnsi="Arial" w:cs="Arial"/>
          <w:b w:val="0"/>
          <w:bCs w:val="0"/>
        </w:rPr>
        <w:t xml:space="preserve"> una compra directa, una ampliación del 100% de la misma y ahora una nueva compra directa no puede incumplirse el tope establecido por el </w:t>
      </w:r>
      <w:r w:rsidR="00124171">
        <w:rPr>
          <w:rFonts w:ascii="Arial" w:hAnsi="Arial" w:cs="Arial"/>
          <w:b w:val="0"/>
          <w:bCs w:val="0"/>
        </w:rPr>
        <w:t>A</w:t>
      </w:r>
      <w:r>
        <w:rPr>
          <w:rFonts w:ascii="Arial" w:hAnsi="Arial" w:cs="Arial"/>
          <w:b w:val="0"/>
          <w:bCs w:val="0"/>
        </w:rPr>
        <w:t xml:space="preserve">rt. 74 del </w:t>
      </w:r>
      <w:proofErr w:type="spellStart"/>
      <w:r>
        <w:rPr>
          <w:rFonts w:ascii="Arial" w:hAnsi="Arial" w:cs="Arial"/>
          <w:b w:val="0"/>
          <w:bCs w:val="0"/>
        </w:rPr>
        <w:t>Tocaf</w:t>
      </w:r>
      <w:proofErr w:type="spellEnd"/>
      <w:r>
        <w:rPr>
          <w:rFonts w:ascii="Arial" w:hAnsi="Arial" w:cs="Arial"/>
          <w:b w:val="0"/>
          <w:bCs w:val="0"/>
        </w:rPr>
        <w:t xml:space="preserve">; </w:t>
      </w:r>
    </w:p>
    <w:p w:rsidR="00C221D4" w:rsidRPr="00124171" w:rsidRDefault="00C221D4" w:rsidP="00124171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>ATENTO:</w:t>
      </w:r>
      <w:r>
        <w:rPr>
          <w:rFonts w:ascii="Arial" w:hAnsi="Arial" w:cs="Arial"/>
          <w:b w:val="0"/>
        </w:rPr>
        <w:t xml:space="preserve"> a lo precedentemente expuesto y a lo dispuesto por el </w:t>
      </w:r>
      <w:r w:rsidR="00124171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rtículo </w:t>
      </w:r>
      <w:r w:rsidRPr="00124171">
        <w:rPr>
          <w:rFonts w:ascii="Arial" w:hAnsi="Arial" w:cs="Arial"/>
          <w:b w:val="0"/>
        </w:rPr>
        <w:t xml:space="preserve">211 </w:t>
      </w:r>
      <w:r w:rsidR="00124171" w:rsidRPr="00124171">
        <w:rPr>
          <w:rFonts w:ascii="Arial" w:hAnsi="Arial" w:cs="Arial"/>
          <w:b w:val="0"/>
        </w:rPr>
        <w:t>L</w:t>
      </w:r>
      <w:r w:rsidRPr="00124171">
        <w:rPr>
          <w:rFonts w:ascii="Arial" w:hAnsi="Arial" w:cs="Arial"/>
          <w:b w:val="0"/>
        </w:rPr>
        <w:t>iteral B) de la Constitución de la República;</w:t>
      </w:r>
    </w:p>
    <w:p w:rsidR="00C221D4" w:rsidRPr="00124171" w:rsidRDefault="00C221D4" w:rsidP="00124171">
      <w:pPr>
        <w:pStyle w:val="Ttulo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124171">
        <w:rPr>
          <w:rFonts w:ascii="Arial" w:hAnsi="Arial" w:cs="Arial"/>
          <w:sz w:val="24"/>
          <w:szCs w:val="24"/>
        </w:rPr>
        <w:t>EL TRIBUNAL ACUERDA:</w:t>
      </w:r>
    </w:p>
    <w:p w:rsidR="00C221D4" w:rsidRPr="00124171" w:rsidRDefault="004F5BD9" w:rsidP="0012417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lang w:val="es-MX"/>
        </w:rPr>
      </w:pPr>
      <w:r w:rsidRPr="00124171">
        <w:rPr>
          <w:rFonts w:ascii="Arial" w:hAnsi="Arial" w:cs="Arial"/>
          <w:b w:val="0"/>
          <w:lang w:val="es-MX"/>
        </w:rPr>
        <w:t>Observar el gasto</w:t>
      </w:r>
      <w:r w:rsidR="00C221D4" w:rsidRPr="00124171">
        <w:rPr>
          <w:rFonts w:ascii="Arial" w:hAnsi="Arial" w:cs="Arial"/>
          <w:b w:val="0"/>
          <w:lang w:val="es-MX"/>
        </w:rPr>
        <w:t>;</w:t>
      </w:r>
      <w:r w:rsidR="00124171">
        <w:rPr>
          <w:rFonts w:ascii="Arial" w:hAnsi="Arial" w:cs="Arial"/>
          <w:b w:val="0"/>
          <w:lang w:val="es-MX"/>
        </w:rPr>
        <w:t xml:space="preserve"> y</w:t>
      </w:r>
    </w:p>
    <w:p w:rsidR="00C221D4" w:rsidRPr="00124171" w:rsidRDefault="00C221D4" w:rsidP="0012417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</w:rPr>
      </w:pPr>
      <w:r w:rsidRPr="00124171">
        <w:rPr>
          <w:rFonts w:ascii="Arial" w:hAnsi="Arial" w:cs="Arial"/>
          <w:b w:val="0"/>
          <w:lang w:val="es-MX"/>
        </w:rPr>
        <w:t>D</w:t>
      </w:r>
      <w:r w:rsidR="004F5BD9" w:rsidRPr="00124171">
        <w:rPr>
          <w:rFonts w:ascii="Arial" w:hAnsi="Arial" w:cs="Arial"/>
          <w:b w:val="0"/>
          <w:lang w:val="es-MX"/>
        </w:rPr>
        <w:t>evolver las actuaciones</w:t>
      </w:r>
      <w:r w:rsidR="00124171">
        <w:rPr>
          <w:rFonts w:ascii="Arial" w:hAnsi="Arial" w:cs="Arial"/>
          <w:b w:val="0"/>
          <w:lang w:val="es-MX"/>
        </w:rPr>
        <w:t>.</w:t>
      </w:r>
    </w:p>
    <w:p w:rsidR="00C221D4" w:rsidRDefault="00C221D4" w:rsidP="00C221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124171" w:rsidRDefault="00124171" w:rsidP="00C221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124171" w:rsidRDefault="00124171" w:rsidP="00C221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124171" w:rsidRDefault="00124171" w:rsidP="00C221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124171" w:rsidRDefault="00124171" w:rsidP="00C221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124171" w:rsidSect="0012417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C5D756C"/>
    <w:multiLevelType w:val="singleLevel"/>
    <w:tmpl w:val="AF74A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9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1"/>
    <w:rsid w:val="00124171"/>
    <w:rsid w:val="00150B43"/>
    <w:rsid w:val="0015709B"/>
    <w:rsid w:val="002D05B5"/>
    <w:rsid w:val="00344DD5"/>
    <w:rsid w:val="0035232D"/>
    <w:rsid w:val="004F5BD9"/>
    <w:rsid w:val="00535095"/>
    <w:rsid w:val="007C1C72"/>
    <w:rsid w:val="007D26A3"/>
    <w:rsid w:val="007F62BB"/>
    <w:rsid w:val="00827105"/>
    <w:rsid w:val="008B4735"/>
    <w:rsid w:val="009364F6"/>
    <w:rsid w:val="00966E77"/>
    <w:rsid w:val="00A67893"/>
    <w:rsid w:val="00B8152D"/>
    <w:rsid w:val="00BD0841"/>
    <w:rsid w:val="00BD717E"/>
    <w:rsid w:val="00BF4636"/>
    <w:rsid w:val="00BF5498"/>
    <w:rsid w:val="00C221D4"/>
    <w:rsid w:val="00C55E27"/>
    <w:rsid w:val="00C62FE3"/>
    <w:rsid w:val="00D44785"/>
    <w:rsid w:val="00EC4408"/>
    <w:rsid w:val="00FD37DD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2017-17-1-002627</vt:lpstr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2017-17-1-002627</dc:title>
  <dc:creator>Tribunal1</dc:creator>
  <cp:lastModifiedBy>Miriam Cristina Rivero</cp:lastModifiedBy>
  <cp:revision>2</cp:revision>
  <cp:lastPrinted>2018-09-24T19:13:00Z</cp:lastPrinted>
  <dcterms:created xsi:type="dcterms:W3CDTF">2018-09-24T19:13:00Z</dcterms:created>
  <dcterms:modified xsi:type="dcterms:W3CDTF">2018-09-24T19:13:00Z</dcterms:modified>
</cp:coreProperties>
</file>