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581" w:rsidRPr="00786EEB" w:rsidRDefault="00240581"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2967/18</w:t>
      </w:r>
    </w:p>
    <w:p w:rsidR="00240581" w:rsidRDefault="00240581" w:rsidP="00786EEB">
      <w:pPr>
        <w:tabs>
          <w:tab w:val="center" w:pos="4253"/>
        </w:tabs>
        <w:suppressAutoHyphens/>
        <w:jc w:val="right"/>
        <w:rPr>
          <w:rFonts w:cs="Arial"/>
          <w:b/>
          <w:lang w:val="es-ES_tradnl"/>
        </w:rPr>
      </w:pPr>
    </w:p>
    <w:p w:rsidR="00240581" w:rsidRPr="00762B34" w:rsidRDefault="00240581">
      <w:pPr>
        <w:tabs>
          <w:tab w:val="center" w:pos="4253"/>
        </w:tabs>
        <w:suppressAutoHyphens/>
        <w:jc w:val="center"/>
        <w:rPr>
          <w:rFonts w:cs="Arial"/>
          <w:b/>
          <w:lang w:val="es-ES_tradnl"/>
        </w:rPr>
      </w:pPr>
      <w:r w:rsidRPr="00762B34">
        <w:rPr>
          <w:rFonts w:cs="Arial"/>
          <w:b/>
          <w:lang w:val="es-ES_tradnl"/>
        </w:rPr>
        <w:t>RESOLUCION ADOPTADA POR EL</w:t>
      </w:r>
    </w:p>
    <w:p w:rsidR="00240581" w:rsidRPr="00762B34" w:rsidRDefault="00240581">
      <w:pPr>
        <w:tabs>
          <w:tab w:val="left" w:pos="-720"/>
        </w:tabs>
        <w:suppressAutoHyphens/>
        <w:jc w:val="center"/>
        <w:rPr>
          <w:rFonts w:cs="Arial"/>
          <w:b/>
          <w:lang w:val="es-ES_tradnl"/>
        </w:rPr>
      </w:pPr>
    </w:p>
    <w:p w:rsidR="00240581" w:rsidRPr="00762B34" w:rsidRDefault="00240581">
      <w:pPr>
        <w:tabs>
          <w:tab w:val="center" w:pos="4253"/>
        </w:tabs>
        <w:suppressAutoHyphens/>
        <w:jc w:val="center"/>
        <w:rPr>
          <w:rFonts w:cs="Arial"/>
          <w:b/>
          <w:lang w:val="es-ES_tradnl"/>
        </w:rPr>
      </w:pPr>
      <w:r w:rsidRPr="00762B34">
        <w:rPr>
          <w:rFonts w:cs="Arial"/>
          <w:b/>
          <w:lang w:val="es-ES_tradnl"/>
        </w:rPr>
        <w:t>TRIBUNAL DE CUENTAS</w:t>
      </w:r>
    </w:p>
    <w:p w:rsidR="00240581" w:rsidRPr="00762B34" w:rsidRDefault="00240581">
      <w:pPr>
        <w:tabs>
          <w:tab w:val="left" w:pos="-720"/>
        </w:tabs>
        <w:suppressAutoHyphens/>
        <w:jc w:val="center"/>
        <w:rPr>
          <w:rFonts w:cs="Arial"/>
          <w:b/>
          <w:lang w:val="es-ES_tradnl"/>
        </w:rPr>
      </w:pPr>
    </w:p>
    <w:p w:rsidR="00240581" w:rsidRPr="00762B34" w:rsidRDefault="0024058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19 DE SETIEMBRE </w:t>
      </w:r>
      <w:r>
        <w:rPr>
          <w:rFonts w:ascii="Helvetica" w:hAnsi="Helvetica"/>
          <w:b/>
          <w:lang w:val="es-ES_tradnl"/>
        </w:rPr>
        <w:t>DE 2018</w:t>
      </w:r>
    </w:p>
    <w:p w:rsidR="00240581" w:rsidRPr="00762B34" w:rsidRDefault="00240581">
      <w:pPr>
        <w:tabs>
          <w:tab w:val="center" w:pos="4253"/>
        </w:tabs>
        <w:suppressAutoHyphens/>
        <w:jc w:val="center"/>
        <w:rPr>
          <w:rFonts w:cs="Arial"/>
          <w:b/>
          <w:lang w:val="es-ES_tradnl"/>
        </w:rPr>
      </w:pPr>
    </w:p>
    <w:p w:rsidR="00240581" w:rsidRDefault="00240581">
      <w:pPr>
        <w:tabs>
          <w:tab w:val="center" w:pos="4253"/>
        </w:tabs>
        <w:suppressAutoHyphens/>
        <w:jc w:val="center"/>
        <w:rPr>
          <w:rFonts w:cs="Arial"/>
          <w:b/>
          <w:lang w:val="es-UY"/>
        </w:rPr>
      </w:pPr>
      <w:r w:rsidRPr="00FA6829">
        <w:rPr>
          <w:rFonts w:cs="Arial"/>
          <w:b/>
          <w:lang w:val="es-UY"/>
        </w:rPr>
        <w:t xml:space="preserve">(E. E. Nº 2018-17-1-0005564, </w:t>
      </w:r>
      <w:proofErr w:type="spellStart"/>
      <w:r w:rsidRPr="00FA6829">
        <w:rPr>
          <w:rFonts w:cs="Arial"/>
          <w:b/>
          <w:lang w:val="es-UY"/>
        </w:rPr>
        <w:t>Ent</w:t>
      </w:r>
      <w:proofErr w:type="spellEnd"/>
      <w:r w:rsidRPr="00FA6829">
        <w:rPr>
          <w:rFonts w:cs="Arial"/>
          <w:b/>
          <w:lang w:val="es-UY"/>
        </w:rPr>
        <w:t>. N° 4286/18)</w:t>
      </w:r>
    </w:p>
    <w:p w:rsidR="00712BB7" w:rsidRPr="00FA6829" w:rsidRDefault="00712BB7">
      <w:pPr>
        <w:tabs>
          <w:tab w:val="center" w:pos="4253"/>
        </w:tabs>
        <w:suppressAutoHyphens/>
        <w:jc w:val="center"/>
        <w:rPr>
          <w:rFonts w:cs="Arial"/>
          <w:b/>
          <w:lang w:val="es-UY"/>
        </w:rPr>
      </w:pPr>
    </w:p>
    <w:p w:rsidR="00240581" w:rsidRPr="00FA6829" w:rsidRDefault="00240581">
      <w:pPr>
        <w:tabs>
          <w:tab w:val="center" w:pos="4253"/>
        </w:tabs>
        <w:suppressAutoHyphens/>
        <w:jc w:val="center"/>
        <w:rPr>
          <w:rFonts w:ascii="Helvetica" w:hAnsi="Helvetica"/>
          <w:b/>
          <w:lang w:val="es-UY"/>
        </w:rPr>
      </w:pPr>
    </w:p>
    <w:p w:rsidR="00240581" w:rsidRDefault="0076246A" w:rsidP="00240581">
      <w:pPr>
        <w:pStyle w:val="Textoindependiente"/>
        <w:ind w:firstLine="851"/>
      </w:pPr>
      <w:r>
        <w:rPr>
          <w:b/>
        </w:rPr>
        <w:t>VISTO:</w:t>
      </w:r>
      <w:r w:rsidR="00240581">
        <w:t xml:space="preserve"> el p</w:t>
      </w:r>
      <w:r>
        <w:t xml:space="preserve">royecto de </w:t>
      </w:r>
      <w:r w:rsidR="000225F3">
        <w:t xml:space="preserve">Modificación </w:t>
      </w:r>
      <w:r>
        <w:t>Presupuest</w:t>
      </w:r>
      <w:r w:rsidR="000225F3">
        <w:t>al</w:t>
      </w:r>
      <w:r>
        <w:t xml:space="preserve"> de la Intendencia de </w:t>
      </w:r>
      <w:r w:rsidR="00E60184">
        <w:t>Rocha</w:t>
      </w:r>
      <w:r w:rsidR="00F62E30">
        <w:t xml:space="preserve"> para </w:t>
      </w:r>
      <w:r w:rsidR="00CF48CC">
        <w:t>el período</w:t>
      </w:r>
      <w:r w:rsidR="00F62E30">
        <w:t xml:space="preserve"> 2019</w:t>
      </w:r>
      <w:r>
        <w:t>-2020;</w:t>
      </w:r>
    </w:p>
    <w:p w:rsidR="00240581" w:rsidRDefault="0076246A" w:rsidP="00240581">
      <w:pPr>
        <w:pStyle w:val="Textoindependiente"/>
        <w:ind w:firstLine="851"/>
      </w:pPr>
      <w:r>
        <w:rPr>
          <w:b/>
        </w:rPr>
        <w:t>CONSIDERANDO:</w:t>
      </w:r>
      <w:r>
        <w:t xml:space="preserve"> </w:t>
      </w:r>
      <w:r>
        <w:rPr>
          <w:b/>
        </w:rPr>
        <w:t xml:space="preserve">1) </w:t>
      </w:r>
      <w:r w:rsidR="00240581">
        <w:rPr>
          <w:bCs/>
        </w:rPr>
        <w:t>que se ha dado cumplimiento con</w:t>
      </w:r>
      <w:r>
        <w:rPr>
          <w:bCs/>
        </w:rPr>
        <w:t xml:space="preserve"> lo dispuesto por los Artículos</w:t>
      </w:r>
      <w:r>
        <w:t xml:space="preserve"> 223 al 225 de la Constitución de la República;</w:t>
      </w:r>
    </w:p>
    <w:p w:rsidR="0076246A" w:rsidRDefault="00F823D1" w:rsidP="00F823D1">
      <w:pPr>
        <w:pStyle w:val="Textoindependiente"/>
        <w:ind w:firstLine="2977"/>
      </w:pPr>
      <w:r>
        <w:rPr>
          <w:b/>
          <w:bCs/>
        </w:rPr>
        <w:t xml:space="preserve"> </w:t>
      </w:r>
      <w:r w:rsidR="0076246A">
        <w:rPr>
          <w:b/>
          <w:bCs/>
        </w:rPr>
        <w:t>2)</w:t>
      </w:r>
      <w:r w:rsidR="0076246A">
        <w:t xml:space="preserve"> que las conclusiones y evidencias obtenidas son las que se expresan en el Dictamen que se adjunta;</w:t>
      </w:r>
    </w:p>
    <w:p w:rsidR="0076246A" w:rsidRDefault="0076246A" w:rsidP="00240581">
      <w:pPr>
        <w:pStyle w:val="Textoindependiente"/>
        <w:ind w:firstLine="851"/>
      </w:pPr>
      <w:r>
        <w:rPr>
          <w:b/>
        </w:rPr>
        <w:t>ATENTO:</w:t>
      </w:r>
      <w:r>
        <w:t xml:space="preserve"> a lo d</w:t>
      </w:r>
      <w:r w:rsidR="00240581">
        <w:t>ispuesto por los Artículos 211 L</w:t>
      </w:r>
      <w:r>
        <w:t>iteral A) y 225 de la Constitución de la República;</w:t>
      </w:r>
    </w:p>
    <w:p w:rsidR="0076246A" w:rsidRDefault="0076246A" w:rsidP="0076246A">
      <w:pPr>
        <w:pStyle w:val="Textoindependiente"/>
        <w:jc w:val="center"/>
        <w:rPr>
          <w:b/>
          <w:highlight w:val="yellow"/>
        </w:rPr>
      </w:pPr>
      <w:r>
        <w:rPr>
          <w:b/>
        </w:rPr>
        <w:t>EL TRIBUNAL ACUERDA</w:t>
      </w:r>
    </w:p>
    <w:p w:rsidR="0076246A" w:rsidRDefault="0076246A" w:rsidP="0076246A">
      <w:pPr>
        <w:pStyle w:val="Textoindependiente"/>
        <w:numPr>
          <w:ilvl w:val="0"/>
          <w:numId w:val="1"/>
        </w:numPr>
        <w:tabs>
          <w:tab w:val="clear" w:pos="720"/>
          <w:tab w:val="num" w:pos="360"/>
        </w:tabs>
        <w:ind w:left="360"/>
      </w:pPr>
      <w:r>
        <w:t xml:space="preserve">Emitir </w:t>
      </w:r>
      <w:r w:rsidR="00240581">
        <w:t>su pronunciamiento respecto al p</w:t>
      </w:r>
      <w:r>
        <w:t xml:space="preserve">royecto de </w:t>
      </w:r>
      <w:r w:rsidR="000225F3">
        <w:t>Modificación Presupues</w:t>
      </w:r>
      <w:r w:rsidR="00240581">
        <w:softHyphen/>
      </w:r>
      <w:r w:rsidR="000225F3">
        <w:t>tal</w:t>
      </w:r>
      <w:r>
        <w:t xml:space="preserve"> de la Intendencia de </w:t>
      </w:r>
      <w:r w:rsidR="00E60184">
        <w:t>Rocha</w:t>
      </w:r>
      <w:r>
        <w:t xml:space="preserve"> correspondiente al período 201</w:t>
      </w:r>
      <w:r w:rsidR="00F62E30">
        <w:t>9</w:t>
      </w:r>
      <w:r>
        <w:t>-2020 en los térmi</w:t>
      </w:r>
      <w:r w:rsidR="00240581">
        <w:t>nos del Dictamen que se adjunta;</w:t>
      </w:r>
    </w:p>
    <w:p w:rsidR="0076246A" w:rsidRPr="00E60184" w:rsidRDefault="0076246A" w:rsidP="0076246A">
      <w:pPr>
        <w:pStyle w:val="Textoindependiente"/>
        <w:numPr>
          <w:ilvl w:val="0"/>
          <w:numId w:val="1"/>
        </w:numPr>
        <w:tabs>
          <w:tab w:val="clear" w:pos="720"/>
          <w:tab w:val="num" w:pos="360"/>
        </w:tabs>
        <w:ind w:left="360"/>
      </w:pPr>
      <w:r w:rsidRPr="00E60184">
        <w:t>Observar el referido documento por lo expresado en</w:t>
      </w:r>
      <w:r w:rsidR="000225F3" w:rsidRPr="00E60184">
        <w:t xml:space="preserve"> </w:t>
      </w:r>
      <w:r w:rsidR="00CA375E" w:rsidRPr="00E60184">
        <w:t>l</w:t>
      </w:r>
      <w:r w:rsidR="00133E56">
        <w:t>os</w:t>
      </w:r>
      <w:r w:rsidR="000225F3" w:rsidRPr="00E60184">
        <w:t xml:space="preserve"> párrafo</w:t>
      </w:r>
      <w:r w:rsidR="00133E56">
        <w:t>s 2.</w:t>
      </w:r>
      <w:r w:rsidR="00B80071">
        <w:t>3</w:t>
      </w:r>
      <w:r w:rsidR="00133E56">
        <w:t>)</w:t>
      </w:r>
      <w:r w:rsidR="009323C2">
        <w:t xml:space="preserve"> y</w:t>
      </w:r>
      <w:r w:rsidR="00133E56">
        <w:t xml:space="preserve"> 2.4) </w:t>
      </w:r>
      <w:r w:rsidR="00240581">
        <w:t>del Dictamen;</w:t>
      </w:r>
    </w:p>
    <w:p w:rsidR="0076246A" w:rsidRDefault="0076246A" w:rsidP="0076246A">
      <w:pPr>
        <w:pStyle w:val="Textoindependiente"/>
        <w:numPr>
          <w:ilvl w:val="0"/>
          <w:numId w:val="1"/>
        </w:numPr>
        <w:tabs>
          <w:tab w:val="clear" w:pos="720"/>
          <w:tab w:val="num" w:pos="360"/>
        </w:tabs>
        <w:ind w:left="360"/>
      </w:pPr>
      <w:r>
        <w:t xml:space="preserve">Comunicar la presente Resolución a la Intendencia de </w:t>
      </w:r>
      <w:r w:rsidR="00E60184">
        <w:t>Rocha</w:t>
      </w:r>
      <w:r w:rsidR="00240581">
        <w:t>;</w:t>
      </w:r>
    </w:p>
    <w:p w:rsidR="0076246A" w:rsidRDefault="0076246A" w:rsidP="0076246A">
      <w:pPr>
        <w:pStyle w:val="Textoindependiente"/>
        <w:numPr>
          <w:ilvl w:val="0"/>
          <w:numId w:val="1"/>
        </w:numPr>
        <w:tabs>
          <w:tab w:val="clear" w:pos="720"/>
          <w:tab w:val="num" w:pos="360"/>
        </w:tabs>
        <w:ind w:left="360"/>
      </w:pPr>
      <w:r>
        <w:t xml:space="preserve">Devolver los antecedentes a la Junta Departamental de </w:t>
      </w:r>
      <w:r w:rsidR="00E60184">
        <w:t>Rocha</w:t>
      </w:r>
      <w:r>
        <w:t>.</w:t>
      </w:r>
    </w:p>
    <w:p w:rsidR="00240581" w:rsidRDefault="00240581" w:rsidP="00240581">
      <w:pPr>
        <w:pStyle w:val="Textoindependiente"/>
      </w:pPr>
    </w:p>
    <w:p w:rsidR="00240581" w:rsidRDefault="00240581" w:rsidP="00240581">
      <w:pPr>
        <w:pStyle w:val="Textoindependiente"/>
      </w:pPr>
    </w:p>
    <w:p w:rsidR="00240581" w:rsidRDefault="00240581" w:rsidP="00240581">
      <w:pPr>
        <w:pStyle w:val="Textoindependiente"/>
        <w:ind w:hanging="426"/>
      </w:pPr>
      <w:proofErr w:type="gramStart"/>
      <w:r>
        <w:t>dc</w:t>
      </w:r>
      <w:proofErr w:type="gramEnd"/>
    </w:p>
    <w:p w:rsidR="00FA6829" w:rsidRDefault="00FA6829" w:rsidP="00240581">
      <w:pPr>
        <w:pStyle w:val="Textoindependiente"/>
        <w:ind w:hanging="426"/>
      </w:pPr>
    </w:p>
    <w:p w:rsidR="00FA6829" w:rsidRDefault="00FA6829">
      <w:pPr>
        <w:pStyle w:val="Ttulo1"/>
        <w:spacing w:line="360" w:lineRule="auto"/>
      </w:pPr>
      <w:r>
        <w:lastRenderedPageBreak/>
        <w:t>DICTAMEN</w:t>
      </w:r>
    </w:p>
    <w:p w:rsidR="00FA6829" w:rsidRDefault="00FA6829">
      <w:pPr>
        <w:pStyle w:val="Ttulo2"/>
        <w:tabs>
          <w:tab w:val="left" w:pos="7080"/>
        </w:tabs>
      </w:pPr>
    </w:p>
    <w:p w:rsidR="00FA6829" w:rsidRDefault="00FA6829">
      <w:pPr>
        <w:spacing w:line="360" w:lineRule="auto"/>
        <w:jc w:val="both"/>
        <w:rPr>
          <w:highlight w:val="yellow"/>
        </w:rPr>
      </w:pPr>
      <w:r>
        <w:t>El Tribunal de Cuentas ha examinado el proyecto de Modificación Presupuestal para el período 2019-2020 de la Intendencia de Rocha. Toda la  información incluida en el referido Proyecto y los supuestos sobre los que se basa, son responsabilidad del Organismo que los emite. La responsabilidad del Tribunal de Cuentas es expresar una opinión sobre dicho Proyecto de Modificación Presupuestal, de acuerdo a lo dispuesto por los Artículos 211 literal A) y 225 de la Constitución de la República y establecer, en caso que corresponda, los hallazgos realizados en relación con el cumplimiento de las normas constitucionales, legales y reglamentarias que r</w:t>
      </w:r>
      <w:r w:rsidR="00F823D1">
        <w:t>esulten aplicables.</w:t>
      </w:r>
    </w:p>
    <w:p w:rsidR="00FA6829" w:rsidRDefault="00FA6829">
      <w:pPr>
        <w:spacing w:line="360" w:lineRule="auto"/>
        <w:jc w:val="both"/>
        <w:rPr>
          <w:b/>
        </w:rPr>
      </w:pPr>
    </w:p>
    <w:p w:rsidR="00FA6829" w:rsidRDefault="00712BB7">
      <w:pPr>
        <w:spacing w:line="360" w:lineRule="auto"/>
        <w:jc w:val="both"/>
        <w:rPr>
          <w:rFonts w:cs="Arial"/>
          <w:b/>
        </w:rPr>
      </w:pPr>
      <w:r>
        <w:rPr>
          <w:rFonts w:cs="Arial"/>
          <w:b/>
        </w:rPr>
        <w:t>1) Antecedentes</w:t>
      </w:r>
    </w:p>
    <w:p w:rsidR="00FA6829" w:rsidRDefault="00FA6829" w:rsidP="0038063B">
      <w:pPr>
        <w:spacing w:line="360" w:lineRule="auto"/>
        <w:jc w:val="both"/>
        <w:rPr>
          <w:rFonts w:cs="Arial"/>
          <w:b/>
        </w:rPr>
      </w:pPr>
    </w:p>
    <w:p w:rsidR="00FA6829" w:rsidRPr="005F43EF" w:rsidRDefault="00FA6829" w:rsidP="00060DF3">
      <w:pPr>
        <w:pStyle w:val="Textoindependiente2"/>
        <w:rPr>
          <w:rFonts w:ascii="Arial" w:hAnsi="Arial" w:cs="Arial"/>
        </w:rPr>
      </w:pPr>
      <w:r w:rsidRPr="00060DF3">
        <w:rPr>
          <w:rFonts w:ascii="Arial" w:hAnsi="Arial" w:cs="Arial"/>
          <w:b/>
          <w:lang w:val="es-ES"/>
        </w:rPr>
        <w:t>1.1)</w:t>
      </w:r>
      <w:r w:rsidRPr="005F43EF">
        <w:rPr>
          <w:rFonts w:ascii="Arial" w:hAnsi="Arial" w:cs="Arial"/>
        </w:rPr>
        <w:t xml:space="preserve"> </w:t>
      </w:r>
      <w:r>
        <w:rPr>
          <w:rFonts w:ascii="Arial" w:hAnsi="Arial" w:cs="Arial"/>
        </w:rPr>
        <w:t xml:space="preserve">La Intendencia de Rocha remitió el 29/06/18 a la Junta </w:t>
      </w:r>
      <w:r w:rsidRPr="005F43EF">
        <w:rPr>
          <w:rFonts w:ascii="Arial" w:hAnsi="Arial" w:cs="Arial"/>
        </w:rPr>
        <w:t>Departamental de Rocha</w:t>
      </w:r>
      <w:r>
        <w:rPr>
          <w:rFonts w:ascii="Arial" w:hAnsi="Arial" w:cs="Arial"/>
        </w:rPr>
        <w:t xml:space="preserve"> el p</w:t>
      </w:r>
      <w:r w:rsidRPr="005F43EF">
        <w:rPr>
          <w:rFonts w:ascii="Arial" w:hAnsi="Arial" w:cs="Arial"/>
        </w:rPr>
        <w:t>royecto de Modificación Presupuestal</w:t>
      </w:r>
      <w:r w:rsidRPr="00C728B6">
        <w:rPr>
          <w:rFonts w:ascii="Arial" w:hAnsi="Arial" w:cs="Arial"/>
        </w:rPr>
        <w:t xml:space="preserve"> </w:t>
      </w:r>
      <w:r>
        <w:rPr>
          <w:rFonts w:ascii="Arial" w:hAnsi="Arial" w:cs="Arial"/>
        </w:rPr>
        <w:t>por el período 2019-2020, cumpliendo con lo dispuesto en el Artículo 214 de la Constitución de la República.</w:t>
      </w:r>
    </w:p>
    <w:p w:rsidR="00FA6829" w:rsidRDefault="00FA6829">
      <w:pPr>
        <w:pStyle w:val="Textoindependiente2"/>
        <w:rPr>
          <w:rFonts w:ascii="Arial" w:hAnsi="Arial" w:cs="Arial"/>
        </w:rPr>
      </w:pPr>
      <w:r w:rsidRPr="005F43EF">
        <w:rPr>
          <w:rFonts w:ascii="Arial" w:hAnsi="Arial" w:cs="Arial"/>
          <w:b/>
        </w:rPr>
        <w:t>1.2)</w:t>
      </w:r>
      <w:r>
        <w:rPr>
          <w:rFonts w:ascii="Arial" w:hAnsi="Arial" w:cs="Arial"/>
        </w:rPr>
        <w:t xml:space="preserve"> El Legislativo Departamental, en sesión de fecha 28/08/18, aprobó en general y en particular por unanimidad de 28 Ediles presentes, dicho proyecto de Modificación Presupuestal a regir desde el 1º de enero de 2019.</w:t>
      </w:r>
    </w:p>
    <w:p w:rsidR="00FA6829" w:rsidRDefault="00FA6829">
      <w:pPr>
        <w:pStyle w:val="Textoindependiente2"/>
        <w:rPr>
          <w:rFonts w:ascii="Arial" w:hAnsi="Arial" w:cs="Arial"/>
        </w:rPr>
      </w:pPr>
      <w:r w:rsidRPr="00586435">
        <w:rPr>
          <w:rFonts w:ascii="Arial" w:hAnsi="Arial" w:cs="Arial"/>
          <w:b/>
        </w:rPr>
        <w:t>1.</w:t>
      </w:r>
      <w:r>
        <w:rPr>
          <w:rFonts w:ascii="Arial" w:hAnsi="Arial" w:cs="Arial"/>
          <w:b/>
        </w:rPr>
        <w:t>3</w:t>
      </w:r>
      <w:r w:rsidRPr="00586435">
        <w:rPr>
          <w:rFonts w:ascii="Arial" w:hAnsi="Arial" w:cs="Arial"/>
          <w:b/>
        </w:rPr>
        <w:t>)</w:t>
      </w:r>
      <w:r>
        <w:rPr>
          <w:rFonts w:ascii="Arial" w:hAnsi="Arial" w:cs="Arial"/>
        </w:rPr>
        <w:t xml:space="preserve"> </w:t>
      </w:r>
      <w:r w:rsidRPr="00355E5F">
        <w:rPr>
          <w:rFonts w:ascii="Arial" w:hAnsi="Arial" w:cs="Arial"/>
        </w:rPr>
        <w:t xml:space="preserve">Por Oficio Nº </w:t>
      </w:r>
      <w:r>
        <w:rPr>
          <w:rFonts w:ascii="Arial" w:hAnsi="Arial" w:cs="Arial"/>
        </w:rPr>
        <w:t>271</w:t>
      </w:r>
      <w:r w:rsidRPr="00355E5F">
        <w:rPr>
          <w:rFonts w:ascii="Arial" w:hAnsi="Arial" w:cs="Arial"/>
        </w:rPr>
        <w:t>/201</w:t>
      </w:r>
      <w:r>
        <w:rPr>
          <w:rFonts w:ascii="Arial" w:hAnsi="Arial" w:cs="Arial"/>
        </w:rPr>
        <w:t>8</w:t>
      </w:r>
      <w:r w:rsidRPr="00355E5F">
        <w:rPr>
          <w:rFonts w:ascii="Arial" w:hAnsi="Arial" w:cs="Arial"/>
        </w:rPr>
        <w:t xml:space="preserve"> del </w:t>
      </w:r>
      <w:r>
        <w:rPr>
          <w:rFonts w:ascii="Arial" w:hAnsi="Arial" w:cs="Arial"/>
        </w:rPr>
        <w:t>29</w:t>
      </w:r>
      <w:r w:rsidRPr="00355E5F">
        <w:rPr>
          <w:rFonts w:ascii="Arial" w:hAnsi="Arial" w:cs="Arial"/>
        </w:rPr>
        <w:t>/0</w:t>
      </w:r>
      <w:r>
        <w:rPr>
          <w:rFonts w:ascii="Arial" w:hAnsi="Arial" w:cs="Arial"/>
        </w:rPr>
        <w:t>8</w:t>
      </w:r>
      <w:r w:rsidRPr="00355E5F">
        <w:rPr>
          <w:rFonts w:ascii="Arial" w:hAnsi="Arial" w:cs="Arial"/>
        </w:rPr>
        <w:t>/1</w:t>
      </w:r>
      <w:r>
        <w:rPr>
          <w:rFonts w:ascii="Arial" w:hAnsi="Arial" w:cs="Arial"/>
        </w:rPr>
        <w:t>8, la Junta Departamental de Rocha remitió las actuaciones a efectos de recabar el dictamen de este Tribunal, ingresando las mismas oficialmente en Sesión del 05/09/18 (Ordenanza N° 51 de fecha 22/11/72).</w:t>
      </w:r>
    </w:p>
    <w:p w:rsidR="00FA6829" w:rsidRDefault="00FA6829">
      <w:pPr>
        <w:spacing w:line="360" w:lineRule="auto"/>
        <w:jc w:val="both"/>
        <w:rPr>
          <w:b/>
          <w:lang w:val="es-ES_tradnl"/>
        </w:rPr>
      </w:pPr>
    </w:p>
    <w:p w:rsidR="00FA6829" w:rsidRDefault="00FA6829">
      <w:pPr>
        <w:spacing w:line="360" w:lineRule="auto"/>
        <w:jc w:val="both"/>
        <w:rPr>
          <w:b/>
        </w:rPr>
      </w:pPr>
      <w:r>
        <w:rPr>
          <w:b/>
          <w:lang w:val="es-ES_tradnl"/>
        </w:rPr>
        <w:t>2)</w:t>
      </w:r>
      <w:r>
        <w:rPr>
          <w:b/>
        </w:rPr>
        <w:t xml:space="preserve"> Análisis de las estimaciones de recursos y gastos</w:t>
      </w:r>
    </w:p>
    <w:p w:rsidR="00FA6829" w:rsidRDefault="00FA6829" w:rsidP="00C17725">
      <w:pPr>
        <w:pStyle w:val="Textoindependiente"/>
        <w:rPr>
          <w:b/>
        </w:rPr>
      </w:pPr>
    </w:p>
    <w:p w:rsidR="00FA6829" w:rsidRDefault="00FA6829" w:rsidP="00C17725">
      <w:pPr>
        <w:pStyle w:val="Textoindependiente"/>
        <w:rPr>
          <w:szCs w:val="20"/>
        </w:rPr>
      </w:pPr>
      <w:r w:rsidRPr="00E21AC6">
        <w:rPr>
          <w:b/>
        </w:rPr>
        <w:t>2.1)</w:t>
      </w:r>
      <w:r>
        <w:t xml:space="preserve"> No se prevén modificaciones en las proyecciones de recursos para los Ejercicios 2019 – 2020.</w:t>
      </w:r>
    </w:p>
    <w:tbl>
      <w:tblPr>
        <w:tblW w:w="1444" w:type="dxa"/>
        <w:tblInd w:w="70" w:type="dxa"/>
        <w:tblCellMar>
          <w:left w:w="70" w:type="dxa"/>
          <w:right w:w="70" w:type="dxa"/>
        </w:tblCellMar>
        <w:tblLook w:val="04A0" w:firstRow="1" w:lastRow="0" w:firstColumn="1" w:lastColumn="0" w:noHBand="0" w:noVBand="1"/>
      </w:tblPr>
      <w:tblGrid>
        <w:gridCol w:w="1444"/>
      </w:tblGrid>
      <w:tr w:rsidR="00FA6829" w:rsidRPr="00C17725" w:rsidTr="00520A89">
        <w:trPr>
          <w:trHeight w:val="255"/>
        </w:trPr>
        <w:tc>
          <w:tcPr>
            <w:tcW w:w="1444" w:type="dxa"/>
            <w:tcBorders>
              <w:top w:val="nil"/>
              <w:left w:val="nil"/>
              <w:bottom w:val="nil"/>
              <w:right w:val="nil"/>
            </w:tcBorders>
            <w:shd w:val="clear" w:color="auto" w:fill="auto"/>
            <w:vAlign w:val="center"/>
          </w:tcPr>
          <w:p w:rsidR="00FA6829" w:rsidRPr="009B46AF" w:rsidRDefault="00FA6829" w:rsidP="00F823D1">
            <w:pPr>
              <w:rPr>
                <w:lang w:eastAsia="pt-BR"/>
              </w:rPr>
            </w:pPr>
          </w:p>
        </w:tc>
      </w:tr>
    </w:tbl>
    <w:p w:rsidR="00FA6829" w:rsidRDefault="00712BB7" w:rsidP="001A70CB">
      <w:pPr>
        <w:widowControl w:val="0"/>
        <w:spacing w:line="360" w:lineRule="auto"/>
        <w:jc w:val="both"/>
        <w:rPr>
          <w:szCs w:val="20"/>
        </w:rPr>
      </w:pPr>
      <w:r>
        <w:rPr>
          <w:b/>
          <w:szCs w:val="20"/>
        </w:rPr>
        <w:t>2</w:t>
      </w:r>
      <w:r w:rsidR="00FA6829" w:rsidRPr="001A70CB">
        <w:rPr>
          <w:b/>
          <w:szCs w:val="20"/>
        </w:rPr>
        <w:t>.</w:t>
      </w:r>
      <w:r w:rsidR="00FA6829">
        <w:rPr>
          <w:b/>
          <w:szCs w:val="20"/>
        </w:rPr>
        <w:t>2</w:t>
      </w:r>
      <w:r w:rsidR="00FA6829" w:rsidRPr="001A70CB">
        <w:rPr>
          <w:b/>
          <w:szCs w:val="20"/>
        </w:rPr>
        <w:t>)</w:t>
      </w:r>
      <w:r w:rsidR="00FA6829" w:rsidRPr="001A70CB">
        <w:rPr>
          <w:szCs w:val="20"/>
        </w:rPr>
        <w:t xml:space="preserve"> </w:t>
      </w:r>
      <w:r w:rsidR="00FA6829">
        <w:rPr>
          <w:szCs w:val="20"/>
        </w:rPr>
        <w:t>Se proyecta en el Grupo 0 una modificación en las asignaciones presupuestales vigentes en el Presupuesto 2016-2020. Se agrega a partir del mes de enero de 2019 al sueldo básico vigente, un incremento de $ 200 para los grados 2, 3 y 4 del Escalafón Operativo y de $ 500 para los grados 3, 4 y 5 del Escalafón Administrativo. Dicho incremento asci</w:t>
      </w:r>
      <w:r>
        <w:rPr>
          <w:szCs w:val="20"/>
        </w:rPr>
        <w:t>ende a la suma de $5:643.027.</w:t>
      </w:r>
    </w:p>
    <w:p w:rsidR="00FA6829" w:rsidRDefault="00FA6829" w:rsidP="001A70CB">
      <w:pPr>
        <w:widowControl w:val="0"/>
        <w:spacing w:line="360" w:lineRule="auto"/>
        <w:jc w:val="both"/>
        <w:rPr>
          <w:szCs w:val="20"/>
        </w:rPr>
      </w:pPr>
      <w:r w:rsidRPr="00C9270B">
        <w:rPr>
          <w:b/>
          <w:szCs w:val="20"/>
        </w:rPr>
        <w:t>2.3)</w:t>
      </w:r>
      <w:r>
        <w:rPr>
          <w:szCs w:val="20"/>
        </w:rPr>
        <w:t xml:space="preserve"> No se presentó la planilla con el detalle de las asignaciones presupuestales vigentes y proyectadas para cada año, incluyendo subtotales por grupo y totales generales.</w:t>
      </w:r>
    </w:p>
    <w:p w:rsidR="00FA6829" w:rsidRDefault="00FA6829" w:rsidP="001A70CB">
      <w:pPr>
        <w:widowControl w:val="0"/>
        <w:spacing w:line="360" w:lineRule="auto"/>
        <w:jc w:val="both"/>
        <w:rPr>
          <w:szCs w:val="20"/>
        </w:rPr>
      </w:pPr>
      <w:r w:rsidRPr="004C3A2E">
        <w:rPr>
          <w:b/>
          <w:szCs w:val="20"/>
        </w:rPr>
        <w:t>2.4)</w:t>
      </w:r>
      <w:r>
        <w:rPr>
          <w:szCs w:val="20"/>
        </w:rPr>
        <w:t xml:space="preserve"> Se reiteran las observaciones realizadas por este Tribunal expresadas en los párrafos 2.4) del Dictamen relativo al Presupuesto Quinquenal y 2.2) del Dictamen de la Modificación  Presupuestal 2018-2020, que son las siguientes:</w:t>
      </w:r>
    </w:p>
    <w:p w:rsidR="00FA6829" w:rsidRDefault="00FA6829" w:rsidP="001A70CB">
      <w:pPr>
        <w:widowControl w:val="0"/>
        <w:spacing w:line="360" w:lineRule="auto"/>
        <w:jc w:val="both"/>
      </w:pPr>
      <w:r w:rsidRPr="00737A92">
        <w:rPr>
          <w:b/>
        </w:rPr>
        <w:t>2.4.1)</w:t>
      </w:r>
      <w:r>
        <w:rPr>
          <w:b/>
        </w:rPr>
        <w:t xml:space="preserve"> </w:t>
      </w:r>
      <w:r>
        <w:t xml:space="preserve">Los recursos presentados no fueron clasificados y ordenados íntegramente con arreglo a la Ordenanza Nº 84 de este Tribunal de fecha 7/6/2006, </w:t>
      </w:r>
      <w:proofErr w:type="gramStart"/>
      <w:r>
        <w:t>debido</w:t>
      </w:r>
      <w:proofErr w:type="gramEnd"/>
      <w:r>
        <w:t xml:space="preserve"> a que:</w:t>
      </w:r>
    </w:p>
    <w:p w:rsidR="00FA6829" w:rsidRDefault="00FA6829" w:rsidP="001A70CB">
      <w:pPr>
        <w:widowControl w:val="0"/>
        <w:spacing w:line="360" w:lineRule="auto"/>
        <w:jc w:val="both"/>
      </w:pPr>
      <w:r w:rsidRPr="00E34502">
        <w:rPr>
          <w:b/>
        </w:rPr>
        <w:t>a)</w:t>
      </w:r>
      <w:r>
        <w:t xml:space="preserve"> la estimación de multas y recargos no se presenta en forma discriminada según el tributo al que corresponden,</w:t>
      </w:r>
    </w:p>
    <w:p w:rsidR="00FA6829" w:rsidRDefault="00FA6829" w:rsidP="001A70CB">
      <w:pPr>
        <w:widowControl w:val="0"/>
        <w:spacing w:line="360" w:lineRule="auto"/>
        <w:jc w:val="both"/>
      </w:pPr>
      <w:r w:rsidRPr="00E34502">
        <w:rPr>
          <w:b/>
        </w:rPr>
        <w:t>b)</w:t>
      </w:r>
      <w:r>
        <w:t xml:space="preserve"> los ingresos originados por la actividad comercial se presentan dentro del capítulo “Precios” y no en el capítulo “Resultado de la actividad comercial e industrial” como lo establece la citada norma,</w:t>
      </w:r>
    </w:p>
    <w:p w:rsidR="00FA6829" w:rsidRDefault="00FA6829" w:rsidP="001A70CB">
      <w:pPr>
        <w:widowControl w:val="0"/>
        <w:spacing w:line="360" w:lineRule="auto"/>
        <w:jc w:val="both"/>
      </w:pPr>
      <w:r w:rsidRPr="00E34502">
        <w:rPr>
          <w:b/>
        </w:rPr>
        <w:t>c)</w:t>
      </w:r>
      <w:r>
        <w:t xml:space="preserve"> se incluyen en el capítulo “Otros Conceptos” recursos originados por “ingresos financieros”,</w:t>
      </w:r>
    </w:p>
    <w:p w:rsidR="00FA6829" w:rsidRDefault="00FA6829" w:rsidP="001A70CB">
      <w:pPr>
        <w:widowControl w:val="0"/>
        <w:spacing w:line="360" w:lineRule="auto"/>
        <w:jc w:val="both"/>
      </w:pPr>
      <w:r w:rsidRPr="00E34502">
        <w:rPr>
          <w:b/>
        </w:rPr>
        <w:t>d)</w:t>
      </w:r>
      <w:r>
        <w:t xml:space="preserve"> se incluye como recursos de la Intendencia los ingresos por concepto de “garantía de licitación”, los cuales constituyen fondos de terceros,</w:t>
      </w:r>
    </w:p>
    <w:p w:rsidR="00FA6829" w:rsidRDefault="00FA6829" w:rsidP="001A70CB">
      <w:pPr>
        <w:widowControl w:val="0"/>
        <w:spacing w:line="360" w:lineRule="auto"/>
        <w:jc w:val="both"/>
      </w:pPr>
      <w:r w:rsidRPr="00E34502">
        <w:rPr>
          <w:b/>
        </w:rPr>
        <w:t>e)</w:t>
      </w:r>
      <w:r>
        <w:t xml:space="preserve"> se presenta dentro del capítulo “Otros conceptos”, recaudación sin discriminar,</w:t>
      </w:r>
    </w:p>
    <w:p w:rsidR="00FA6829" w:rsidRDefault="00FA6829" w:rsidP="001A70CB">
      <w:pPr>
        <w:widowControl w:val="0"/>
        <w:spacing w:line="360" w:lineRule="auto"/>
        <w:jc w:val="both"/>
      </w:pPr>
      <w:r w:rsidRPr="00E34502">
        <w:rPr>
          <w:b/>
        </w:rPr>
        <w:t>f)</w:t>
      </w:r>
      <w:r>
        <w:t xml:space="preserve"> se incluye dentro del capítulo “Precios” ingresos originados por la recaudación de los conceptos de “Chapas, matrículas y libretas de propiedad” que corresponde incluirlo como “Tasas”. Asimismo, se incluye como “Precios” los ingresos originados por concepto de “canon”, el cual debió haberse clasificado dentro del capítulo “Concesiones”,</w:t>
      </w:r>
    </w:p>
    <w:p w:rsidR="00FA6829" w:rsidRDefault="00FA6829" w:rsidP="001A70CB">
      <w:pPr>
        <w:widowControl w:val="0"/>
        <w:spacing w:line="360" w:lineRule="auto"/>
        <w:jc w:val="both"/>
      </w:pPr>
      <w:r w:rsidRPr="00E34502">
        <w:rPr>
          <w:b/>
        </w:rPr>
        <w:t>g)</w:t>
      </w:r>
      <w:r>
        <w:t xml:space="preserve"> los ingresos de origen nacional no se presentan en forma desagregada como lo establece la Ordenanza 84 de este Tribunal.</w:t>
      </w:r>
    </w:p>
    <w:p w:rsidR="00FA6829" w:rsidRDefault="00FA6829" w:rsidP="001A70CB">
      <w:pPr>
        <w:widowControl w:val="0"/>
        <w:spacing w:line="360" w:lineRule="auto"/>
        <w:jc w:val="both"/>
      </w:pPr>
      <w:r w:rsidRPr="00737A92">
        <w:rPr>
          <w:b/>
        </w:rPr>
        <w:t>2.4.2)</w:t>
      </w:r>
      <w:r>
        <w:t xml:space="preserve"> Las asignaciones presupuestales no fueron presentadas en forma comparativa con las vigentes, incumpliéndose lo dispuesto en el Artículo 216 I</w:t>
      </w:r>
      <w:r w:rsidR="00712BB7">
        <w:t>nciso final de la Constitución.</w:t>
      </w:r>
    </w:p>
    <w:p w:rsidR="00FA6829" w:rsidRDefault="00FA6829" w:rsidP="001A70CB">
      <w:pPr>
        <w:widowControl w:val="0"/>
        <w:spacing w:line="360" w:lineRule="auto"/>
        <w:jc w:val="both"/>
      </w:pPr>
      <w:r w:rsidRPr="00737A92">
        <w:rPr>
          <w:b/>
        </w:rPr>
        <w:t>2.4.3)</w:t>
      </w:r>
      <w:r>
        <w:t xml:space="preserve"> No se prevé dentro del </w:t>
      </w:r>
      <w:proofErr w:type="spellStart"/>
      <w:r>
        <w:t>planillado</w:t>
      </w:r>
      <w:proofErr w:type="spellEnd"/>
      <w:r>
        <w:t xml:space="preserve"> la cuantificación a asignar respecto al “Financiamiento del Déficit” para el período 2016-2020. Tampoco se establece en el proyecto como se va a financiar dicho déficit, contraviniéndose en consecuencia lo dispuesto por el Artículo 225 de la Constitución de la República. El Dictamen de este Tribunal en relación a la Rendición de Cuentas correspondiente al Ejercicio 2014, resultó adverso en relación al déficit acumulado y demás estados. El referido déficit establecido por la Intendencia ascendía a $ 421:124.754.</w:t>
      </w:r>
    </w:p>
    <w:p w:rsidR="00FA6829" w:rsidRDefault="00FA6829" w:rsidP="001A70CB">
      <w:pPr>
        <w:widowControl w:val="0"/>
        <w:spacing w:line="360" w:lineRule="auto"/>
        <w:jc w:val="both"/>
      </w:pPr>
      <w:r w:rsidRPr="00737A92">
        <w:rPr>
          <w:b/>
        </w:rPr>
        <w:t>2.4.</w:t>
      </w:r>
      <w:r>
        <w:rPr>
          <w:b/>
        </w:rPr>
        <w:t>4</w:t>
      </w:r>
      <w:r w:rsidRPr="00737A92">
        <w:rPr>
          <w:b/>
        </w:rPr>
        <w:t>)</w:t>
      </w:r>
      <w:r>
        <w:t xml:space="preserve"> No se presentó una planilla donde se detallen las asignaciones presupuestales vigentes y proyectadas para cada año, incluyendo subtotales por grupo y totales generales.</w:t>
      </w:r>
    </w:p>
    <w:p w:rsidR="00FA6829" w:rsidRDefault="00FA6829" w:rsidP="001A70CB">
      <w:pPr>
        <w:widowControl w:val="0"/>
        <w:spacing w:line="360" w:lineRule="auto"/>
        <w:jc w:val="both"/>
      </w:pPr>
      <w:r w:rsidRPr="00737A92">
        <w:rPr>
          <w:b/>
        </w:rPr>
        <w:t>2.4.5)</w:t>
      </w:r>
      <w:r>
        <w:t xml:space="preserve"> No se incluye una planilla donde se detallen los cálculos realizados para estimar los montos previstos para cada uno de los objetos correspondientes al Grupo 0, ni un listado que permita verificar que la dotación presupuestal de cargos por programas a que refiere el Artículo 5 del proyecto comprende a los ocupados y vacantes, en su totalidad.</w:t>
      </w:r>
    </w:p>
    <w:p w:rsidR="00FA6829" w:rsidRDefault="00FA6829" w:rsidP="001A70CB">
      <w:pPr>
        <w:widowControl w:val="0"/>
        <w:spacing w:line="360" w:lineRule="auto"/>
        <w:jc w:val="both"/>
      </w:pPr>
      <w:r w:rsidRPr="00737A92">
        <w:rPr>
          <w:b/>
        </w:rPr>
        <w:t>2.4.6)</w:t>
      </w:r>
      <w:r>
        <w:t xml:space="preserve"> No se presentó el escalafón vigente indicando número de cargos y grados, presentado en forma compara</w:t>
      </w:r>
      <w:r w:rsidR="00712BB7">
        <w:t>tiva con el escalafón previsto.</w:t>
      </w:r>
    </w:p>
    <w:p w:rsidR="00FA6829" w:rsidRDefault="00FA6829" w:rsidP="001A70CB">
      <w:pPr>
        <w:widowControl w:val="0"/>
        <w:spacing w:line="360" w:lineRule="auto"/>
        <w:jc w:val="both"/>
      </w:pPr>
      <w:r>
        <w:rPr>
          <w:b/>
        </w:rPr>
        <w:t>2.4.7)</w:t>
      </w:r>
      <w:r>
        <w:t xml:space="preserve"> No se presentaron las bases de cálculo de las estimaciones de recursos de origen departamental detallando montos de exoneraciones, quitas y morosidad ni el detalle y bases de cálculo de los recursos de origen nacional.</w:t>
      </w:r>
    </w:p>
    <w:p w:rsidR="00FA6829" w:rsidRDefault="00FA6829" w:rsidP="001A70CB">
      <w:pPr>
        <w:widowControl w:val="0"/>
        <w:spacing w:line="360" w:lineRule="auto"/>
        <w:jc w:val="both"/>
      </w:pPr>
      <w:r>
        <w:rPr>
          <w:b/>
        </w:rPr>
        <w:t xml:space="preserve">2.4.8) </w:t>
      </w:r>
      <w:r>
        <w:t>La regulación del impuesto de Patente de Rodados, establecida en el Artículo 23 implica, en cada caso, una modificación de recursos que debe ser  aprobada por la Junta Departamental, de conformidad con la Ordenanza Nº 62 de este Tribunal. Por lo tanto no resulta de recibo la delegación realizada en dicho Artículo, facultando al Ejecutivo Comunal a incorporar mediante resolución, todas las normas que al respecto apruebe el Congreso de Intendentes.</w:t>
      </w:r>
    </w:p>
    <w:p w:rsidR="00FA6829" w:rsidRPr="00D2601A" w:rsidRDefault="00FA6829" w:rsidP="001A70CB">
      <w:pPr>
        <w:widowControl w:val="0"/>
        <w:spacing w:line="360" w:lineRule="auto"/>
        <w:jc w:val="both"/>
        <w:rPr>
          <w:szCs w:val="20"/>
        </w:rPr>
      </w:pPr>
      <w:r>
        <w:rPr>
          <w:b/>
        </w:rPr>
        <w:t xml:space="preserve">2.4.9) </w:t>
      </w:r>
      <w:r>
        <w:t>Las estimaciones de recursos para los ejercicios 2018-2020 no fueron presentadas en forma comparativa con la previsión vigente, tal como lo establece el Artículo 216 de la Constitución de la República.</w:t>
      </w:r>
    </w:p>
    <w:p w:rsidR="00FA6829" w:rsidRDefault="00FA6829" w:rsidP="001A70CB">
      <w:pPr>
        <w:widowControl w:val="0"/>
        <w:spacing w:line="360" w:lineRule="auto"/>
        <w:jc w:val="both"/>
        <w:rPr>
          <w:szCs w:val="20"/>
        </w:rPr>
      </w:pPr>
    </w:p>
    <w:p w:rsidR="00FA6829" w:rsidRDefault="00FA6829" w:rsidP="00830D71">
      <w:pPr>
        <w:pStyle w:val="Textoindependiente"/>
        <w:widowControl w:val="0"/>
        <w:rPr>
          <w:rFonts w:cs="Arial"/>
          <w:b/>
          <w:bCs/>
        </w:rPr>
      </w:pPr>
      <w:r>
        <w:rPr>
          <w:b/>
          <w:bCs/>
        </w:rPr>
        <w:t>3) Cumplimiento de normas constitucionales, legales y reglamentarias</w:t>
      </w:r>
    </w:p>
    <w:p w:rsidR="00FA6829" w:rsidRDefault="00FA6829" w:rsidP="00BF1716">
      <w:pPr>
        <w:spacing w:line="360" w:lineRule="auto"/>
        <w:jc w:val="both"/>
        <w:rPr>
          <w:rFonts w:cs="Arial"/>
        </w:rPr>
      </w:pPr>
      <w:r>
        <w:rPr>
          <w:rFonts w:cs="Arial"/>
        </w:rPr>
        <w:t>Se ha dado cumplimiento con el plazo constitucional de que dispone este Tribunal para emitir su dictamen, de acuerdo con los Artículos 225 Inciso. 2º y 275 Numeral 3º de la Constitución de la República;</w:t>
      </w:r>
    </w:p>
    <w:p w:rsidR="00FA6829" w:rsidRDefault="00FA6829" w:rsidP="00BF1716">
      <w:pPr>
        <w:spacing w:line="360" w:lineRule="auto"/>
        <w:jc w:val="both"/>
        <w:rPr>
          <w:rFonts w:cs="Arial"/>
        </w:rPr>
      </w:pPr>
    </w:p>
    <w:p w:rsidR="00FA6829" w:rsidRDefault="00712BB7">
      <w:pPr>
        <w:spacing w:line="360" w:lineRule="auto"/>
        <w:jc w:val="both"/>
        <w:rPr>
          <w:rFonts w:cs="Arial"/>
        </w:rPr>
      </w:pPr>
      <w:r>
        <w:rPr>
          <w:rFonts w:cs="Arial"/>
          <w:b/>
        </w:rPr>
        <w:t>4) Opinión</w:t>
      </w:r>
    </w:p>
    <w:p w:rsidR="00FA6829" w:rsidRPr="00235C9B" w:rsidRDefault="00FA6829" w:rsidP="00AB4066">
      <w:pPr>
        <w:pStyle w:val="Textoindependiente2"/>
        <w:rPr>
          <w:rFonts w:ascii="Arial" w:hAnsi="Arial" w:cs="Arial"/>
          <w:color w:val="FF0000"/>
        </w:rPr>
      </w:pPr>
      <w:r w:rsidRPr="00423C8B">
        <w:rPr>
          <w:rFonts w:ascii="Arial" w:hAnsi="Arial" w:cs="Arial"/>
        </w:rPr>
        <w:t xml:space="preserve">En opinión del Tribunal de Cuentas, el proyecto de Modificación Presupuestal de la Intendencia de </w:t>
      </w:r>
      <w:r>
        <w:rPr>
          <w:rFonts w:ascii="Arial" w:hAnsi="Arial" w:cs="Arial"/>
        </w:rPr>
        <w:t>Rocha</w:t>
      </w:r>
      <w:r w:rsidRPr="00423C8B">
        <w:rPr>
          <w:rFonts w:ascii="Arial" w:hAnsi="Arial" w:cs="Arial"/>
        </w:rPr>
        <w:t xml:space="preserve"> para el período 201</w:t>
      </w:r>
      <w:r>
        <w:rPr>
          <w:rFonts w:ascii="Arial" w:hAnsi="Arial" w:cs="Arial"/>
        </w:rPr>
        <w:t>9</w:t>
      </w:r>
      <w:r w:rsidRPr="00423C8B">
        <w:rPr>
          <w:rFonts w:ascii="Arial" w:hAnsi="Arial" w:cs="Arial"/>
        </w:rPr>
        <w:t xml:space="preserve">-2020 </w:t>
      </w:r>
      <w:r>
        <w:rPr>
          <w:rFonts w:ascii="Arial" w:hAnsi="Arial" w:cs="Arial"/>
        </w:rPr>
        <w:t>resulta observable</w:t>
      </w:r>
      <w:r w:rsidRPr="00423C8B">
        <w:rPr>
          <w:rFonts w:ascii="Arial" w:hAnsi="Arial" w:cs="Arial"/>
        </w:rPr>
        <w:t xml:space="preserve"> por lo </w:t>
      </w:r>
      <w:r w:rsidRPr="00447BCB">
        <w:rPr>
          <w:rFonts w:ascii="Arial" w:hAnsi="Arial" w:cs="Arial"/>
        </w:rPr>
        <w:t xml:space="preserve">expresado en los párrafos </w:t>
      </w:r>
      <w:r>
        <w:rPr>
          <w:rFonts w:ascii="Arial" w:hAnsi="Arial" w:cs="Arial"/>
        </w:rPr>
        <w:t>2.3) y 2.4).</w:t>
      </w:r>
    </w:p>
    <w:p w:rsidR="00FA6829" w:rsidRDefault="00FA6829" w:rsidP="0024377C">
      <w:pPr>
        <w:jc w:val="right"/>
      </w:pPr>
      <w:r>
        <w:t>Montevideo, 14 de setiembre de 2018</w:t>
      </w:r>
    </w:p>
    <w:p w:rsidR="00FA6829" w:rsidRDefault="00FA6829" w:rsidP="0024377C">
      <w:pPr>
        <w:jc w:val="right"/>
      </w:pPr>
    </w:p>
    <w:p w:rsidR="00FA6829" w:rsidRDefault="00FA6829" w:rsidP="0024377C">
      <w:pPr>
        <w:jc w:val="right"/>
      </w:pPr>
    </w:p>
    <w:p w:rsidR="00FA6829" w:rsidRDefault="00FA6829" w:rsidP="0024377C">
      <w:pPr>
        <w:jc w:val="right"/>
      </w:pPr>
    </w:p>
    <w:p w:rsidR="00FA6829" w:rsidRDefault="00FA6829" w:rsidP="0024377C">
      <w:pPr>
        <w:jc w:val="right"/>
      </w:pPr>
    </w:p>
    <w:p w:rsidR="00FA6829" w:rsidRPr="00FA6829" w:rsidRDefault="00FA6829" w:rsidP="00FA6829">
      <w:pPr>
        <w:ind w:hanging="284"/>
        <w:rPr>
          <w:sz w:val="12"/>
        </w:rPr>
      </w:pPr>
      <w:proofErr w:type="gramStart"/>
      <w:r>
        <w:t>dc</w:t>
      </w:r>
      <w:proofErr w:type="gramEnd"/>
    </w:p>
    <w:sectPr w:rsidR="00FA6829" w:rsidRPr="00FA6829" w:rsidSect="00240581">
      <w:headerReference w:type="even" r:id="rId9"/>
      <w:headerReference w:type="default" r:id="rId10"/>
      <w:footerReference w:type="even" r:id="rId11"/>
      <w:footerReference w:type="default" r:id="rId12"/>
      <w:headerReference w:type="first" r:id="rId13"/>
      <w:footerReference w:type="first" r:id="rId14"/>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2A" w:rsidRDefault="002D1C2A" w:rsidP="00B16013">
      <w:r>
        <w:separator/>
      </w:r>
    </w:p>
  </w:endnote>
  <w:endnote w:type="continuationSeparator" w:id="0">
    <w:p w:rsidR="002D1C2A" w:rsidRDefault="002D1C2A" w:rsidP="00B1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2A" w:rsidRDefault="002D1C2A" w:rsidP="00B16013">
      <w:r>
        <w:separator/>
      </w:r>
    </w:p>
  </w:footnote>
  <w:footnote w:type="continuationSeparator" w:id="0">
    <w:p w:rsidR="002D1C2A" w:rsidRDefault="002D1C2A" w:rsidP="00B16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FE803FC4"/>
    <w:lvl w:ilvl="0" w:tplc="A4D619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6A"/>
    <w:rsid w:val="000225F3"/>
    <w:rsid w:val="00112201"/>
    <w:rsid w:val="00133E56"/>
    <w:rsid w:val="0014607F"/>
    <w:rsid w:val="001D47E4"/>
    <w:rsid w:val="0022626E"/>
    <w:rsid w:val="00240581"/>
    <w:rsid w:val="00266201"/>
    <w:rsid w:val="002D1C2A"/>
    <w:rsid w:val="003500A3"/>
    <w:rsid w:val="006C3669"/>
    <w:rsid w:val="006E38B8"/>
    <w:rsid w:val="006F68A2"/>
    <w:rsid w:val="00712BB7"/>
    <w:rsid w:val="0076246A"/>
    <w:rsid w:val="007D7D74"/>
    <w:rsid w:val="00826FA4"/>
    <w:rsid w:val="0086248E"/>
    <w:rsid w:val="00890B5B"/>
    <w:rsid w:val="009323C2"/>
    <w:rsid w:val="00987FDA"/>
    <w:rsid w:val="00A362A6"/>
    <w:rsid w:val="00A46F36"/>
    <w:rsid w:val="00AD3DFC"/>
    <w:rsid w:val="00AD7664"/>
    <w:rsid w:val="00AE09E0"/>
    <w:rsid w:val="00AF7D40"/>
    <w:rsid w:val="00B16013"/>
    <w:rsid w:val="00B80071"/>
    <w:rsid w:val="00C556D7"/>
    <w:rsid w:val="00CA375E"/>
    <w:rsid w:val="00CF48CC"/>
    <w:rsid w:val="00D408B5"/>
    <w:rsid w:val="00E60184"/>
    <w:rsid w:val="00F62E30"/>
    <w:rsid w:val="00F823D1"/>
    <w:rsid w:val="00FA68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A6829"/>
    <w:pPr>
      <w:keepNext/>
      <w:jc w:val="center"/>
      <w:outlineLvl w:val="0"/>
    </w:pPr>
    <w:rPr>
      <w:b/>
    </w:rPr>
  </w:style>
  <w:style w:type="paragraph" w:styleId="Ttulo2">
    <w:name w:val="heading 2"/>
    <w:basedOn w:val="Normal"/>
    <w:next w:val="Normal"/>
    <w:link w:val="Ttulo2Car"/>
    <w:qFormat/>
    <w:rsid w:val="00FA6829"/>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B16013"/>
    <w:pPr>
      <w:tabs>
        <w:tab w:val="center" w:pos="4252"/>
        <w:tab w:val="right" w:pos="8504"/>
      </w:tabs>
    </w:pPr>
  </w:style>
  <w:style w:type="character" w:customStyle="1" w:styleId="EncabezadoCar">
    <w:name w:val="Encabezado Car"/>
    <w:basedOn w:val="Fuentedeprrafopredeter"/>
    <w:link w:val="Encabezado"/>
    <w:uiPriority w:val="99"/>
    <w:rsid w:val="00B1601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B16013"/>
    <w:pPr>
      <w:tabs>
        <w:tab w:val="center" w:pos="4252"/>
        <w:tab w:val="right" w:pos="8504"/>
      </w:tabs>
    </w:pPr>
  </w:style>
  <w:style w:type="character" w:customStyle="1" w:styleId="PiedepginaCar">
    <w:name w:val="Pie de página Car"/>
    <w:basedOn w:val="Fuentedeprrafopredeter"/>
    <w:link w:val="Piedepgina"/>
    <w:uiPriority w:val="99"/>
    <w:rsid w:val="00B16013"/>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FA6829"/>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FA6829"/>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FA6829"/>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FA6829"/>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A6829"/>
    <w:pPr>
      <w:keepNext/>
      <w:jc w:val="center"/>
      <w:outlineLvl w:val="0"/>
    </w:pPr>
    <w:rPr>
      <w:b/>
    </w:rPr>
  </w:style>
  <w:style w:type="paragraph" w:styleId="Ttulo2">
    <w:name w:val="heading 2"/>
    <w:basedOn w:val="Normal"/>
    <w:next w:val="Normal"/>
    <w:link w:val="Ttulo2Car"/>
    <w:qFormat/>
    <w:rsid w:val="00FA6829"/>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B16013"/>
    <w:pPr>
      <w:tabs>
        <w:tab w:val="center" w:pos="4252"/>
        <w:tab w:val="right" w:pos="8504"/>
      </w:tabs>
    </w:pPr>
  </w:style>
  <w:style w:type="character" w:customStyle="1" w:styleId="EncabezadoCar">
    <w:name w:val="Encabezado Car"/>
    <w:basedOn w:val="Fuentedeprrafopredeter"/>
    <w:link w:val="Encabezado"/>
    <w:uiPriority w:val="99"/>
    <w:rsid w:val="00B1601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B16013"/>
    <w:pPr>
      <w:tabs>
        <w:tab w:val="center" w:pos="4252"/>
        <w:tab w:val="right" w:pos="8504"/>
      </w:tabs>
    </w:pPr>
  </w:style>
  <w:style w:type="character" w:customStyle="1" w:styleId="PiedepginaCar">
    <w:name w:val="Pie de página Car"/>
    <w:basedOn w:val="Fuentedeprrafopredeter"/>
    <w:link w:val="Piedepgina"/>
    <w:uiPriority w:val="99"/>
    <w:rsid w:val="00B16013"/>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FA6829"/>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FA6829"/>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FA6829"/>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FA6829"/>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8CD81-45F5-42FA-9639-85A527B2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1143</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Tribunal1</cp:lastModifiedBy>
  <cp:revision>6</cp:revision>
  <cp:lastPrinted>2018-09-21T17:54:00Z</cp:lastPrinted>
  <dcterms:created xsi:type="dcterms:W3CDTF">2018-09-21T17:55:00Z</dcterms:created>
  <dcterms:modified xsi:type="dcterms:W3CDTF">2018-10-31T15:59:00Z</dcterms:modified>
</cp:coreProperties>
</file>