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CB" w:rsidRPr="00F347CB" w:rsidRDefault="00F347CB" w:rsidP="00F347C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3006/18</w:t>
      </w:r>
    </w:p>
    <w:p w:rsidR="00F347CB" w:rsidRPr="00F347CB" w:rsidRDefault="00F347CB" w:rsidP="00F347CB">
      <w:pPr>
        <w:tabs>
          <w:tab w:val="center" w:pos="4253"/>
        </w:tabs>
        <w:suppressAutoHyphens/>
        <w:spacing w:after="0" w:line="240" w:lineRule="auto"/>
        <w:ind w:left="6" w:hanging="6"/>
        <w:jc w:val="center"/>
        <w:rPr>
          <w:rFonts w:ascii="Arial" w:hAnsi="Arial" w:cs="Arial"/>
          <w:b/>
          <w:sz w:val="24"/>
          <w:szCs w:val="24"/>
          <w:lang w:val="es-ES_tradnl"/>
        </w:rPr>
      </w:pPr>
      <w:r w:rsidRPr="00F347CB">
        <w:rPr>
          <w:rFonts w:ascii="Arial" w:hAnsi="Arial" w:cs="Arial"/>
          <w:b/>
          <w:sz w:val="24"/>
          <w:szCs w:val="24"/>
          <w:lang w:val="es-ES_tradnl"/>
        </w:rPr>
        <w:t>RESOLUCION ADOPTADA POR EL</w:t>
      </w:r>
    </w:p>
    <w:p w:rsidR="00F347CB" w:rsidRPr="00F347CB" w:rsidRDefault="00F347CB" w:rsidP="00F347CB">
      <w:pPr>
        <w:tabs>
          <w:tab w:val="left" w:pos="-720"/>
        </w:tabs>
        <w:suppressAutoHyphens/>
        <w:spacing w:after="0" w:line="240" w:lineRule="auto"/>
        <w:ind w:left="6" w:hanging="6"/>
        <w:jc w:val="center"/>
        <w:rPr>
          <w:rFonts w:ascii="Arial" w:hAnsi="Arial" w:cs="Arial"/>
          <w:b/>
          <w:sz w:val="24"/>
          <w:szCs w:val="24"/>
          <w:lang w:val="es-ES_tradnl"/>
        </w:rPr>
      </w:pPr>
    </w:p>
    <w:p w:rsidR="00F347CB" w:rsidRPr="00F347CB" w:rsidRDefault="00F347CB" w:rsidP="00F347CB">
      <w:pPr>
        <w:tabs>
          <w:tab w:val="center" w:pos="4253"/>
        </w:tabs>
        <w:suppressAutoHyphens/>
        <w:spacing w:after="0" w:line="240" w:lineRule="auto"/>
        <w:ind w:left="6" w:hanging="6"/>
        <w:jc w:val="center"/>
        <w:rPr>
          <w:rFonts w:ascii="Arial" w:hAnsi="Arial" w:cs="Arial"/>
          <w:b/>
          <w:sz w:val="24"/>
          <w:szCs w:val="24"/>
          <w:lang w:val="es-ES_tradnl"/>
        </w:rPr>
      </w:pPr>
      <w:r w:rsidRPr="00F347CB">
        <w:rPr>
          <w:rFonts w:ascii="Arial" w:hAnsi="Arial" w:cs="Arial"/>
          <w:b/>
          <w:sz w:val="24"/>
          <w:szCs w:val="24"/>
          <w:lang w:val="es-ES_tradnl"/>
        </w:rPr>
        <w:t>TRIBUNAL DE CUENTAS</w:t>
      </w:r>
    </w:p>
    <w:p w:rsidR="00F347CB" w:rsidRPr="00F347CB" w:rsidRDefault="00F347CB" w:rsidP="00F347CB">
      <w:pPr>
        <w:tabs>
          <w:tab w:val="left" w:pos="-720"/>
        </w:tabs>
        <w:suppressAutoHyphens/>
        <w:spacing w:after="0" w:line="240" w:lineRule="auto"/>
        <w:ind w:left="6" w:hanging="6"/>
        <w:jc w:val="center"/>
        <w:rPr>
          <w:rFonts w:ascii="Arial" w:hAnsi="Arial" w:cs="Arial"/>
          <w:b/>
          <w:sz w:val="24"/>
          <w:szCs w:val="24"/>
          <w:lang w:val="es-ES_tradnl"/>
        </w:rPr>
      </w:pPr>
    </w:p>
    <w:p w:rsidR="00F347CB" w:rsidRPr="00F347CB" w:rsidRDefault="00F347CB" w:rsidP="00F347CB">
      <w:pPr>
        <w:tabs>
          <w:tab w:val="center" w:pos="4253"/>
        </w:tabs>
        <w:suppressAutoHyphens/>
        <w:spacing w:after="0" w:line="240" w:lineRule="auto"/>
        <w:ind w:left="6" w:hanging="6"/>
        <w:jc w:val="center"/>
        <w:rPr>
          <w:rFonts w:ascii="Arial" w:hAnsi="Arial" w:cs="Arial"/>
          <w:b/>
          <w:sz w:val="24"/>
          <w:szCs w:val="24"/>
          <w:lang w:val="es-ES_tradnl"/>
        </w:rPr>
      </w:pPr>
      <w:r w:rsidRPr="00F347CB">
        <w:rPr>
          <w:rFonts w:ascii="Arial" w:hAnsi="Arial" w:cs="Arial"/>
          <w:b/>
          <w:sz w:val="24"/>
          <w:szCs w:val="24"/>
          <w:lang w:val="es-ES_tradnl"/>
        </w:rPr>
        <w:t xml:space="preserve">EN SESION DE FECHA 19 DE SETIEMBRE </w:t>
      </w:r>
      <w:r w:rsidRPr="00F347CB">
        <w:rPr>
          <w:rFonts w:ascii="Helvetica" w:hAnsi="Helvetica"/>
          <w:b/>
          <w:sz w:val="24"/>
          <w:szCs w:val="24"/>
          <w:lang w:val="es-ES_tradnl"/>
        </w:rPr>
        <w:t>DE 2018</w:t>
      </w:r>
    </w:p>
    <w:p w:rsidR="00F347CB" w:rsidRPr="00F347CB" w:rsidRDefault="00F347CB" w:rsidP="00F347CB">
      <w:pPr>
        <w:tabs>
          <w:tab w:val="center" w:pos="4253"/>
        </w:tabs>
        <w:suppressAutoHyphens/>
        <w:spacing w:after="0" w:line="240" w:lineRule="auto"/>
        <w:ind w:left="6" w:hanging="6"/>
        <w:jc w:val="center"/>
        <w:rPr>
          <w:rFonts w:ascii="Arial" w:hAnsi="Arial" w:cs="Arial"/>
          <w:b/>
          <w:sz w:val="24"/>
          <w:szCs w:val="24"/>
          <w:lang w:val="es-ES_tradnl"/>
        </w:rPr>
      </w:pPr>
    </w:p>
    <w:p w:rsidR="00F347CB" w:rsidRPr="008B33E3" w:rsidRDefault="00F347CB" w:rsidP="00F347CB">
      <w:pPr>
        <w:tabs>
          <w:tab w:val="center" w:pos="4253"/>
        </w:tabs>
        <w:suppressAutoHyphens/>
        <w:spacing w:after="0" w:line="240" w:lineRule="auto"/>
        <w:ind w:left="6" w:hanging="6"/>
        <w:jc w:val="center"/>
        <w:rPr>
          <w:rFonts w:ascii="Arial" w:hAnsi="Arial" w:cs="Arial"/>
          <w:b/>
          <w:sz w:val="24"/>
          <w:szCs w:val="24"/>
        </w:rPr>
      </w:pPr>
      <w:r w:rsidRPr="008B33E3">
        <w:rPr>
          <w:rFonts w:ascii="Arial" w:hAnsi="Arial" w:cs="Arial"/>
          <w:b/>
          <w:sz w:val="24"/>
          <w:szCs w:val="24"/>
        </w:rPr>
        <w:t>(E. E. Nº</w:t>
      </w:r>
      <w:r w:rsidR="008B33E3">
        <w:rPr>
          <w:rFonts w:ascii="Arial" w:hAnsi="Arial" w:cs="Arial"/>
          <w:b/>
          <w:sz w:val="24"/>
          <w:szCs w:val="24"/>
        </w:rPr>
        <w:t xml:space="preserve"> </w:t>
      </w:r>
      <w:r>
        <w:rPr>
          <w:rFonts w:ascii="Arial" w:eastAsia="Arial" w:hAnsi="Arial" w:cs="Arial"/>
          <w:b/>
          <w:sz w:val="24"/>
          <w:szCs w:val="24"/>
        </w:rPr>
        <w:t>2017- 17-1-0002596</w:t>
      </w:r>
      <w:r w:rsidRPr="008B33E3">
        <w:rPr>
          <w:rFonts w:ascii="Arial" w:hAnsi="Arial" w:cs="Arial"/>
          <w:b/>
          <w:sz w:val="24"/>
          <w:szCs w:val="24"/>
        </w:rPr>
        <w:t xml:space="preserve">, </w:t>
      </w:r>
      <w:proofErr w:type="spellStart"/>
      <w:r w:rsidRPr="008B33E3">
        <w:rPr>
          <w:rFonts w:ascii="Arial" w:hAnsi="Arial" w:cs="Arial"/>
          <w:b/>
          <w:sz w:val="24"/>
          <w:szCs w:val="24"/>
        </w:rPr>
        <w:t>Ents</w:t>
      </w:r>
      <w:proofErr w:type="spellEnd"/>
      <w:r w:rsidRPr="008B33E3">
        <w:rPr>
          <w:rFonts w:ascii="Arial" w:hAnsi="Arial" w:cs="Arial"/>
          <w:b/>
          <w:sz w:val="24"/>
          <w:szCs w:val="24"/>
        </w:rPr>
        <w:t>. N°</w:t>
      </w:r>
      <w:r w:rsidR="008B33E3">
        <w:rPr>
          <w:rFonts w:ascii="Arial" w:hAnsi="Arial" w:cs="Arial"/>
          <w:b/>
          <w:sz w:val="24"/>
          <w:szCs w:val="24"/>
        </w:rPr>
        <w:t xml:space="preserve"> </w:t>
      </w:r>
      <w:r w:rsidRPr="008B33E3">
        <w:rPr>
          <w:rFonts w:ascii="Arial" w:hAnsi="Arial" w:cs="Arial"/>
          <w:b/>
          <w:sz w:val="24"/>
          <w:szCs w:val="24"/>
        </w:rPr>
        <w:t>2153/17 y N°</w:t>
      </w:r>
      <w:r w:rsidR="008B33E3">
        <w:rPr>
          <w:rFonts w:ascii="Arial" w:hAnsi="Arial" w:cs="Arial"/>
          <w:b/>
          <w:sz w:val="24"/>
          <w:szCs w:val="24"/>
        </w:rPr>
        <w:t xml:space="preserve"> </w:t>
      </w:r>
      <w:r w:rsidRPr="008B33E3">
        <w:rPr>
          <w:rFonts w:ascii="Arial" w:hAnsi="Arial" w:cs="Arial"/>
          <w:b/>
          <w:sz w:val="24"/>
          <w:szCs w:val="24"/>
        </w:rPr>
        <w:t>2211/18)</w:t>
      </w:r>
    </w:p>
    <w:p w:rsidR="0091640B" w:rsidRPr="00D863BB" w:rsidRDefault="0091640B" w:rsidP="00F347CB">
      <w:pPr>
        <w:tabs>
          <w:tab w:val="center" w:pos="4253"/>
        </w:tabs>
        <w:suppressAutoHyphens/>
        <w:ind w:left="0" w:firstLine="0"/>
        <w:rPr>
          <w:rFonts w:ascii="Arial" w:hAnsi="Arial" w:cs="Arial"/>
          <w:b/>
          <w:sz w:val="24"/>
          <w:szCs w:val="24"/>
          <w:lang w:val="es-AR"/>
        </w:rPr>
      </w:pPr>
    </w:p>
    <w:p w:rsidR="00816F4A" w:rsidRPr="00D863BB" w:rsidRDefault="00816F4A" w:rsidP="008B33E3">
      <w:pPr>
        <w:spacing w:after="0" w:line="360" w:lineRule="auto"/>
        <w:ind w:firstLine="762"/>
        <w:rPr>
          <w:rFonts w:ascii="Arial" w:hAnsi="Arial" w:cs="Arial"/>
          <w:sz w:val="24"/>
          <w:szCs w:val="24"/>
        </w:rPr>
      </w:pPr>
      <w:r w:rsidRPr="00BB64AF">
        <w:rPr>
          <w:rFonts w:ascii="Arial" w:hAnsi="Arial" w:cs="Arial"/>
          <w:b/>
          <w:sz w:val="24"/>
          <w:szCs w:val="24"/>
        </w:rPr>
        <w:t>VISTO:</w:t>
      </w:r>
      <w:r w:rsidRPr="00BB64AF">
        <w:rPr>
          <w:rFonts w:ascii="Arial" w:hAnsi="Arial" w:cs="Arial"/>
          <w:sz w:val="24"/>
          <w:szCs w:val="24"/>
        </w:rPr>
        <w:t xml:space="preserve"> que este Tribunal ha examinado el Estado de Situación Patrimonial consolidado al 31 de diciembre de 2016 y los correspondientes Estados</w:t>
      </w:r>
      <w:r>
        <w:rPr>
          <w:rFonts w:ascii="Arial" w:hAnsi="Arial" w:cs="Arial"/>
          <w:sz w:val="24"/>
          <w:szCs w:val="24"/>
        </w:rPr>
        <w:t xml:space="preserve"> consolidados</w:t>
      </w:r>
      <w:r w:rsidRPr="00BB64AF">
        <w:rPr>
          <w:rFonts w:ascii="Arial" w:hAnsi="Arial" w:cs="Arial"/>
          <w:sz w:val="24"/>
          <w:szCs w:val="24"/>
        </w:rPr>
        <w:t xml:space="preserve"> de Resultados, de Evolución del Patrimonio y de Origen y Aplicación de Fondos, por el ejercicio finalizado a esa fecha, con sus notas explicativas</w:t>
      </w:r>
      <w:r w:rsidRPr="00D863BB">
        <w:rPr>
          <w:rFonts w:ascii="Arial" w:hAnsi="Arial" w:cs="Arial"/>
          <w:sz w:val="24"/>
          <w:szCs w:val="24"/>
        </w:rPr>
        <w:t>, formulados por la Universidad Tecnológica (UTEC);</w:t>
      </w:r>
    </w:p>
    <w:p w:rsidR="00816F4A" w:rsidRPr="00D863BB" w:rsidRDefault="00816F4A" w:rsidP="008B33E3">
      <w:pPr>
        <w:spacing w:after="0" w:line="360" w:lineRule="auto"/>
        <w:ind w:firstLine="762"/>
        <w:rPr>
          <w:rFonts w:ascii="Arial" w:hAnsi="Arial" w:cs="Arial"/>
          <w:sz w:val="24"/>
          <w:szCs w:val="24"/>
        </w:rPr>
      </w:pPr>
      <w:r w:rsidRPr="00D863BB">
        <w:rPr>
          <w:rFonts w:ascii="Arial" w:hAnsi="Arial" w:cs="Arial"/>
          <w:b/>
          <w:sz w:val="24"/>
          <w:szCs w:val="24"/>
        </w:rPr>
        <w:t>RESULTANDO:</w:t>
      </w:r>
      <w:r w:rsidRPr="00D863BB">
        <w:rPr>
          <w:rFonts w:ascii="Arial" w:hAnsi="Arial" w:cs="Arial"/>
          <w:sz w:val="24"/>
          <w:szCs w:val="24"/>
        </w:rPr>
        <w:t xml:space="preserve"> que el examen fue realizado </w:t>
      </w:r>
      <w:r>
        <w:rPr>
          <w:rFonts w:ascii="Arial" w:hAnsi="Arial" w:cs="Arial"/>
          <w:sz w:val="24"/>
          <w:szCs w:val="24"/>
        </w:rPr>
        <w:t>d</w:t>
      </w:r>
      <w:r w:rsidRPr="00D863BB">
        <w:rPr>
          <w:rFonts w:ascii="Arial" w:hAnsi="Arial" w:cs="Arial"/>
          <w:sz w:val="24"/>
          <w:szCs w:val="24"/>
        </w:rPr>
        <w:t xml:space="preserve">e acuerdo con los Principios Fundamentales de Auditoría (ISSAI 100 y 200) </w:t>
      </w:r>
      <w:r>
        <w:rPr>
          <w:rFonts w:ascii="Arial" w:hAnsi="Arial" w:cs="Arial"/>
          <w:sz w:val="24"/>
          <w:szCs w:val="24"/>
        </w:rPr>
        <w:t xml:space="preserve">y las Directrices de Auditoría Financiera (ISSAI 1000 a 1810) </w:t>
      </w:r>
      <w:r w:rsidRPr="00D863BB">
        <w:rPr>
          <w:rFonts w:ascii="Arial" w:hAnsi="Arial" w:cs="Arial"/>
          <w:sz w:val="24"/>
          <w:szCs w:val="24"/>
        </w:rPr>
        <w:t>de la Organización Internacional de Entidades Fiscalizadoras Superiores (INTOSAI);</w:t>
      </w:r>
    </w:p>
    <w:p w:rsidR="00816F4A" w:rsidRPr="00D863BB" w:rsidRDefault="00816F4A" w:rsidP="008B33E3">
      <w:pPr>
        <w:spacing w:after="0" w:line="360" w:lineRule="auto"/>
        <w:ind w:firstLine="762"/>
        <w:rPr>
          <w:rFonts w:ascii="Arial" w:hAnsi="Arial" w:cs="Arial"/>
          <w:sz w:val="24"/>
          <w:szCs w:val="24"/>
        </w:rPr>
      </w:pPr>
      <w:r w:rsidRPr="00D863BB">
        <w:rPr>
          <w:rFonts w:ascii="Arial" w:hAnsi="Arial" w:cs="Arial"/>
          <w:b/>
          <w:sz w:val="24"/>
          <w:szCs w:val="24"/>
        </w:rPr>
        <w:t>CONSIDERANDO:</w:t>
      </w:r>
      <w:r w:rsidRPr="00D863BB">
        <w:rPr>
          <w:rFonts w:ascii="Arial" w:hAnsi="Arial" w:cs="Arial"/>
          <w:sz w:val="24"/>
          <w:szCs w:val="24"/>
        </w:rPr>
        <w:t xml:space="preserve"> que las conclusiones y evidencias obtenidas son las que se expresan en el Informe de Auditoría que incluye el Dictamen e Informe a la Administración;</w:t>
      </w:r>
    </w:p>
    <w:p w:rsidR="00816F4A" w:rsidRPr="00D863BB" w:rsidRDefault="00816F4A" w:rsidP="008B33E3">
      <w:pPr>
        <w:spacing w:after="0" w:line="360" w:lineRule="auto"/>
        <w:ind w:firstLine="762"/>
        <w:rPr>
          <w:rFonts w:ascii="Arial" w:hAnsi="Arial" w:cs="Arial"/>
          <w:sz w:val="24"/>
          <w:szCs w:val="24"/>
        </w:rPr>
      </w:pPr>
      <w:r w:rsidRPr="00D863BB">
        <w:rPr>
          <w:rFonts w:ascii="Arial" w:hAnsi="Arial" w:cs="Arial"/>
          <w:b/>
          <w:sz w:val="24"/>
          <w:szCs w:val="24"/>
        </w:rPr>
        <w:t>ATENTO:</w:t>
      </w:r>
      <w:r>
        <w:rPr>
          <w:rFonts w:ascii="Arial" w:hAnsi="Arial" w:cs="Arial"/>
          <w:sz w:val="24"/>
          <w:szCs w:val="24"/>
        </w:rPr>
        <w:t xml:space="preserve"> a lo establecido los Artículos 191 y 211 c) de la Constitución de la Republica</w:t>
      </w:r>
      <w:r w:rsidRPr="00D863BB">
        <w:rPr>
          <w:rFonts w:ascii="Arial" w:hAnsi="Arial" w:cs="Arial"/>
          <w:sz w:val="24"/>
          <w:szCs w:val="24"/>
        </w:rPr>
        <w:t>;</w:t>
      </w:r>
    </w:p>
    <w:p w:rsidR="00816F4A" w:rsidRPr="00D863BB" w:rsidRDefault="00816F4A" w:rsidP="00816F4A">
      <w:pPr>
        <w:spacing w:after="0" w:line="360" w:lineRule="auto"/>
        <w:jc w:val="center"/>
        <w:rPr>
          <w:rFonts w:ascii="Arial" w:hAnsi="Arial" w:cs="Arial"/>
          <w:b/>
          <w:sz w:val="24"/>
          <w:szCs w:val="24"/>
        </w:rPr>
      </w:pPr>
      <w:r w:rsidRPr="00D863BB">
        <w:rPr>
          <w:rFonts w:ascii="Arial" w:hAnsi="Arial" w:cs="Arial"/>
          <w:b/>
          <w:sz w:val="24"/>
          <w:szCs w:val="24"/>
        </w:rPr>
        <w:t>EL TRIBUNAL ACUERDA</w:t>
      </w:r>
    </w:p>
    <w:p w:rsidR="00816F4A" w:rsidRPr="00D863BB" w:rsidRDefault="00816F4A" w:rsidP="00816F4A">
      <w:pPr>
        <w:numPr>
          <w:ilvl w:val="0"/>
          <w:numId w:val="1"/>
        </w:numPr>
        <w:tabs>
          <w:tab w:val="left" w:pos="284"/>
        </w:tabs>
        <w:spacing w:after="0" w:line="360" w:lineRule="auto"/>
        <w:ind w:left="0" w:firstLine="0"/>
        <w:rPr>
          <w:rFonts w:ascii="Arial" w:hAnsi="Arial" w:cs="Arial"/>
          <w:sz w:val="24"/>
          <w:szCs w:val="24"/>
        </w:rPr>
      </w:pPr>
      <w:r w:rsidRPr="00D863BB">
        <w:rPr>
          <w:rFonts w:ascii="Arial" w:hAnsi="Arial" w:cs="Arial"/>
          <w:sz w:val="24"/>
          <w:szCs w:val="24"/>
        </w:rPr>
        <w:t>Expedirse en los términos del Informe de Auditoria que se adjunta;</w:t>
      </w:r>
    </w:p>
    <w:p w:rsidR="00816F4A" w:rsidRPr="00CE075F" w:rsidRDefault="00816F4A" w:rsidP="00816F4A">
      <w:pPr>
        <w:numPr>
          <w:ilvl w:val="0"/>
          <w:numId w:val="1"/>
        </w:numPr>
        <w:tabs>
          <w:tab w:val="left" w:pos="284"/>
        </w:tabs>
        <w:spacing w:after="0" w:line="360" w:lineRule="auto"/>
        <w:ind w:left="284" w:hanging="284"/>
      </w:pPr>
      <w:r w:rsidRPr="00CE075F">
        <w:rPr>
          <w:rFonts w:ascii="Arial" w:hAnsi="Arial" w:cs="Arial"/>
          <w:sz w:val="24"/>
          <w:szCs w:val="24"/>
        </w:rPr>
        <w:t>Comunicar la presente Resolución a</w:t>
      </w:r>
      <w:r>
        <w:rPr>
          <w:rFonts w:ascii="Arial" w:hAnsi="Arial" w:cs="Arial"/>
          <w:sz w:val="24"/>
          <w:szCs w:val="24"/>
        </w:rPr>
        <w:t xml:space="preserve">l </w:t>
      </w:r>
      <w:r w:rsidRPr="00BB64AF">
        <w:rPr>
          <w:rFonts w:ascii="Arial" w:hAnsi="Arial" w:cs="Arial"/>
          <w:sz w:val="24"/>
          <w:szCs w:val="24"/>
        </w:rPr>
        <w:t>Ministerio de Educación y Cultura</w:t>
      </w:r>
      <w:r w:rsidRPr="00CE075F">
        <w:rPr>
          <w:rFonts w:ascii="Arial" w:hAnsi="Arial" w:cs="Arial"/>
          <w:sz w:val="24"/>
          <w:szCs w:val="24"/>
        </w:rPr>
        <w:t xml:space="preserve">, a la </w:t>
      </w:r>
      <w:r w:rsidR="0065681C" w:rsidRPr="00D863BB">
        <w:rPr>
          <w:rFonts w:ascii="Arial" w:hAnsi="Arial" w:cs="Arial"/>
          <w:sz w:val="24"/>
          <w:szCs w:val="24"/>
        </w:rPr>
        <w:t>Universidad Tecnológica</w:t>
      </w:r>
      <w:r w:rsidRPr="00CE075F">
        <w:rPr>
          <w:rFonts w:ascii="Arial" w:hAnsi="Arial" w:cs="Arial"/>
          <w:sz w:val="24"/>
          <w:szCs w:val="24"/>
        </w:rPr>
        <w:t>; y</w:t>
      </w:r>
    </w:p>
    <w:p w:rsidR="00816F4A" w:rsidRPr="00CE075F" w:rsidRDefault="00816F4A" w:rsidP="00816F4A">
      <w:pPr>
        <w:numPr>
          <w:ilvl w:val="0"/>
          <w:numId w:val="1"/>
        </w:numPr>
        <w:tabs>
          <w:tab w:val="left" w:pos="284"/>
        </w:tabs>
        <w:spacing w:after="0" w:line="360" w:lineRule="auto"/>
        <w:ind w:left="0" w:firstLine="0"/>
      </w:pPr>
      <w:r w:rsidRPr="00CE075F">
        <w:rPr>
          <w:rFonts w:ascii="Arial" w:hAnsi="Arial" w:cs="Arial"/>
          <w:sz w:val="24"/>
          <w:szCs w:val="24"/>
        </w:rPr>
        <w:t>Dar cuenta a la Asamblea Ge</w:t>
      </w:r>
      <w:r>
        <w:rPr>
          <w:rFonts w:ascii="Arial" w:hAnsi="Arial" w:cs="Arial"/>
          <w:sz w:val="24"/>
          <w:szCs w:val="24"/>
        </w:rPr>
        <w:t>n</w:t>
      </w:r>
      <w:r w:rsidRPr="00CE075F">
        <w:rPr>
          <w:rFonts w:ascii="Arial" w:hAnsi="Arial" w:cs="Arial"/>
          <w:sz w:val="24"/>
          <w:szCs w:val="24"/>
        </w:rPr>
        <w:t>eral.</w:t>
      </w:r>
    </w:p>
    <w:p w:rsidR="00816F4A" w:rsidRDefault="00816F4A" w:rsidP="00816F4A"/>
    <w:p w:rsidR="00EA1F58" w:rsidRDefault="00EA1F58" w:rsidP="00EA1F58">
      <w:pPr>
        <w:tabs>
          <w:tab w:val="left" w:pos="284"/>
        </w:tabs>
        <w:spacing w:after="0" w:line="360" w:lineRule="auto"/>
        <w:ind w:left="0" w:firstLine="0"/>
        <w:rPr>
          <w:rFonts w:ascii="Arial" w:hAnsi="Arial" w:cs="Arial"/>
          <w:sz w:val="20"/>
          <w:szCs w:val="20"/>
        </w:rPr>
      </w:pPr>
      <w:r>
        <w:rPr>
          <w:rFonts w:ascii="Arial" w:hAnsi="Arial" w:cs="Arial"/>
          <w:sz w:val="20"/>
          <w:szCs w:val="20"/>
        </w:rPr>
        <w:t>CLC</w:t>
      </w: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3218FC">
      <w:pPr>
        <w:pStyle w:val="Standard"/>
        <w:tabs>
          <w:tab w:val="left" w:pos="360"/>
          <w:tab w:val="left" w:pos="567"/>
          <w:tab w:val="left" w:pos="1560"/>
          <w:tab w:val="right" w:pos="5387"/>
          <w:tab w:val="right" w:pos="7513"/>
        </w:tabs>
        <w:spacing w:after="0" w:line="360" w:lineRule="auto"/>
        <w:jc w:val="center"/>
        <w:rPr>
          <w:rFonts w:ascii="Arial" w:eastAsia="Arial" w:hAnsi="Arial" w:cs="Arial"/>
          <w:b/>
          <w:sz w:val="24"/>
          <w:szCs w:val="24"/>
        </w:rPr>
      </w:pPr>
      <w:r>
        <w:rPr>
          <w:rFonts w:ascii="Arial" w:eastAsia="Arial" w:hAnsi="Arial" w:cs="Arial"/>
          <w:b/>
          <w:sz w:val="24"/>
          <w:szCs w:val="24"/>
        </w:rPr>
        <w:lastRenderedPageBreak/>
        <w:t>DICTAMEN</w:t>
      </w:r>
    </w:p>
    <w:p w:rsidR="008B33E3" w:rsidRDefault="008B33E3" w:rsidP="0004459C">
      <w:pPr>
        <w:pStyle w:val="Standard"/>
        <w:tabs>
          <w:tab w:val="left" w:pos="360"/>
          <w:tab w:val="left" w:pos="567"/>
          <w:tab w:val="left" w:pos="1560"/>
          <w:tab w:val="right" w:pos="5387"/>
          <w:tab w:val="right" w:pos="7513"/>
        </w:tabs>
        <w:spacing w:after="0" w:line="360" w:lineRule="auto"/>
        <w:rPr>
          <w:rFonts w:ascii="Arial" w:hAnsi="Arial" w:cs="Arial"/>
          <w:sz w:val="24"/>
          <w:szCs w:val="24"/>
        </w:rPr>
      </w:pPr>
    </w:p>
    <w:p w:rsidR="008B33E3" w:rsidRPr="00581194" w:rsidRDefault="008B33E3" w:rsidP="007279B7">
      <w:pPr>
        <w:pStyle w:val="Standard"/>
        <w:spacing w:after="0" w:line="360" w:lineRule="auto"/>
        <w:jc w:val="both"/>
        <w:rPr>
          <w:rFonts w:ascii="Arial" w:eastAsia="Arial" w:hAnsi="Arial" w:cs="Arial"/>
          <w:sz w:val="24"/>
          <w:szCs w:val="24"/>
        </w:rPr>
      </w:pPr>
      <w:r w:rsidRPr="00581194">
        <w:rPr>
          <w:rFonts w:ascii="Arial" w:eastAsia="Arial" w:hAnsi="Arial" w:cs="Arial"/>
          <w:sz w:val="24"/>
          <w:szCs w:val="24"/>
        </w:rPr>
        <w:t xml:space="preserve">El Tribunal de Cuentas ha </w:t>
      </w:r>
      <w:r>
        <w:rPr>
          <w:rFonts w:ascii="Arial" w:eastAsia="Arial" w:hAnsi="Arial" w:cs="Arial"/>
          <w:sz w:val="24"/>
          <w:szCs w:val="24"/>
        </w:rPr>
        <w:t>auditado</w:t>
      </w:r>
      <w:r w:rsidRPr="00581194">
        <w:rPr>
          <w:rFonts w:ascii="Arial" w:eastAsia="Arial" w:hAnsi="Arial" w:cs="Arial"/>
          <w:sz w:val="24"/>
          <w:szCs w:val="24"/>
        </w:rPr>
        <w:t xml:space="preserve"> los estados financieros de la Universidad Tecnológica (UTEC) los que comprenden el Estado de Situación Patrimonial consolidado al 31/12/2016, los correspondientes Estados</w:t>
      </w:r>
      <w:r>
        <w:rPr>
          <w:rFonts w:ascii="Arial" w:eastAsia="Arial" w:hAnsi="Arial" w:cs="Arial"/>
          <w:sz w:val="24"/>
          <w:szCs w:val="24"/>
        </w:rPr>
        <w:t xml:space="preserve"> consolidados </w:t>
      </w:r>
      <w:r w:rsidRPr="00581194">
        <w:rPr>
          <w:rFonts w:ascii="Arial" w:eastAsia="Arial" w:hAnsi="Arial" w:cs="Arial"/>
          <w:sz w:val="24"/>
          <w:szCs w:val="24"/>
        </w:rPr>
        <w:t>de Resultados, de Origen y Aplicación de Fondos y de Evolución del Patrimonio, por el ejercicio anual finalizado en esa fecha, las notas de políticas contables significativas aplicadas y otras n</w:t>
      </w:r>
      <w:r>
        <w:rPr>
          <w:rFonts w:ascii="Arial" w:eastAsia="Arial" w:hAnsi="Arial" w:cs="Arial"/>
          <w:sz w:val="24"/>
          <w:szCs w:val="24"/>
        </w:rPr>
        <w:t>otas explicativas y los Anexos.</w:t>
      </w:r>
    </w:p>
    <w:p w:rsidR="008B33E3" w:rsidRPr="00581194" w:rsidRDefault="008B33E3" w:rsidP="007279B7">
      <w:pPr>
        <w:pStyle w:val="Standard"/>
        <w:spacing w:after="240" w:line="360" w:lineRule="auto"/>
        <w:jc w:val="both"/>
        <w:rPr>
          <w:rFonts w:ascii="Arial" w:eastAsia="Arial" w:hAnsi="Arial" w:cs="Arial"/>
          <w:sz w:val="24"/>
          <w:szCs w:val="24"/>
        </w:rPr>
      </w:pPr>
      <w:r w:rsidRPr="00581194">
        <w:rPr>
          <w:rFonts w:ascii="Arial" w:eastAsia="Arial" w:hAnsi="Arial" w:cs="Arial"/>
          <w:sz w:val="24"/>
          <w:szCs w:val="24"/>
        </w:rPr>
        <w:t>En opinión del Tribunal de Cuentas, los estados financieros referidos precedentemente presentan razonablemente, en todos sus aspectos significativos, la situación financiera de la Universidad Tecnológica al 31 de diciembre de 2016, los resultados de sus operaciones y los flujos d</w:t>
      </w:r>
      <w:r>
        <w:rPr>
          <w:rFonts w:ascii="Arial" w:eastAsia="Arial" w:hAnsi="Arial" w:cs="Arial"/>
          <w:sz w:val="24"/>
          <w:szCs w:val="24"/>
        </w:rPr>
        <w:t>e efectivo correspondientes al e</w:t>
      </w:r>
      <w:r w:rsidRPr="00581194">
        <w:rPr>
          <w:rFonts w:ascii="Arial" w:eastAsia="Arial" w:hAnsi="Arial" w:cs="Arial"/>
          <w:sz w:val="24"/>
          <w:szCs w:val="24"/>
        </w:rPr>
        <w:t>jercicio anual terminado en esa fecha, de acuerdo con las Normas Internacionales de C</w:t>
      </w:r>
      <w:r>
        <w:rPr>
          <w:rFonts w:ascii="Arial" w:eastAsia="Arial" w:hAnsi="Arial" w:cs="Arial"/>
          <w:sz w:val="24"/>
          <w:szCs w:val="24"/>
        </w:rPr>
        <w:t>ontabilidad del Sector Público.</w:t>
      </w:r>
    </w:p>
    <w:p w:rsidR="008B33E3" w:rsidRPr="00581194" w:rsidRDefault="008B33E3" w:rsidP="007279B7">
      <w:pPr>
        <w:pStyle w:val="Standard"/>
        <w:tabs>
          <w:tab w:val="left" w:pos="360"/>
          <w:tab w:val="left" w:pos="567"/>
          <w:tab w:val="left" w:pos="1560"/>
          <w:tab w:val="right" w:pos="5387"/>
          <w:tab w:val="right" w:pos="7513"/>
        </w:tabs>
        <w:spacing w:after="0" w:line="360" w:lineRule="auto"/>
        <w:rPr>
          <w:rFonts w:ascii="Arial" w:eastAsia="Arial" w:hAnsi="Arial" w:cs="Arial"/>
          <w:b/>
          <w:sz w:val="24"/>
          <w:szCs w:val="24"/>
        </w:rPr>
      </w:pPr>
      <w:r w:rsidRPr="00581194">
        <w:rPr>
          <w:rFonts w:ascii="Arial" w:eastAsia="Arial" w:hAnsi="Arial" w:cs="Arial"/>
          <w:b/>
          <w:sz w:val="24"/>
          <w:szCs w:val="24"/>
        </w:rPr>
        <w:t>Opinión respecto al cumplimiento de la normativa legal aplicable</w:t>
      </w:r>
    </w:p>
    <w:p w:rsidR="008B33E3" w:rsidRPr="00581194" w:rsidRDefault="008B33E3" w:rsidP="007279B7">
      <w:pPr>
        <w:pStyle w:val="Standard"/>
        <w:tabs>
          <w:tab w:val="left" w:pos="360"/>
          <w:tab w:val="left" w:pos="567"/>
          <w:tab w:val="left" w:pos="1560"/>
          <w:tab w:val="right" w:pos="5387"/>
          <w:tab w:val="right" w:pos="7513"/>
        </w:tabs>
        <w:spacing w:after="0" w:line="360" w:lineRule="auto"/>
        <w:rPr>
          <w:rFonts w:ascii="Arial" w:eastAsia="Arial" w:hAnsi="Arial" w:cs="Arial"/>
          <w:sz w:val="24"/>
          <w:szCs w:val="24"/>
        </w:rPr>
      </w:pPr>
      <w:r w:rsidRPr="00581194">
        <w:rPr>
          <w:rFonts w:ascii="Arial" w:eastAsia="Arial" w:hAnsi="Arial" w:cs="Arial"/>
          <w:sz w:val="24"/>
          <w:szCs w:val="24"/>
        </w:rPr>
        <w:t>En el curso de la auditoría, se han constatado los siguientes incumplimientos:</w:t>
      </w:r>
    </w:p>
    <w:p w:rsidR="008B33E3" w:rsidRPr="00581194" w:rsidRDefault="008B33E3" w:rsidP="008B33E3">
      <w:pPr>
        <w:pStyle w:val="Standard"/>
        <w:numPr>
          <w:ilvl w:val="0"/>
          <w:numId w:val="2"/>
        </w:numPr>
        <w:tabs>
          <w:tab w:val="left" w:pos="360"/>
          <w:tab w:val="left" w:pos="567"/>
          <w:tab w:val="left" w:pos="1560"/>
          <w:tab w:val="right" w:pos="5387"/>
          <w:tab w:val="right" w:pos="7513"/>
        </w:tabs>
        <w:spacing w:after="0" w:line="360" w:lineRule="auto"/>
        <w:textAlignment w:val="auto"/>
        <w:rPr>
          <w:rFonts w:ascii="Arial" w:eastAsia="Arial" w:hAnsi="Arial" w:cs="Arial"/>
          <w:sz w:val="24"/>
          <w:szCs w:val="24"/>
        </w:rPr>
      </w:pPr>
      <w:r w:rsidRPr="00581194">
        <w:rPr>
          <w:rFonts w:ascii="Arial" w:hAnsi="Arial" w:cs="Arial"/>
          <w:color w:val="00000A"/>
          <w:sz w:val="24"/>
          <w:szCs w:val="24"/>
          <w:shd w:val="clear" w:color="auto" w:fill="FFFFFF"/>
        </w:rPr>
        <w:t xml:space="preserve">Artículos 14, 20, 33, 42, 43, </w:t>
      </w:r>
      <w:r w:rsidRPr="00581194">
        <w:rPr>
          <w:rFonts w:ascii="Arial" w:eastAsia="Calibri" w:hAnsi="Arial" w:cs="Arial"/>
          <w:color w:val="00000A"/>
          <w:sz w:val="24"/>
          <w:szCs w:val="24"/>
        </w:rPr>
        <w:t>64, 119 y 154 del TOCAF,</w:t>
      </w:r>
    </w:p>
    <w:p w:rsidR="008B33E3" w:rsidRPr="00581194" w:rsidRDefault="008B33E3" w:rsidP="008B33E3">
      <w:pPr>
        <w:pStyle w:val="Standard"/>
        <w:numPr>
          <w:ilvl w:val="0"/>
          <w:numId w:val="2"/>
        </w:numPr>
        <w:tabs>
          <w:tab w:val="left" w:pos="360"/>
          <w:tab w:val="left" w:pos="567"/>
          <w:tab w:val="left" w:pos="1560"/>
          <w:tab w:val="right" w:pos="5387"/>
          <w:tab w:val="right" w:pos="7513"/>
        </w:tabs>
        <w:spacing w:after="0" w:line="360" w:lineRule="auto"/>
        <w:textAlignment w:val="auto"/>
        <w:rPr>
          <w:rFonts w:ascii="Arial" w:eastAsia="Arial" w:hAnsi="Arial" w:cs="Arial"/>
          <w:sz w:val="24"/>
          <w:szCs w:val="24"/>
        </w:rPr>
      </w:pPr>
      <w:r w:rsidRPr="00581194">
        <w:rPr>
          <w:rFonts w:ascii="Arial" w:hAnsi="Arial" w:cs="Arial"/>
          <w:color w:val="00000A"/>
          <w:sz w:val="24"/>
          <w:szCs w:val="24"/>
          <w:shd w:val="clear" w:color="auto" w:fill="FFFFFF"/>
        </w:rPr>
        <w:t>Artículo 124 de la Ley N° 17.738 de 07/01/2004,</w:t>
      </w:r>
    </w:p>
    <w:p w:rsidR="008B33E3" w:rsidRPr="00581194" w:rsidRDefault="008B33E3" w:rsidP="008B33E3">
      <w:pPr>
        <w:pStyle w:val="Standard"/>
        <w:numPr>
          <w:ilvl w:val="0"/>
          <w:numId w:val="2"/>
        </w:numPr>
        <w:tabs>
          <w:tab w:val="left" w:pos="360"/>
          <w:tab w:val="left" w:pos="567"/>
          <w:tab w:val="left" w:pos="1560"/>
          <w:tab w:val="right" w:pos="5387"/>
          <w:tab w:val="right" w:pos="7513"/>
        </w:tabs>
        <w:spacing w:after="0" w:line="360" w:lineRule="auto"/>
        <w:textAlignment w:val="auto"/>
        <w:rPr>
          <w:rFonts w:ascii="Arial" w:eastAsia="Arial" w:hAnsi="Arial" w:cs="Arial"/>
          <w:sz w:val="24"/>
          <w:szCs w:val="24"/>
        </w:rPr>
      </w:pPr>
      <w:r w:rsidRPr="00581194">
        <w:rPr>
          <w:rFonts w:ascii="Arial" w:hAnsi="Arial" w:cs="Arial"/>
          <w:color w:val="00000A"/>
          <w:sz w:val="24"/>
          <w:szCs w:val="24"/>
          <w:shd w:val="clear" w:color="auto" w:fill="FFFFFF"/>
        </w:rPr>
        <w:t>Ordenanzas d</w:t>
      </w:r>
      <w:r>
        <w:rPr>
          <w:rFonts w:ascii="Arial" w:hAnsi="Arial" w:cs="Arial"/>
          <w:color w:val="00000A"/>
          <w:sz w:val="24"/>
          <w:szCs w:val="24"/>
          <w:shd w:val="clear" w:color="auto" w:fill="FFFFFF"/>
        </w:rPr>
        <w:t>el Tribunal de Cuentas N° 29 de</w:t>
      </w:r>
      <w:r w:rsidRPr="00581194">
        <w:rPr>
          <w:rFonts w:ascii="Arial" w:hAnsi="Arial" w:cs="Arial"/>
          <w:color w:val="00000A"/>
          <w:sz w:val="24"/>
          <w:szCs w:val="24"/>
          <w:shd w:val="clear" w:color="auto" w:fill="FFFFFF"/>
        </w:rPr>
        <w:t xml:space="preserve"> 26/06/1958 y N° 81 de 17/12/2002 y modificativas.</w:t>
      </w:r>
    </w:p>
    <w:p w:rsidR="008B33E3" w:rsidRDefault="008B33E3" w:rsidP="007279B7">
      <w:pPr>
        <w:pStyle w:val="Standard"/>
        <w:tabs>
          <w:tab w:val="left" w:pos="360"/>
          <w:tab w:val="left" w:pos="567"/>
          <w:tab w:val="left" w:pos="1560"/>
          <w:tab w:val="right" w:pos="5387"/>
          <w:tab w:val="right" w:pos="7513"/>
        </w:tabs>
        <w:spacing w:after="0" w:line="360" w:lineRule="auto"/>
        <w:rPr>
          <w:rFonts w:ascii="Arial" w:eastAsia="Arial" w:hAnsi="Arial" w:cs="Arial"/>
          <w:b/>
          <w:sz w:val="24"/>
          <w:szCs w:val="24"/>
        </w:rPr>
      </w:pPr>
      <w:r>
        <w:rPr>
          <w:rFonts w:ascii="Arial" w:eastAsia="Arial" w:hAnsi="Arial" w:cs="Arial"/>
          <w:b/>
          <w:sz w:val="24"/>
          <w:szCs w:val="24"/>
        </w:rPr>
        <w:t>Bases para la opinión sin salvedades</w:t>
      </w:r>
    </w:p>
    <w:p w:rsidR="008B33E3" w:rsidRDefault="008B33E3" w:rsidP="007279B7">
      <w:pPr>
        <w:pStyle w:val="Standard"/>
        <w:tabs>
          <w:tab w:val="left" w:pos="360"/>
          <w:tab w:val="left" w:pos="567"/>
          <w:tab w:val="left" w:pos="1560"/>
          <w:tab w:val="right" w:pos="5387"/>
          <w:tab w:val="right" w:pos="7513"/>
        </w:tabs>
        <w:spacing w:after="0" w:line="360" w:lineRule="auto"/>
        <w:jc w:val="both"/>
        <w:rPr>
          <w:rFonts w:ascii="Arial" w:hAnsi="Arial" w:cs="Arial"/>
          <w:color w:val="00000A"/>
          <w:sz w:val="24"/>
          <w:szCs w:val="24"/>
          <w:shd w:val="clear" w:color="auto" w:fill="FFFFFF"/>
        </w:rPr>
      </w:pPr>
      <w:r>
        <w:rPr>
          <w:rFonts w:ascii="Arial" w:hAnsi="Arial" w:cs="Arial"/>
          <w:color w:val="00000A"/>
          <w:sz w:val="24"/>
          <w:szCs w:val="24"/>
          <w:shd w:val="clear" w:color="auto" w:fill="FFFFFF"/>
        </w:rPr>
        <w:t xml:space="preserve">Esta auditoría fue realizada de acuerdo con los Principios Fundamentales de Auditoría (ISSAI 100 y 200) y las Directrices de Auditoría Financiera (ISSAI 1000 a 1810) de la Organización Internacional de Entidades Fiscalizadoras Superiores (INTOSAI). La responsabilidad del Tribunal bajo estas normas se describe con más detalle en la sección de Responsabilidad del Tribunal de Cuentas por la auditoría de los estados financieros. Este Tribunal es independiente </w:t>
      </w:r>
      <w:r w:rsidRPr="00581194">
        <w:rPr>
          <w:rFonts w:ascii="Arial" w:hAnsi="Arial" w:cs="Arial"/>
          <w:color w:val="00000A"/>
          <w:sz w:val="24"/>
          <w:szCs w:val="24"/>
          <w:shd w:val="clear" w:color="auto" w:fill="FFFFFF"/>
        </w:rPr>
        <w:t>de la UTEC</w:t>
      </w:r>
      <w:r>
        <w:rPr>
          <w:rFonts w:ascii="Arial" w:hAnsi="Arial" w:cs="Arial"/>
          <w:color w:val="00000A"/>
          <w:sz w:val="24"/>
          <w:szCs w:val="24"/>
          <w:shd w:val="clear" w:color="auto" w:fill="FFFFFF"/>
        </w:rPr>
        <w:t xml:space="preserve"> y ha cumplido con las disposiciones de su Código de Ética, elaborado en concordancia con el Código de Ética de la INTOSAI. Se considera que la evidencia de auditoría obtenida es suficiente y adecuada para proporcionar una base razonable para sustentar la opinión.</w:t>
      </w:r>
    </w:p>
    <w:p w:rsidR="008B33E3" w:rsidRDefault="008B33E3" w:rsidP="007279B7">
      <w:pPr>
        <w:pStyle w:val="Standard"/>
        <w:tabs>
          <w:tab w:val="left" w:pos="360"/>
          <w:tab w:val="left" w:pos="567"/>
          <w:tab w:val="left" w:pos="1560"/>
          <w:tab w:val="right" w:pos="5387"/>
          <w:tab w:val="right" w:pos="7513"/>
        </w:tabs>
        <w:spacing w:after="0" w:line="360" w:lineRule="auto"/>
        <w:jc w:val="both"/>
        <w:rPr>
          <w:rFonts w:ascii="Arial" w:hAnsi="Arial" w:cs="Arial"/>
          <w:sz w:val="24"/>
          <w:szCs w:val="24"/>
        </w:rPr>
      </w:pPr>
    </w:p>
    <w:p w:rsidR="008B33E3" w:rsidRPr="00581194" w:rsidRDefault="008B33E3" w:rsidP="007279B7">
      <w:pPr>
        <w:pStyle w:val="Standard"/>
        <w:spacing w:after="0" w:line="360" w:lineRule="auto"/>
        <w:jc w:val="both"/>
        <w:rPr>
          <w:rFonts w:ascii="Arial" w:hAnsi="Arial" w:cs="Arial"/>
          <w:sz w:val="24"/>
          <w:szCs w:val="24"/>
        </w:rPr>
      </w:pPr>
      <w:r>
        <w:rPr>
          <w:rFonts w:ascii="Arial" w:eastAsia="Arial" w:hAnsi="Arial" w:cs="Arial"/>
          <w:b/>
          <w:sz w:val="24"/>
          <w:szCs w:val="24"/>
        </w:rPr>
        <w:t xml:space="preserve">Responsabilidad </w:t>
      </w:r>
      <w:r w:rsidRPr="00581194">
        <w:rPr>
          <w:rFonts w:ascii="Arial" w:eastAsia="Arial" w:hAnsi="Arial" w:cs="Arial"/>
          <w:b/>
          <w:sz w:val="24"/>
          <w:szCs w:val="24"/>
        </w:rPr>
        <w:t>del Consejo Directivo en relación con los estados financieros</w:t>
      </w:r>
    </w:p>
    <w:p w:rsidR="008B33E3" w:rsidRPr="00581194" w:rsidRDefault="008B33E3" w:rsidP="007279B7">
      <w:pPr>
        <w:pStyle w:val="Standard"/>
        <w:spacing w:after="0" w:line="360" w:lineRule="auto"/>
        <w:jc w:val="both"/>
        <w:rPr>
          <w:rFonts w:ascii="Arial" w:eastAsia="Arial" w:hAnsi="Arial" w:cs="Arial"/>
          <w:sz w:val="24"/>
          <w:szCs w:val="24"/>
        </w:rPr>
      </w:pPr>
      <w:r w:rsidRPr="00581194">
        <w:rPr>
          <w:rFonts w:ascii="Arial" w:eastAsia="Arial" w:hAnsi="Arial" w:cs="Arial"/>
          <w:sz w:val="24"/>
          <w:szCs w:val="24"/>
        </w:rPr>
        <w:t>El Consejo Directivo de la Universidad Tecnológica es responsable por la preparación y la razonable presentación de los estados financieros de acuerdo con las Normas Internacionales de Contabilidad del Sector Público y del control interno que la administración de la entidad consideró necesario para permitir la preparación de estados financieros libres de errores significativos ya sea debido a fraude o error.</w:t>
      </w:r>
    </w:p>
    <w:p w:rsidR="008B33E3" w:rsidRDefault="008B33E3" w:rsidP="007279B7">
      <w:pPr>
        <w:pStyle w:val="Standard"/>
        <w:spacing w:after="0" w:line="360" w:lineRule="auto"/>
        <w:jc w:val="both"/>
        <w:rPr>
          <w:rFonts w:ascii="Arial" w:eastAsia="Arial" w:hAnsi="Arial" w:cs="Arial"/>
          <w:sz w:val="24"/>
          <w:szCs w:val="24"/>
        </w:rPr>
      </w:pPr>
      <w:r w:rsidRPr="00581194">
        <w:rPr>
          <w:rFonts w:ascii="Arial" w:eastAsia="Arial" w:hAnsi="Arial" w:cs="Arial"/>
          <w:sz w:val="24"/>
          <w:szCs w:val="24"/>
        </w:rPr>
        <w:t xml:space="preserve">El Consejo Directivo, es responsable de </w:t>
      </w:r>
      <w:r w:rsidRPr="009B5F4E">
        <w:rPr>
          <w:rFonts w:ascii="Arial" w:eastAsia="Arial" w:hAnsi="Arial" w:cs="Arial"/>
          <w:sz w:val="24"/>
          <w:szCs w:val="24"/>
        </w:rPr>
        <w:t>supe</w:t>
      </w:r>
      <w:r>
        <w:rPr>
          <w:rFonts w:ascii="Arial" w:eastAsia="Arial" w:hAnsi="Arial" w:cs="Arial"/>
          <w:sz w:val="24"/>
          <w:szCs w:val="24"/>
        </w:rPr>
        <w:t>rvisar</w:t>
      </w:r>
      <w:r w:rsidRPr="00581194">
        <w:rPr>
          <w:rFonts w:ascii="Arial" w:eastAsia="Arial" w:hAnsi="Arial" w:cs="Arial"/>
          <w:sz w:val="24"/>
          <w:szCs w:val="24"/>
        </w:rPr>
        <w:t xml:space="preserve"> el proceso de preparación de los estados financieros de la UTEC</w:t>
      </w:r>
      <w:r>
        <w:rPr>
          <w:rFonts w:ascii="Arial" w:eastAsia="Arial" w:hAnsi="Arial" w:cs="Arial"/>
          <w:sz w:val="24"/>
          <w:szCs w:val="24"/>
        </w:rPr>
        <w:t>.</w:t>
      </w:r>
    </w:p>
    <w:p w:rsidR="008B33E3" w:rsidRDefault="008B33E3" w:rsidP="007279B7">
      <w:pPr>
        <w:pStyle w:val="Standard"/>
        <w:spacing w:after="0" w:line="360" w:lineRule="auto"/>
        <w:jc w:val="both"/>
        <w:rPr>
          <w:rFonts w:ascii="Arial" w:hAnsi="Arial" w:cs="Arial"/>
          <w:sz w:val="24"/>
          <w:szCs w:val="24"/>
        </w:rPr>
      </w:pPr>
    </w:p>
    <w:p w:rsidR="008B33E3" w:rsidRDefault="008B33E3" w:rsidP="007279B7">
      <w:pPr>
        <w:pStyle w:val="Standard"/>
        <w:spacing w:after="0" w:line="360" w:lineRule="auto"/>
        <w:jc w:val="both"/>
        <w:rPr>
          <w:rFonts w:ascii="Arial" w:eastAsia="Arial" w:hAnsi="Arial" w:cs="Arial"/>
          <w:b/>
          <w:sz w:val="24"/>
          <w:szCs w:val="24"/>
        </w:rPr>
      </w:pPr>
      <w:r>
        <w:rPr>
          <w:rFonts w:ascii="Arial" w:eastAsia="Arial" w:hAnsi="Arial" w:cs="Arial"/>
          <w:b/>
          <w:sz w:val="24"/>
          <w:szCs w:val="24"/>
        </w:rPr>
        <w:t>Responsabilidad del Tribunal de Cuentas por la auditoría de los estados financieros</w:t>
      </w:r>
    </w:p>
    <w:p w:rsidR="008B33E3" w:rsidRDefault="008B33E3" w:rsidP="007279B7">
      <w:pPr>
        <w:spacing w:line="360" w:lineRule="auto"/>
        <w:ind w:left="0" w:firstLine="0"/>
        <w:rPr>
          <w:rFonts w:ascii="Arial" w:hAnsi="Arial" w:cs="Arial"/>
          <w:sz w:val="24"/>
          <w:szCs w:val="24"/>
        </w:rPr>
      </w:pPr>
      <w:r>
        <w:rPr>
          <w:rFonts w:ascii="Arial" w:hAnsi="Arial" w:cs="Arial"/>
          <w:sz w:val="24"/>
          <w:szCs w:val="24"/>
        </w:rPr>
        <w:t>El objetivo de la auditoría consiste en obtener una seguridad razonable acerca de que los estados financieros en su conjunto están libres de errores significativos, ya sea debido a fraude o error y emitir un dictamen de auditoría con la correspondiente opinión. Seguridad razonable es un alto nivel de seguridad pero no garantiza que una auditoría siempre detectará un error significativo cuando exista. Los errores pueden surgir debido a fraudes o errores y se consideran significativos si, individualmente o en su conjunto, puede razonablemente esperarse que influyan en las decisiones económicas tomadas por los usuarios sobre la base de los estados financieros.</w:t>
      </w:r>
    </w:p>
    <w:p w:rsidR="008B33E3" w:rsidRDefault="008B33E3" w:rsidP="007279B7">
      <w:pPr>
        <w:spacing w:line="360" w:lineRule="auto"/>
        <w:ind w:left="0" w:firstLine="0"/>
        <w:rPr>
          <w:rFonts w:ascii="Arial" w:hAnsi="Arial" w:cs="Arial"/>
          <w:sz w:val="24"/>
          <w:szCs w:val="24"/>
        </w:rPr>
      </w:pPr>
      <w:r>
        <w:rPr>
          <w:rFonts w:ascii="Arial" w:hAnsi="Arial" w:cs="Arial"/>
          <w:sz w:val="24"/>
          <w:szCs w:val="24"/>
        </w:rPr>
        <w:t xml:space="preserve">Como parte de una auditoría de acuerdo con las ISSAI referidas en la sección </w:t>
      </w:r>
      <w:r>
        <w:rPr>
          <w:rFonts w:ascii="Arial" w:hAnsi="Arial" w:cs="Arial"/>
          <w:i/>
          <w:sz w:val="24"/>
          <w:szCs w:val="24"/>
        </w:rPr>
        <w:t xml:space="preserve">Bases para la </w:t>
      </w:r>
      <w:r w:rsidRPr="00581194">
        <w:rPr>
          <w:rFonts w:ascii="Arial" w:hAnsi="Arial" w:cs="Arial"/>
          <w:i/>
          <w:sz w:val="24"/>
          <w:szCs w:val="24"/>
        </w:rPr>
        <w:t>Opinión sin Salvedades</w:t>
      </w:r>
      <w:r w:rsidRPr="00581194">
        <w:rPr>
          <w:rFonts w:ascii="Arial" w:hAnsi="Arial" w:cs="Arial"/>
          <w:sz w:val="24"/>
          <w:szCs w:val="24"/>
        </w:rPr>
        <w:t>, el</w:t>
      </w:r>
      <w:r>
        <w:rPr>
          <w:rFonts w:ascii="Arial" w:hAnsi="Arial" w:cs="Arial"/>
          <w:sz w:val="24"/>
          <w:szCs w:val="24"/>
        </w:rPr>
        <w:t xml:space="preserve"> Tribunal de Cuentas aplica su juicio profesional y mantiene el escepticismo profesional durante el proceso de auditoría. Asimismo:</w:t>
      </w:r>
    </w:p>
    <w:p w:rsidR="008B33E3" w:rsidRDefault="008B33E3" w:rsidP="008B33E3">
      <w:pPr>
        <w:pStyle w:val="Prrafodelista"/>
        <w:numPr>
          <w:ilvl w:val="0"/>
          <w:numId w:val="3"/>
        </w:numPr>
        <w:spacing w:after="200" w:line="360" w:lineRule="auto"/>
        <w:ind w:left="714" w:hanging="357"/>
        <w:rPr>
          <w:rFonts w:ascii="Arial" w:hAnsi="Arial" w:cs="Arial"/>
          <w:sz w:val="24"/>
          <w:szCs w:val="24"/>
        </w:rPr>
      </w:pPr>
      <w:r>
        <w:rPr>
          <w:rFonts w:ascii="Arial" w:hAnsi="Arial" w:cs="Arial"/>
          <w:sz w:val="24"/>
          <w:szCs w:val="24"/>
        </w:rPr>
        <w:t>Identifica y evalúa el riesgo de que existan errores significativos en los estados financieros, ya sea debido a fraude o error, diseña y realiza procedimientos de auditoría para responder a dichos riesgos y obtiene evidencia de auditoría suficiente y apropiada para fundamentar la base de la opinión. El riesgo de no detectar un error significativo resultante de un fraude es mayor que el resultante de un error, dado que el fraude puede implicar colusión, falsificación, omisiones intencionales, manifestaciones intencionalmente incorrectas o apartamientos de control interno.</w:t>
      </w:r>
    </w:p>
    <w:p w:rsidR="008B33E3" w:rsidRDefault="008B33E3" w:rsidP="008B33E3">
      <w:pPr>
        <w:pStyle w:val="Prrafodelista"/>
        <w:numPr>
          <w:ilvl w:val="0"/>
          <w:numId w:val="3"/>
        </w:numPr>
        <w:spacing w:after="200" w:line="360" w:lineRule="auto"/>
        <w:ind w:left="714" w:hanging="357"/>
        <w:rPr>
          <w:rFonts w:ascii="Arial" w:hAnsi="Arial" w:cs="Arial"/>
          <w:sz w:val="24"/>
          <w:szCs w:val="24"/>
        </w:rPr>
      </w:pPr>
      <w:r>
        <w:rPr>
          <w:rFonts w:ascii="Arial" w:hAnsi="Arial" w:cs="Arial"/>
          <w:sz w:val="24"/>
          <w:szCs w:val="24"/>
        </w:rPr>
        <w:t>Obtiene un entendimiento del control interno relevante para la auditoría con el propósito de diseñar procedimientos de auditoría que sean apropiados en las circunstancias, pero no con el propósito de expresar una opinión sobre la eficacia del control interno de la entidad.</w:t>
      </w:r>
    </w:p>
    <w:p w:rsidR="008B33E3" w:rsidRDefault="008B33E3" w:rsidP="008B33E3">
      <w:pPr>
        <w:pStyle w:val="Prrafodelista"/>
        <w:numPr>
          <w:ilvl w:val="0"/>
          <w:numId w:val="3"/>
        </w:numPr>
        <w:spacing w:after="200" w:line="360" w:lineRule="auto"/>
        <w:ind w:left="714" w:hanging="357"/>
        <w:rPr>
          <w:rFonts w:ascii="Arial" w:hAnsi="Arial" w:cs="Arial"/>
          <w:sz w:val="24"/>
          <w:szCs w:val="24"/>
        </w:rPr>
      </w:pPr>
      <w:r>
        <w:rPr>
          <w:rFonts w:ascii="Arial" w:hAnsi="Arial" w:cs="Arial"/>
          <w:sz w:val="24"/>
          <w:szCs w:val="24"/>
        </w:rPr>
        <w:t>Evalúa lo adecuado de las políticas contables adoptadas, la razonabilidad de las estimaciones contables y las revelaciones relacionadas realizadas por la Dirección.</w:t>
      </w:r>
    </w:p>
    <w:p w:rsidR="008B33E3" w:rsidRDefault="008B33E3" w:rsidP="008B33E3">
      <w:pPr>
        <w:pStyle w:val="Prrafodelista"/>
        <w:numPr>
          <w:ilvl w:val="0"/>
          <w:numId w:val="3"/>
        </w:numPr>
        <w:spacing w:after="200" w:line="360" w:lineRule="auto"/>
        <w:ind w:left="714" w:hanging="357"/>
        <w:rPr>
          <w:rFonts w:ascii="Arial" w:hAnsi="Arial" w:cs="Arial"/>
          <w:sz w:val="24"/>
          <w:szCs w:val="24"/>
        </w:rPr>
      </w:pPr>
      <w:r>
        <w:rPr>
          <w:rFonts w:ascii="Arial" w:hAnsi="Arial" w:cs="Arial"/>
          <w:sz w:val="24"/>
          <w:szCs w:val="24"/>
        </w:rPr>
        <w:t>Evalúa la presentación general, la estructura y  contenido de los estados financieros, incluyendo las revelaciones y si los estados financieros representan las transacciones y eventos subyacentes de un modo que se logre una representación fiel de los mismos.</w:t>
      </w:r>
    </w:p>
    <w:p w:rsidR="008B33E3" w:rsidRDefault="008B33E3" w:rsidP="007279B7">
      <w:pPr>
        <w:pStyle w:val="Prrafodelista"/>
        <w:ind w:left="0"/>
        <w:rPr>
          <w:rFonts w:ascii="Arial" w:hAnsi="Arial" w:cs="Arial"/>
          <w:sz w:val="24"/>
          <w:szCs w:val="24"/>
        </w:rPr>
      </w:pPr>
    </w:p>
    <w:p w:rsidR="008B33E3" w:rsidRDefault="008B33E3" w:rsidP="007279B7">
      <w:pPr>
        <w:pStyle w:val="Prrafodelista"/>
        <w:spacing w:line="360" w:lineRule="auto"/>
        <w:ind w:left="0" w:hanging="6"/>
        <w:rPr>
          <w:rFonts w:ascii="Arial" w:hAnsi="Arial" w:cs="Arial"/>
          <w:sz w:val="24"/>
          <w:szCs w:val="24"/>
        </w:rPr>
      </w:pPr>
      <w:r>
        <w:rPr>
          <w:rFonts w:ascii="Arial" w:hAnsi="Arial" w:cs="Arial"/>
          <w:sz w:val="24"/>
          <w:szCs w:val="24"/>
        </w:rPr>
        <w:t xml:space="preserve">El Tribunal de Cuentas se comunicó con el Consejo </w:t>
      </w:r>
      <w:r w:rsidRPr="00581194">
        <w:rPr>
          <w:rFonts w:ascii="Arial" w:hAnsi="Arial" w:cs="Arial"/>
          <w:sz w:val="24"/>
          <w:szCs w:val="24"/>
        </w:rPr>
        <w:t>Directivo de la UTEC</w:t>
      </w:r>
      <w:r>
        <w:rPr>
          <w:rFonts w:ascii="Arial" w:hAnsi="Arial" w:cs="Arial"/>
          <w:sz w:val="24"/>
          <w:szCs w:val="24"/>
        </w:rPr>
        <w:t>,  en relación, entre otros asuntos, al alcance y la oportunidad de los procedimientos de auditoría, los hallazgos significativos de auditoría incluidos, en caso de corresponder, y las deficiencias significativas en el control interno que se identificaron en el transcurso de la auditoría.</w:t>
      </w:r>
    </w:p>
    <w:p w:rsidR="008B33E3" w:rsidRDefault="008B33E3" w:rsidP="007279B7">
      <w:pPr>
        <w:pStyle w:val="Prrafodelista"/>
        <w:spacing w:line="360" w:lineRule="auto"/>
        <w:ind w:left="0" w:hanging="6"/>
        <w:rPr>
          <w:rFonts w:ascii="Arial" w:hAnsi="Arial" w:cs="Arial"/>
          <w:sz w:val="24"/>
          <w:szCs w:val="24"/>
        </w:rPr>
      </w:pPr>
    </w:p>
    <w:p w:rsidR="008B33E3" w:rsidRDefault="008B33E3" w:rsidP="007279B7">
      <w:pPr>
        <w:pStyle w:val="Standard"/>
        <w:spacing w:after="0" w:line="360" w:lineRule="auto"/>
        <w:jc w:val="both"/>
        <w:rPr>
          <w:rFonts w:ascii="Arial" w:eastAsia="Arial" w:hAnsi="Arial" w:cs="Arial"/>
          <w:b/>
          <w:sz w:val="24"/>
          <w:szCs w:val="24"/>
        </w:rPr>
      </w:pPr>
    </w:p>
    <w:p w:rsidR="008B33E3" w:rsidRDefault="008B33E3" w:rsidP="007279B7">
      <w:pPr>
        <w:pStyle w:val="Standard"/>
        <w:spacing w:after="0" w:line="360" w:lineRule="auto"/>
        <w:jc w:val="both"/>
        <w:rPr>
          <w:rFonts w:ascii="Arial" w:eastAsia="Arial" w:hAnsi="Arial" w:cs="Arial"/>
          <w:b/>
          <w:sz w:val="24"/>
          <w:szCs w:val="24"/>
        </w:rPr>
      </w:pPr>
    </w:p>
    <w:p w:rsidR="008B33E3" w:rsidRDefault="008B33E3" w:rsidP="007279B7">
      <w:pPr>
        <w:pStyle w:val="Standard"/>
        <w:spacing w:after="0" w:line="360" w:lineRule="auto"/>
        <w:jc w:val="both"/>
        <w:rPr>
          <w:rFonts w:ascii="Arial" w:eastAsia="Arial" w:hAnsi="Arial" w:cs="Arial"/>
          <w:b/>
          <w:sz w:val="24"/>
          <w:szCs w:val="24"/>
        </w:rPr>
      </w:pPr>
    </w:p>
    <w:p w:rsidR="008B33E3" w:rsidRDefault="008B33E3" w:rsidP="007279B7">
      <w:pPr>
        <w:pStyle w:val="Standard"/>
        <w:spacing w:after="0" w:line="360" w:lineRule="auto"/>
        <w:jc w:val="both"/>
        <w:rPr>
          <w:rFonts w:ascii="Arial" w:eastAsia="Arial" w:hAnsi="Arial" w:cs="Arial"/>
          <w:b/>
          <w:sz w:val="24"/>
          <w:szCs w:val="24"/>
        </w:rPr>
      </w:pPr>
      <w:r>
        <w:rPr>
          <w:rFonts w:ascii="Arial" w:eastAsia="Arial" w:hAnsi="Arial" w:cs="Arial"/>
          <w:b/>
          <w:sz w:val="24"/>
          <w:szCs w:val="24"/>
        </w:rPr>
        <w:t>Informe de cumplimiento de la normativa vigente</w:t>
      </w:r>
    </w:p>
    <w:p w:rsidR="008B33E3" w:rsidRPr="00E273CE" w:rsidRDefault="008B33E3" w:rsidP="007279B7">
      <w:pPr>
        <w:pStyle w:val="Standard"/>
        <w:spacing w:after="0" w:line="360" w:lineRule="auto"/>
        <w:jc w:val="both"/>
        <w:rPr>
          <w:rFonts w:ascii="Arial" w:eastAsia="Arial" w:hAnsi="Arial" w:cs="Arial"/>
          <w:b/>
          <w:sz w:val="24"/>
          <w:szCs w:val="24"/>
        </w:rPr>
      </w:pPr>
      <w:r>
        <w:rPr>
          <w:rFonts w:ascii="Arial" w:eastAsia="Arial" w:hAnsi="Arial" w:cs="Arial"/>
          <w:sz w:val="24"/>
          <w:szCs w:val="24"/>
        </w:rPr>
        <w:t xml:space="preserve">Respecto a los incumplimientos mencionados en el párrafo </w:t>
      </w:r>
      <w:r w:rsidRPr="00EF3943">
        <w:rPr>
          <w:rFonts w:ascii="Arial" w:eastAsia="Arial" w:hAnsi="Arial" w:cs="Arial"/>
          <w:i/>
          <w:sz w:val="24"/>
          <w:szCs w:val="24"/>
        </w:rPr>
        <w:t>Opinión respecto al cumplimiento de la normativa legal aplicable</w:t>
      </w:r>
      <w:r>
        <w:rPr>
          <w:rFonts w:ascii="Arial" w:eastAsia="Arial" w:hAnsi="Arial" w:cs="Arial"/>
          <w:sz w:val="24"/>
          <w:szCs w:val="24"/>
        </w:rPr>
        <w:t>, corresponde señalar lo siguiente:</w:t>
      </w:r>
    </w:p>
    <w:p w:rsidR="008B33E3" w:rsidRPr="005C38ED" w:rsidRDefault="008B33E3" w:rsidP="007279B7">
      <w:pPr>
        <w:pStyle w:val="Standard"/>
        <w:numPr>
          <w:ilvl w:val="0"/>
          <w:numId w:val="4"/>
        </w:numPr>
        <w:spacing w:after="0" w:line="360" w:lineRule="auto"/>
        <w:ind w:left="720" w:hanging="436"/>
        <w:jc w:val="both"/>
        <w:rPr>
          <w:rFonts w:ascii="Arial" w:hAnsi="Arial" w:cs="Arial"/>
          <w:sz w:val="24"/>
          <w:szCs w:val="24"/>
        </w:rPr>
      </w:pPr>
      <w:r w:rsidRPr="00E273CE">
        <w:rPr>
          <w:rFonts w:ascii="Arial" w:hAnsi="Arial" w:cs="Arial"/>
          <w:b/>
          <w:color w:val="00000A"/>
          <w:sz w:val="24"/>
          <w:szCs w:val="24"/>
          <w:shd w:val="clear" w:color="auto" w:fill="FFFFFF"/>
        </w:rPr>
        <w:t>Artículo 14 del TOCAF</w:t>
      </w:r>
      <w:r w:rsidRPr="008B33E3">
        <w:rPr>
          <w:rFonts w:ascii="Arial" w:hAnsi="Arial" w:cs="Arial"/>
          <w:color w:val="00000A"/>
          <w:sz w:val="24"/>
          <w:szCs w:val="24"/>
          <w:shd w:val="clear" w:color="auto" w:fill="FFFFFF"/>
        </w:rPr>
        <w:t>,</w:t>
      </w:r>
      <w:r w:rsidRPr="00E273CE">
        <w:rPr>
          <w:rFonts w:ascii="Arial" w:hAnsi="Arial" w:cs="Arial"/>
          <w:b/>
          <w:color w:val="00000A"/>
          <w:sz w:val="24"/>
          <w:szCs w:val="24"/>
          <w:shd w:val="clear" w:color="auto" w:fill="FFFFFF"/>
        </w:rPr>
        <w:t xml:space="preserve"> </w:t>
      </w:r>
      <w:r w:rsidRPr="00E273CE">
        <w:rPr>
          <w:rFonts w:ascii="Arial" w:hAnsi="Arial" w:cs="Arial"/>
          <w:color w:val="00000A"/>
          <w:sz w:val="24"/>
          <w:szCs w:val="24"/>
          <w:shd w:val="clear" w:color="auto" w:fill="FFFFFF"/>
        </w:rPr>
        <w:t xml:space="preserve">se abonaron gastos por viajes al exterior, sin  </w:t>
      </w:r>
      <w:r w:rsidRPr="005C38ED">
        <w:rPr>
          <w:rFonts w:ascii="Arial" w:hAnsi="Arial" w:cs="Arial"/>
          <w:color w:val="00000A"/>
          <w:sz w:val="24"/>
          <w:szCs w:val="24"/>
          <w:shd w:val="clear" w:color="auto" w:fill="FFFFFF"/>
        </w:rPr>
        <w:t>Resolución del Ordenador competente.</w:t>
      </w:r>
    </w:p>
    <w:p w:rsidR="008B33E3" w:rsidRPr="005C38ED" w:rsidRDefault="008B33E3" w:rsidP="007279B7">
      <w:pPr>
        <w:pStyle w:val="Standard"/>
        <w:numPr>
          <w:ilvl w:val="0"/>
          <w:numId w:val="4"/>
        </w:numPr>
        <w:spacing w:after="0" w:line="360" w:lineRule="auto"/>
        <w:ind w:left="720" w:hanging="436"/>
        <w:jc w:val="both"/>
        <w:rPr>
          <w:rFonts w:ascii="Arial" w:hAnsi="Arial" w:cs="Arial"/>
          <w:sz w:val="24"/>
          <w:szCs w:val="24"/>
        </w:rPr>
      </w:pPr>
      <w:r w:rsidRPr="005C38ED">
        <w:rPr>
          <w:rFonts w:ascii="Arial" w:hAnsi="Arial" w:cs="Arial"/>
          <w:b/>
          <w:color w:val="00000A"/>
          <w:sz w:val="24"/>
          <w:szCs w:val="24"/>
          <w:shd w:val="clear" w:color="auto" w:fill="FFFFFF"/>
        </w:rPr>
        <w:t>Artículo 20 del TOCAF</w:t>
      </w:r>
      <w:r w:rsidRPr="008B33E3">
        <w:rPr>
          <w:rFonts w:ascii="Arial" w:hAnsi="Arial" w:cs="Arial"/>
          <w:color w:val="00000A"/>
          <w:sz w:val="24"/>
          <w:szCs w:val="24"/>
          <w:shd w:val="clear" w:color="auto" w:fill="FFFFFF"/>
        </w:rPr>
        <w:t>,</w:t>
      </w:r>
      <w:r w:rsidRPr="005C38ED">
        <w:rPr>
          <w:rFonts w:ascii="Arial" w:hAnsi="Arial" w:cs="Arial"/>
          <w:b/>
          <w:color w:val="00000A"/>
          <w:sz w:val="24"/>
          <w:szCs w:val="24"/>
          <w:shd w:val="clear" w:color="auto" w:fill="FFFFFF"/>
        </w:rPr>
        <w:t xml:space="preserve"> </w:t>
      </w:r>
      <w:r w:rsidRPr="005C38ED">
        <w:rPr>
          <w:rFonts w:ascii="Arial" w:hAnsi="Arial" w:cs="Arial"/>
          <w:color w:val="00000A"/>
          <w:sz w:val="24"/>
          <w:szCs w:val="24"/>
          <w:shd w:val="clear" w:color="auto" w:fill="FFFFFF"/>
        </w:rPr>
        <w:t>no se deja constancia de la recepción conforme del objeto adquirido o la prestación del servicio contratado.</w:t>
      </w:r>
    </w:p>
    <w:p w:rsidR="008B33E3" w:rsidRPr="005C38ED" w:rsidRDefault="008B33E3" w:rsidP="007279B7">
      <w:pPr>
        <w:pStyle w:val="Prrafodelista"/>
        <w:numPr>
          <w:ilvl w:val="0"/>
          <w:numId w:val="4"/>
        </w:numPr>
        <w:suppressAutoHyphens/>
        <w:autoSpaceDN w:val="0"/>
        <w:spacing w:after="0" w:line="360" w:lineRule="auto"/>
        <w:ind w:left="720" w:hanging="436"/>
        <w:textAlignment w:val="baseline"/>
        <w:rPr>
          <w:rFonts w:ascii="Arial" w:hAnsi="Arial" w:cs="Arial"/>
          <w:sz w:val="24"/>
          <w:szCs w:val="24"/>
        </w:rPr>
      </w:pPr>
      <w:r w:rsidRPr="005C38ED">
        <w:rPr>
          <w:rFonts w:ascii="Arial" w:eastAsia="Times New Roman" w:hAnsi="Arial" w:cs="Arial"/>
          <w:b/>
          <w:sz w:val="24"/>
          <w:szCs w:val="24"/>
          <w:shd w:val="clear" w:color="auto" w:fill="FFFFFF"/>
          <w:lang w:eastAsia="zh-CN"/>
        </w:rPr>
        <w:t>Artículos 33 y 43 del TOCAF</w:t>
      </w:r>
      <w:r w:rsidRPr="005C38ED">
        <w:rPr>
          <w:rFonts w:ascii="Arial" w:eastAsia="Times New Roman" w:hAnsi="Arial" w:cs="Arial"/>
          <w:sz w:val="24"/>
          <w:szCs w:val="24"/>
          <w:shd w:val="clear" w:color="auto" w:fill="FFFFFF"/>
          <w:lang w:eastAsia="zh-CN"/>
        </w:rPr>
        <w:t xml:space="preserve">, se efectuaron contrataciones de profesionales para realizar distintas etapas de varias obras, desvirtuando </w:t>
      </w:r>
      <w:r>
        <w:rPr>
          <w:rFonts w:ascii="Arial" w:eastAsia="Times New Roman" w:hAnsi="Arial" w:cs="Arial"/>
          <w:sz w:val="24"/>
          <w:szCs w:val="24"/>
          <w:shd w:val="clear" w:color="auto" w:fill="FFFFFF"/>
          <w:lang w:eastAsia="zh-CN"/>
        </w:rPr>
        <w:t>la naturaleza del arrendamiento de obra</w:t>
      </w:r>
      <w:r w:rsidRPr="005C38ED">
        <w:rPr>
          <w:rFonts w:ascii="Arial" w:eastAsia="Times New Roman" w:hAnsi="Arial" w:cs="Arial"/>
          <w:sz w:val="24"/>
          <w:szCs w:val="24"/>
          <w:shd w:val="clear" w:color="auto" w:fill="FFFFFF"/>
          <w:lang w:eastAsia="zh-CN"/>
        </w:rPr>
        <w:t>. Esta irregularidad implicó, en algunos casos, que se superara el tope p</w:t>
      </w:r>
      <w:r>
        <w:rPr>
          <w:rFonts w:ascii="Arial" w:eastAsia="Times New Roman" w:hAnsi="Arial" w:cs="Arial"/>
          <w:sz w:val="24"/>
          <w:szCs w:val="24"/>
          <w:shd w:val="clear" w:color="auto" w:fill="FFFFFF"/>
          <w:lang w:eastAsia="zh-CN"/>
        </w:rPr>
        <w:t>revisto para la compra directa.</w:t>
      </w:r>
    </w:p>
    <w:p w:rsidR="008B33E3" w:rsidRPr="005C38ED" w:rsidRDefault="008B33E3" w:rsidP="008B33E3">
      <w:pPr>
        <w:pStyle w:val="Standard"/>
        <w:numPr>
          <w:ilvl w:val="0"/>
          <w:numId w:val="4"/>
        </w:numPr>
        <w:spacing w:after="0" w:line="360" w:lineRule="auto"/>
        <w:ind w:left="714" w:hanging="360"/>
        <w:jc w:val="both"/>
        <w:textAlignment w:val="auto"/>
        <w:rPr>
          <w:rFonts w:ascii="Arial" w:eastAsia="Calibri" w:hAnsi="Arial" w:cs="Arial"/>
          <w:color w:val="00000A"/>
          <w:sz w:val="24"/>
          <w:szCs w:val="24"/>
        </w:rPr>
      </w:pPr>
      <w:r w:rsidRPr="005C38ED">
        <w:rPr>
          <w:rFonts w:ascii="Arial" w:eastAsia="Calibri" w:hAnsi="Arial" w:cs="Arial"/>
          <w:b/>
          <w:color w:val="00000A"/>
          <w:sz w:val="24"/>
          <w:szCs w:val="24"/>
        </w:rPr>
        <w:t>Artículo 42 del TOCAF</w:t>
      </w:r>
      <w:r w:rsidRPr="008B33E3">
        <w:rPr>
          <w:rFonts w:ascii="Arial" w:eastAsia="Calibri" w:hAnsi="Arial" w:cs="Arial"/>
          <w:color w:val="00000A"/>
          <w:sz w:val="24"/>
          <w:szCs w:val="24"/>
        </w:rPr>
        <w:t>,</w:t>
      </w:r>
      <w:r w:rsidRPr="005C38ED">
        <w:rPr>
          <w:rFonts w:ascii="Arial" w:eastAsia="Calibri" w:hAnsi="Arial" w:cs="Arial"/>
          <w:b/>
          <w:color w:val="00000A"/>
          <w:sz w:val="24"/>
          <w:szCs w:val="24"/>
        </w:rPr>
        <w:t xml:space="preserve"> </w:t>
      </w:r>
      <w:r w:rsidRPr="005C38ED">
        <w:rPr>
          <w:rFonts w:ascii="Arial" w:eastAsia="Calibri" w:hAnsi="Arial" w:cs="Arial"/>
          <w:color w:val="00000A"/>
          <w:sz w:val="24"/>
          <w:szCs w:val="24"/>
        </w:rPr>
        <w:t>no se dictaron por el ordenador competente las resoluciones aceptando las donaciones recibidas por la UTEC de parte del Gobierno de China y de la empresa UPM, según lo prevé la citada norma.</w:t>
      </w:r>
    </w:p>
    <w:p w:rsidR="008B33E3" w:rsidRPr="005C38ED" w:rsidRDefault="008B33E3" w:rsidP="008B33E3">
      <w:pPr>
        <w:pStyle w:val="Standard"/>
        <w:numPr>
          <w:ilvl w:val="0"/>
          <w:numId w:val="4"/>
        </w:numPr>
        <w:spacing w:after="0" w:line="360" w:lineRule="auto"/>
        <w:ind w:left="714" w:hanging="360"/>
        <w:jc w:val="both"/>
        <w:textAlignment w:val="auto"/>
        <w:rPr>
          <w:rFonts w:ascii="Arial" w:hAnsi="Arial" w:cs="Arial"/>
          <w:sz w:val="24"/>
          <w:szCs w:val="24"/>
        </w:rPr>
      </w:pPr>
      <w:r w:rsidRPr="005C38ED">
        <w:rPr>
          <w:rFonts w:ascii="Arial" w:eastAsia="Calibri" w:hAnsi="Arial" w:cs="Arial"/>
          <w:b/>
          <w:color w:val="00000A"/>
          <w:sz w:val="24"/>
          <w:szCs w:val="24"/>
        </w:rPr>
        <w:t>Artículo 64 del TOCAF</w:t>
      </w:r>
      <w:r w:rsidRPr="008B33E3">
        <w:rPr>
          <w:rFonts w:ascii="Arial" w:eastAsia="Calibri" w:hAnsi="Arial" w:cs="Arial"/>
          <w:color w:val="00000A"/>
          <w:sz w:val="24"/>
          <w:szCs w:val="24"/>
        </w:rPr>
        <w:t>,</w:t>
      </w:r>
      <w:r w:rsidRPr="005C38ED">
        <w:rPr>
          <w:rFonts w:ascii="Arial" w:eastAsia="Calibri" w:hAnsi="Arial" w:cs="Arial"/>
          <w:b/>
          <w:color w:val="00000A"/>
          <w:sz w:val="24"/>
          <w:szCs w:val="24"/>
        </w:rPr>
        <w:t xml:space="preserve"> </w:t>
      </w:r>
      <w:r w:rsidRPr="005C38ED">
        <w:rPr>
          <w:rFonts w:ascii="Arial" w:eastAsia="Calibri" w:hAnsi="Arial" w:cs="Arial"/>
          <w:color w:val="00000A"/>
          <w:sz w:val="24"/>
          <w:szCs w:val="24"/>
        </w:rPr>
        <w:t>no se constituyó la garantía mencionada en diversas licitaciones, ni se estableció en los pliegos particulares la opción de no hacerlo, de acuerdo a lo dispuesto en la norma citada</w:t>
      </w:r>
      <w:r>
        <w:rPr>
          <w:rFonts w:ascii="Arial" w:eastAsia="Calibri" w:hAnsi="Arial" w:cs="Arial"/>
          <w:color w:val="00000A"/>
          <w:sz w:val="24"/>
          <w:szCs w:val="24"/>
        </w:rPr>
        <w:t>.</w:t>
      </w:r>
    </w:p>
    <w:p w:rsidR="008B33E3" w:rsidRPr="005C38ED" w:rsidRDefault="008B33E3" w:rsidP="008B33E3">
      <w:pPr>
        <w:pStyle w:val="Standard"/>
        <w:numPr>
          <w:ilvl w:val="0"/>
          <w:numId w:val="4"/>
        </w:numPr>
        <w:spacing w:after="0" w:line="360" w:lineRule="auto"/>
        <w:ind w:left="714" w:hanging="360"/>
        <w:jc w:val="both"/>
        <w:textAlignment w:val="auto"/>
        <w:rPr>
          <w:rFonts w:ascii="Arial" w:hAnsi="Arial" w:cs="Arial"/>
          <w:sz w:val="24"/>
          <w:szCs w:val="24"/>
        </w:rPr>
      </w:pPr>
      <w:r w:rsidRPr="005C38ED">
        <w:rPr>
          <w:rFonts w:ascii="Arial" w:hAnsi="Arial" w:cs="Arial"/>
          <w:b/>
          <w:sz w:val="24"/>
          <w:szCs w:val="24"/>
        </w:rPr>
        <w:t xml:space="preserve">Artículo 119 del TOCAF, Ordenanza del Tribunal de Cuentas N° 29 del 26/06/1958. </w:t>
      </w:r>
      <w:r w:rsidRPr="005C38ED">
        <w:rPr>
          <w:rFonts w:ascii="Arial" w:hAnsi="Arial" w:cs="Arial"/>
          <w:sz w:val="24"/>
          <w:szCs w:val="24"/>
        </w:rPr>
        <w:t>La cantidad de arqueos de fondos en efectivo realizada en el ejercicio no resulta suficiente de acuerdo a la normativa citada, que prevé la realización de los mismos en plazos de un mes aproximadamente.</w:t>
      </w:r>
    </w:p>
    <w:p w:rsidR="008B33E3" w:rsidRPr="008B33E3" w:rsidRDefault="008B33E3" w:rsidP="007279B7">
      <w:pPr>
        <w:pStyle w:val="Prrafodelista"/>
        <w:numPr>
          <w:ilvl w:val="0"/>
          <w:numId w:val="4"/>
        </w:numPr>
        <w:suppressAutoHyphens/>
        <w:autoSpaceDN w:val="0"/>
        <w:spacing w:after="0" w:line="360" w:lineRule="auto"/>
        <w:ind w:left="720" w:hanging="294"/>
        <w:textAlignment w:val="baseline"/>
        <w:rPr>
          <w:rFonts w:ascii="Arial" w:hAnsi="Arial" w:cs="Arial"/>
          <w:sz w:val="24"/>
          <w:szCs w:val="24"/>
        </w:rPr>
      </w:pPr>
      <w:r w:rsidRPr="005C38ED">
        <w:rPr>
          <w:rFonts w:ascii="Arial" w:eastAsia="Arial" w:hAnsi="Arial" w:cs="Arial"/>
          <w:b/>
          <w:color w:val="00000A"/>
          <w:sz w:val="24"/>
          <w:szCs w:val="24"/>
        </w:rPr>
        <w:t>Artículo 154 del TOCAF</w:t>
      </w:r>
      <w:r w:rsidRPr="003862EC">
        <w:rPr>
          <w:rFonts w:ascii="Arial" w:eastAsia="Arial" w:hAnsi="Arial" w:cs="Arial"/>
          <w:color w:val="00000A"/>
          <w:sz w:val="24"/>
          <w:szCs w:val="24"/>
        </w:rPr>
        <w:t>,</w:t>
      </w:r>
      <w:r w:rsidRPr="005C38ED">
        <w:rPr>
          <w:rFonts w:ascii="Arial" w:eastAsia="Arial" w:hAnsi="Arial" w:cs="Arial"/>
          <w:b/>
          <w:color w:val="00000A"/>
          <w:sz w:val="24"/>
          <w:szCs w:val="24"/>
        </w:rPr>
        <w:t xml:space="preserve"> </w:t>
      </w:r>
      <w:r w:rsidRPr="005C38ED">
        <w:rPr>
          <w:rFonts w:ascii="Arial" w:eastAsia="Arial" w:hAnsi="Arial" w:cs="Arial"/>
          <w:color w:val="00000A"/>
          <w:sz w:val="24"/>
          <w:szCs w:val="24"/>
        </w:rPr>
        <w:t>al no haber contratado</w:t>
      </w:r>
      <w:r w:rsidRPr="005C38ED">
        <w:rPr>
          <w:rFonts w:ascii="Arial" w:eastAsia="Arial" w:hAnsi="Arial" w:cs="Arial"/>
          <w:b/>
          <w:color w:val="00000A"/>
          <w:sz w:val="24"/>
          <w:szCs w:val="24"/>
        </w:rPr>
        <w:t xml:space="preserve"> </w:t>
      </w:r>
      <w:r w:rsidRPr="005C38ED">
        <w:rPr>
          <w:rFonts w:ascii="Arial" w:eastAsia="Arial" w:hAnsi="Arial" w:cs="Arial"/>
          <w:color w:val="00000A"/>
          <w:sz w:val="24"/>
          <w:szCs w:val="24"/>
          <w:shd w:val="clear" w:color="auto" w:fill="FFFFFF"/>
        </w:rPr>
        <w:t>fianzas o seguros de caución de fidelidad respecto de los funcionarios que custodian fondos o valores.</w:t>
      </w:r>
    </w:p>
    <w:p w:rsidR="008B33E3" w:rsidRPr="00EF3943" w:rsidRDefault="008B33E3" w:rsidP="008B33E3">
      <w:pPr>
        <w:pStyle w:val="Standard"/>
        <w:numPr>
          <w:ilvl w:val="0"/>
          <w:numId w:val="4"/>
        </w:numPr>
        <w:spacing w:after="0" w:line="360" w:lineRule="auto"/>
        <w:ind w:left="714" w:hanging="360"/>
        <w:jc w:val="both"/>
        <w:textAlignment w:val="auto"/>
        <w:rPr>
          <w:rFonts w:ascii="Arial" w:hAnsi="Arial" w:cs="Arial"/>
          <w:sz w:val="24"/>
          <w:szCs w:val="24"/>
        </w:rPr>
      </w:pPr>
      <w:r w:rsidRPr="005C38ED">
        <w:rPr>
          <w:rFonts w:ascii="Arial" w:hAnsi="Arial" w:cs="Arial"/>
          <w:b/>
          <w:sz w:val="24"/>
          <w:szCs w:val="24"/>
        </w:rPr>
        <w:t>Artículo 124 Ley N° 17.738</w:t>
      </w:r>
      <w:r w:rsidRPr="005C38ED">
        <w:rPr>
          <w:rFonts w:ascii="Arial" w:hAnsi="Arial" w:cs="Arial"/>
          <w:sz w:val="24"/>
          <w:szCs w:val="24"/>
        </w:rPr>
        <w:t xml:space="preserve">, por abonar retribuciones o servicios a profesionales universitarios sin el previo control de que los mismos se encuentren al día en el cumplimiento de sus obligaciones con la </w:t>
      </w:r>
      <w:r w:rsidRPr="00EF3943">
        <w:rPr>
          <w:rFonts w:ascii="Arial" w:hAnsi="Arial" w:cs="Arial"/>
          <w:sz w:val="24"/>
          <w:szCs w:val="24"/>
        </w:rPr>
        <w:t>Caja de</w:t>
      </w:r>
      <w:r>
        <w:rPr>
          <w:rFonts w:ascii="Arial" w:hAnsi="Arial" w:cs="Arial"/>
          <w:sz w:val="24"/>
          <w:szCs w:val="24"/>
        </w:rPr>
        <w:t xml:space="preserve"> Jubilaciones y Pensiones de</w:t>
      </w:r>
      <w:r w:rsidRPr="00EF3943">
        <w:rPr>
          <w:rFonts w:ascii="Arial" w:hAnsi="Arial" w:cs="Arial"/>
          <w:sz w:val="24"/>
          <w:szCs w:val="24"/>
        </w:rPr>
        <w:t xml:space="preserve"> Profesionales Universitarios.</w:t>
      </w:r>
    </w:p>
    <w:p w:rsidR="008B33E3" w:rsidRPr="005C38ED" w:rsidRDefault="008B33E3" w:rsidP="008B33E3">
      <w:pPr>
        <w:pStyle w:val="Standard"/>
        <w:numPr>
          <w:ilvl w:val="0"/>
          <w:numId w:val="4"/>
        </w:numPr>
        <w:spacing w:after="0" w:line="360" w:lineRule="auto"/>
        <w:ind w:left="714" w:hanging="360"/>
        <w:jc w:val="both"/>
        <w:textAlignment w:val="auto"/>
        <w:rPr>
          <w:rFonts w:ascii="Arial" w:hAnsi="Arial" w:cs="Arial"/>
          <w:b/>
          <w:sz w:val="24"/>
          <w:szCs w:val="24"/>
        </w:rPr>
      </w:pPr>
      <w:r>
        <w:rPr>
          <w:rFonts w:ascii="Arial" w:hAnsi="Arial" w:cs="Arial"/>
          <w:b/>
          <w:sz w:val="24"/>
          <w:szCs w:val="24"/>
        </w:rPr>
        <w:t>Ordenanza N° 81 de</w:t>
      </w:r>
      <w:r w:rsidRPr="005C38ED">
        <w:rPr>
          <w:rFonts w:ascii="Arial" w:hAnsi="Arial" w:cs="Arial"/>
          <w:b/>
          <w:sz w:val="24"/>
          <w:szCs w:val="24"/>
        </w:rPr>
        <w:t xml:space="preserve"> 17</w:t>
      </w:r>
      <w:r>
        <w:rPr>
          <w:rFonts w:ascii="Arial" w:hAnsi="Arial" w:cs="Arial"/>
          <w:b/>
          <w:sz w:val="24"/>
          <w:szCs w:val="24"/>
        </w:rPr>
        <w:t>/12/2002</w:t>
      </w:r>
      <w:r w:rsidRPr="005C38ED">
        <w:rPr>
          <w:rFonts w:ascii="Arial" w:hAnsi="Arial" w:cs="Arial"/>
          <w:b/>
          <w:sz w:val="24"/>
          <w:szCs w:val="24"/>
        </w:rPr>
        <w:t xml:space="preserve"> y modificativas Pres</w:t>
      </w:r>
      <w:r>
        <w:rPr>
          <w:rFonts w:ascii="Arial" w:hAnsi="Arial" w:cs="Arial"/>
          <w:b/>
          <w:sz w:val="24"/>
          <w:szCs w:val="24"/>
        </w:rPr>
        <w:t>entación de Estados Financieros</w:t>
      </w:r>
    </w:p>
    <w:p w:rsidR="008B33E3" w:rsidRPr="005C38ED" w:rsidRDefault="008B33E3" w:rsidP="008B33E3">
      <w:pPr>
        <w:pStyle w:val="Prrafodelista"/>
        <w:numPr>
          <w:ilvl w:val="0"/>
          <w:numId w:val="5"/>
        </w:numPr>
        <w:spacing w:after="0" w:line="360" w:lineRule="auto"/>
        <w:ind w:right="93"/>
        <w:rPr>
          <w:rFonts w:ascii="Arial" w:hAnsi="Arial" w:cs="Arial"/>
          <w:sz w:val="24"/>
          <w:szCs w:val="24"/>
        </w:rPr>
      </w:pPr>
      <w:r w:rsidRPr="005C38ED">
        <w:rPr>
          <w:rFonts w:ascii="Arial" w:hAnsi="Arial" w:cs="Arial"/>
          <w:sz w:val="24"/>
          <w:szCs w:val="24"/>
        </w:rPr>
        <w:t xml:space="preserve">Los estados remitidos no fueron firmados por el Secretario General ni </w:t>
      </w:r>
      <w:r>
        <w:rPr>
          <w:rFonts w:ascii="Arial" w:hAnsi="Arial" w:cs="Arial"/>
          <w:sz w:val="24"/>
          <w:szCs w:val="24"/>
        </w:rPr>
        <w:t xml:space="preserve">por </w:t>
      </w:r>
      <w:r w:rsidRPr="005C38ED">
        <w:rPr>
          <w:rFonts w:ascii="Arial" w:hAnsi="Arial" w:cs="Arial"/>
          <w:sz w:val="24"/>
          <w:szCs w:val="24"/>
        </w:rPr>
        <w:t xml:space="preserve">el Contador General del </w:t>
      </w:r>
      <w:r>
        <w:rPr>
          <w:rFonts w:ascii="Arial" w:hAnsi="Arial" w:cs="Arial"/>
          <w:sz w:val="24"/>
          <w:szCs w:val="24"/>
        </w:rPr>
        <w:t>O</w:t>
      </w:r>
      <w:r w:rsidRPr="005C38ED">
        <w:rPr>
          <w:rFonts w:ascii="Arial" w:hAnsi="Arial" w:cs="Arial"/>
          <w:sz w:val="24"/>
          <w:szCs w:val="24"/>
        </w:rPr>
        <w:t>rganismo ( Numeral 27);</w:t>
      </w:r>
    </w:p>
    <w:p w:rsidR="008B33E3" w:rsidRPr="005C38ED" w:rsidRDefault="008B33E3" w:rsidP="008B33E3">
      <w:pPr>
        <w:pStyle w:val="Prrafodelista"/>
        <w:numPr>
          <w:ilvl w:val="0"/>
          <w:numId w:val="5"/>
        </w:numPr>
        <w:spacing w:after="0" w:line="360" w:lineRule="auto"/>
        <w:ind w:right="93"/>
        <w:rPr>
          <w:rFonts w:ascii="Arial" w:hAnsi="Arial" w:cs="Arial"/>
          <w:sz w:val="24"/>
          <w:szCs w:val="24"/>
        </w:rPr>
      </w:pPr>
      <w:r w:rsidRPr="005C38ED">
        <w:rPr>
          <w:rFonts w:ascii="Arial" w:hAnsi="Arial" w:cs="Arial"/>
          <w:sz w:val="24"/>
          <w:szCs w:val="24"/>
        </w:rPr>
        <w:t>No se remitió adjunta la copia autenticada del acta del órgano de Dirección por la que se aprueban los estados financieros (Numeral 28);</w:t>
      </w:r>
    </w:p>
    <w:p w:rsidR="008B33E3" w:rsidRPr="005C38ED" w:rsidRDefault="008B33E3" w:rsidP="008B33E3">
      <w:pPr>
        <w:pStyle w:val="Prrafodelista"/>
        <w:numPr>
          <w:ilvl w:val="0"/>
          <w:numId w:val="5"/>
        </w:numPr>
        <w:spacing w:after="0" w:line="360" w:lineRule="auto"/>
        <w:ind w:right="93"/>
        <w:rPr>
          <w:rFonts w:ascii="Arial" w:hAnsi="Arial" w:cs="Arial"/>
          <w:sz w:val="24"/>
          <w:szCs w:val="24"/>
        </w:rPr>
      </w:pPr>
      <w:r w:rsidRPr="005C38ED">
        <w:rPr>
          <w:rFonts w:ascii="Arial" w:hAnsi="Arial" w:cs="Arial"/>
          <w:sz w:val="24"/>
          <w:szCs w:val="24"/>
        </w:rPr>
        <w:t>No se presentó una memoria explicativa de los Estados Financieros (Numeral 15).</w:t>
      </w:r>
    </w:p>
    <w:p w:rsidR="008B33E3" w:rsidRPr="00581194" w:rsidRDefault="008B33E3" w:rsidP="007279B7">
      <w:pPr>
        <w:pStyle w:val="Prrafodelista"/>
        <w:spacing w:after="0" w:line="360" w:lineRule="auto"/>
        <w:ind w:left="806" w:right="93" w:firstLine="0"/>
        <w:jc w:val="right"/>
        <w:rPr>
          <w:rFonts w:ascii="Arial" w:hAnsi="Arial" w:cs="Arial"/>
          <w:sz w:val="24"/>
          <w:szCs w:val="24"/>
        </w:rPr>
      </w:pPr>
      <w:r w:rsidRPr="00581194">
        <w:rPr>
          <w:rFonts w:ascii="Arial" w:hAnsi="Arial" w:cs="Arial"/>
          <w:sz w:val="24"/>
          <w:szCs w:val="24"/>
        </w:rPr>
        <w:t>Montevideo, 25 de julio de 2018</w:t>
      </w:r>
    </w:p>
    <w:p w:rsidR="008B33E3" w:rsidRPr="00AB563B" w:rsidRDefault="008B33E3" w:rsidP="0004459C">
      <w:pPr>
        <w:spacing w:after="652" w:line="360" w:lineRule="auto"/>
        <w:ind w:left="17" w:right="122"/>
        <w:rPr>
          <w:rFonts w:ascii="Arial" w:hAnsi="Arial" w:cs="Arial"/>
          <w:sz w:val="20"/>
          <w:szCs w:val="20"/>
        </w:rPr>
      </w:pPr>
      <w:r w:rsidRPr="00AB563B">
        <w:rPr>
          <w:rFonts w:ascii="Arial" w:hAnsi="Arial" w:cs="Arial"/>
          <w:sz w:val="20"/>
          <w:szCs w:val="20"/>
        </w:rPr>
        <w:t>CLC</w:t>
      </w:r>
    </w:p>
    <w:p w:rsidR="008B33E3" w:rsidRDefault="008B33E3"/>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EA1F58">
      <w:pPr>
        <w:tabs>
          <w:tab w:val="left" w:pos="284"/>
        </w:tabs>
        <w:spacing w:after="0" w:line="360" w:lineRule="auto"/>
        <w:ind w:left="0" w:firstLine="0"/>
        <w:rPr>
          <w:rFonts w:ascii="Arial" w:hAnsi="Arial" w:cs="Arial"/>
          <w:sz w:val="20"/>
          <w:szCs w:val="20"/>
        </w:rPr>
      </w:pPr>
    </w:p>
    <w:p w:rsidR="008B33E3" w:rsidRDefault="008B33E3" w:rsidP="00FE1654">
      <w:pPr>
        <w:spacing w:line="360" w:lineRule="auto"/>
        <w:jc w:val="center"/>
        <w:rPr>
          <w:rFonts w:ascii="Arial" w:eastAsia="Times New Roman" w:hAnsi="Arial" w:cs="Arial"/>
          <w:b/>
          <w:bCs/>
          <w:lang w:val="es-ES" w:eastAsia="es-ES"/>
        </w:rPr>
      </w:pPr>
      <w:r w:rsidRPr="00E34EBA">
        <w:rPr>
          <w:rFonts w:ascii="Arial" w:eastAsia="Times New Roman" w:hAnsi="Arial" w:cs="Arial"/>
          <w:b/>
          <w:bCs/>
          <w:lang w:val="es-ES" w:eastAsia="es-ES"/>
        </w:rPr>
        <w:t>INFORME A LA ADMINISTRACIÓN</w:t>
      </w:r>
    </w:p>
    <w:p w:rsidR="008B33E3" w:rsidRPr="00E34EBA" w:rsidRDefault="008B33E3" w:rsidP="00FE1654">
      <w:pPr>
        <w:spacing w:line="360" w:lineRule="auto"/>
        <w:jc w:val="center"/>
        <w:rPr>
          <w:rFonts w:ascii="Arial" w:eastAsia="Times New Roman" w:hAnsi="Arial" w:cs="Arial"/>
          <w:b/>
          <w:bCs/>
          <w:lang w:val="es-ES" w:eastAsia="es-ES"/>
        </w:rPr>
      </w:pPr>
    </w:p>
    <w:p w:rsidR="008B33E3" w:rsidRPr="008B33E3" w:rsidRDefault="008B33E3" w:rsidP="00822789">
      <w:pPr>
        <w:pStyle w:val="Standard"/>
        <w:spacing w:line="360" w:lineRule="auto"/>
        <w:jc w:val="both"/>
        <w:rPr>
          <w:rFonts w:ascii="Arial" w:hAnsi="Arial" w:cs="Arial"/>
          <w:sz w:val="24"/>
          <w:szCs w:val="24"/>
        </w:rPr>
      </w:pPr>
      <w:r w:rsidRPr="008B33E3">
        <w:rPr>
          <w:rFonts w:ascii="Arial" w:hAnsi="Arial" w:cs="Arial"/>
          <w:sz w:val="24"/>
          <w:szCs w:val="24"/>
        </w:rPr>
        <w:t>El Tribunal de Cuentas ha examinado los estados financieros de la Universidad Tecnológica (UTEC), correspondientes al ejercicio 2016 y ha emitido su Dictamen.</w:t>
      </w:r>
    </w:p>
    <w:p w:rsidR="008B33E3" w:rsidRDefault="008B33E3" w:rsidP="00822789">
      <w:pPr>
        <w:pStyle w:val="Textoindependiente21"/>
      </w:pPr>
      <w:r>
        <w:t>Este informe contiene consideraciones relativas a la evaluación del control interno del Organismo. Se incluyen además comentarios que se ha entendido conveniente  exponer, relacionados a la situación de determinados capítulos y rubros de los estados examinados y a disposiciones legales vigentes.</w:t>
      </w:r>
    </w:p>
    <w:p w:rsidR="008B33E3" w:rsidRPr="00E61638" w:rsidRDefault="008B33E3" w:rsidP="008B33E3">
      <w:pPr>
        <w:spacing w:line="360" w:lineRule="auto"/>
        <w:ind w:left="0" w:firstLine="0"/>
        <w:rPr>
          <w:rFonts w:ascii="Arial" w:eastAsia="Times New Roman" w:hAnsi="Arial" w:cs="Arial"/>
          <w:sz w:val="24"/>
          <w:szCs w:val="24"/>
          <w:lang w:val="es-ES"/>
        </w:rPr>
      </w:pPr>
      <w:r w:rsidRPr="00E61638">
        <w:rPr>
          <w:rFonts w:ascii="Arial" w:eastAsia="Times New Roman" w:hAnsi="Arial" w:cs="Arial"/>
          <w:sz w:val="24"/>
          <w:szCs w:val="24"/>
          <w:lang w:val="es-ES"/>
        </w:rPr>
        <w:t xml:space="preserve">También se agregan las principales recomendaciones que </w:t>
      </w:r>
      <w:proofErr w:type="gramStart"/>
      <w:r w:rsidRPr="00E61638">
        <w:rPr>
          <w:rFonts w:ascii="Arial" w:eastAsia="Times New Roman" w:hAnsi="Arial" w:cs="Arial"/>
          <w:sz w:val="24"/>
          <w:szCs w:val="24"/>
          <w:lang w:val="es-ES"/>
        </w:rPr>
        <w:t>deberá</w:t>
      </w:r>
      <w:proofErr w:type="gramEnd"/>
      <w:r w:rsidRPr="00E61638">
        <w:rPr>
          <w:rFonts w:ascii="Arial" w:eastAsia="Times New Roman" w:hAnsi="Arial" w:cs="Arial"/>
          <w:sz w:val="24"/>
          <w:szCs w:val="24"/>
          <w:lang w:val="es-ES"/>
        </w:rPr>
        <w:t xml:space="preserve"> atender el Organismo y una evaluación del cumplimiento de las recomendaciones presentadas en el informe de auditoría del ejercicio anterior.</w:t>
      </w:r>
    </w:p>
    <w:p w:rsidR="008B33E3" w:rsidRPr="00752CA6" w:rsidRDefault="008B33E3" w:rsidP="00822789">
      <w:pPr>
        <w:spacing w:line="360" w:lineRule="auto"/>
        <w:rPr>
          <w:rFonts w:ascii="Arial" w:eastAsia="Times New Roman" w:hAnsi="Arial" w:cs="Arial"/>
          <w:lang w:val="es-ES"/>
        </w:rPr>
      </w:pPr>
    </w:p>
    <w:p w:rsidR="008B33E3" w:rsidRPr="008B33E3" w:rsidRDefault="008B33E3" w:rsidP="00E61638">
      <w:pPr>
        <w:spacing w:line="360" w:lineRule="auto"/>
        <w:ind w:hanging="89"/>
        <w:rPr>
          <w:rFonts w:ascii="Arial" w:eastAsia="Times New Roman" w:hAnsi="Arial" w:cs="Arial"/>
          <w:b/>
          <w:sz w:val="24"/>
          <w:szCs w:val="24"/>
          <w:lang w:val="es-ES" w:eastAsia="es-ES"/>
        </w:rPr>
      </w:pPr>
      <w:r w:rsidRPr="008B33E3">
        <w:rPr>
          <w:rFonts w:ascii="Arial" w:eastAsia="Times New Roman" w:hAnsi="Arial" w:cs="Arial"/>
          <w:b/>
          <w:sz w:val="24"/>
          <w:szCs w:val="24"/>
          <w:lang w:val="es-ES" w:eastAsia="es-ES"/>
        </w:rPr>
        <w:t>1 Presentación de los Estados</w:t>
      </w:r>
    </w:p>
    <w:p w:rsidR="008B33E3" w:rsidRPr="008B33E3" w:rsidRDefault="008B33E3" w:rsidP="00E61638">
      <w:pPr>
        <w:spacing w:line="360" w:lineRule="auto"/>
        <w:ind w:left="0" w:firstLine="0"/>
        <w:rPr>
          <w:rFonts w:ascii="Arial" w:eastAsia="Times New Roman" w:hAnsi="Arial" w:cs="Arial"/>
          <w:spacing w:val="-3"/>
          <w:sz w:val="24"/>
          <w:szCs w:val="24"/>
          <w:lang w:val="es-ES_tradnl" w:eastAsia="es-ES"/>
        </w:rPr>
      </w:pPr>
      <w:r w:rsidRPr="008B33E3">
        <w:rPr>
          <w:rFonts w:ascii="Arial" w:eastAsia="Times New Roman" w:hAnsi="Arial" w:cs="Arial"/>
          <w:bCs/>
          <w:sz w:val="24"/>
          <w:szCs w:val="24"/>
          <w:lang w:val="es-ES" w:eastAsia="es-ES"/>
        </w:rPr>
        <w:t xml:space="preserve">Los estados financieros de UTEC correspondientes al ejercicio finalizado el 31 de diciembre de 2016, fueron </w:t>
      </w:r>
      <w:r w:rsidRPr="008B33E3">
        <w:rPr>
          <w:rFonts w:ascii="Arial" w:eastAsia="Times New Roman" w:hAnsi="Arial" w:cs="Arial"/>
          <w:spacing w:val="-3"/>
          <w:sz w:val="24"/>
          <w:szCs w:val="24"/>
          <w:lang w:val="es-ES_tradnl" w:eastAsia="es-ES"/>
        </w:rPr>
        <w:t>remitidos para su examen a este Tribunal con fecha 02/04/2017.</w:t>
      </w:r>
    </w:p>
    <w:p w:rsidR="008B33E3" w:rsidRPr="008B33E3" w:rsidRDefault="008B33E3" w:rsidP="00E61638">
      <w:pPr>
        <w:spacing w:line="360" w:lineRule="auto"/>
        <w:ind w:left="0" w:firstLine="0"/>
        <w:rPr>
          <w:rFonts w:ascii="Arial" w:eastAsia="Times New Roman" w:hAnsi="Arial" w:cs="Arial"/>
          <w:spacing w:val="-3"/>
          <w:sz w:val="24"/>
          <w:szCs w:val="24"/>
          <w:lang w:val="es-ES_tradnl" w:eastAsia="es-ES"/>
        </w:rPr>
      </w:pPr>
      <w:r w:rsidRPr="008B33E3">
        <w:rPr>
          <w:rFonts w:ascii="Arial" w:eastAsia="Times New Roman" w:hAnsi="Arial" w:cs="Arial"/>
          <w:spacing w:val="-3"/>
          <w:sz w:val="24"/>
          <w:szCs w:val="24"/>
          <w:lang w:val="es-ES_tradnl" w:eastAsia="es-ES"/>
        </w:rPr>
        <w:t>Dichos estados se presentan de acuerdo a las Normas Internacionales de Contabilidad del Sector Público (NICSP) y a los criterios establecidos por la Ordenanza N° 81.</w:t>
      </w:r>
    </w:p>
    <w:p w:rsidR="008B33E3" w:rsidRPr="008B33E3" w:rsidRDefault="008B33E3" w:rsidP="00E61638">
      <w:pPr>
        <w:tabs>
          <w:tab w:val="left" w:pos="284"/>
        </w:tabs>
        <w:spacing w:after="147" w:line="360" w:lineRule="auto"/>
        <w:ind w:left="0" w:right="122" w:firstLine="0"/>
        <w:contextualSpacing/>
        <w:rPr>
          <w:rFonts w:ascii="Arial" w:eastAsia="Times New Roman" w:hAnsi="Arial" w:cs="Arial"/>
          <w:spacing w:val="-3"/>
          <w:sz w:val="24"/>
          <w:szCs w:val="24"/>
          <w:lang w:val="es-ES_tradnl" w:eastAsia="es-ES"/>
        </w:rPr>
      </w:pPr>
      <w:r w:rsidRPr="008B33E3">
        <w:rPr>
          <w:rFonts w:ascii="Arial" w:eastAsia="Times New Roman" w:hAnsi="Arial" w:cs="Arial"/>
          <w:spacing w:val="-3"/>
          <w:sz w:val="24"/>
          <w:szCs w:val="24"/>
          <w:lang w:val="es-ES_tradnl" w:eastAsia="es-ES"/>
        </w:rPr>
        <w:t>El Ente no documentó en Actas del Consejo Directivo la aprobación de los estados financieros, por lo tanto no presentó copia autenticada de la misma de acuerdo a lo dispuesto en el Numeral 28 de la Ordenanza N°81.</w:t>
      </w:r>
    </w:p>
    <w:p w:rsidR="008B33E3" w:rsidRPr="00E61638" w:rsidRDefault="008B33E3" w:rsidP="00E61638">
      <w:pPr>
        <w:tabs>
          <w:tab w:val="left" w:pos="284"/>
        </w:tabs>
        <w:spacing w:after="147" w:line="360" w:lineRule="auto"/>
        <w:ind w:left="0" w:right="122" w:firstLine="0"/>
        <w:contextualSpacing/>
        <w:rPr>
          <w:rFonts w:ascii="Arial" w:hAnsi="Arial" w:cs="Arial"/>
          <w:sz w:val="24"/>
          <w:szCs w:val="24"/>
        </w:rPr>
      </w:pPr>
      <w:r w:rsidRPr="00E61638">
        <w:rPr>
          <w:rFonts w:ascii="Arial" w:hAnsi="Arial" w:cs="Arial"/>
          <w:sz w:val="24"/>
          <w:szCs w:val="24"/>
        </w:rPr>
        <w:t>Los estados no fueron firmados por el Secretario General ni por el Contador General del Organismo (Numeral 27, Ordenanza N° 81).</w:t>
      </w:r>
    </w:p>
    <w:p w:rsidR="008B33E3" w:rsidRPr="00E61638" w:rsidRDefault="008B33E3" w:rsidP="00E61638">
      <w:pPr>
        <w:tabs>
          <w:tab w:val="left" w:pos="284"/>
        </w:tabs>
        <w:spacing w:after="147" w:line="360" w:lineRule="auto"/>
        <w:ind w:left="0" w:right="122" w:firstLine="0"/>
        <w:contextualSpacing/>
        <w:rPr>
          <w:rFonts w:ascii="Arial" w:hAnsi="Arial" w:cs="Arial"/>
          <w:sz w:val="24"/>
          <w:szCs w:val="24"/>
        </w:rPr>
      </w:pPr>
      <w:r w:rsidRPr="00E61638">
        <w:rPr>
          <w:rFonts w:ascii="Arial" w:hAnsi="Arial" w:cs="Arial"/>
          <w:sz w:val="24"/>
          <w:szCs w:val="24"/>
        </w:rPr>
        <w:t xml:space="preserve">Si bien la UTEC no presentó una memoria explicativa de los estados financieros bajo examen (Numeral 15, Ordenanza N° 81), la </w:t>
      </w:r>
      <w:r w:rsidRPr="00E61638">
        <w:rPr>
          <w:rFonts w:ascii="Arial" w:eastAsia="Times New Roman" w:hAnsi="Arial" w:cs="Arial"/>
          <w:spacing w:val="-3"/>
          <w:sz w:val="24"/>
          <w:szCs w:val="24"/>
          <w:lang w:val="es-ES_tradnl" w:eastAsia="es-ES"/>
        </w:rPr>
        <w:t>información requerida</w:t>
      </w:r>
      <w:r w:rsidRPr="00E61638">
        <w:rPr>
          <w:rFonts w:ascii="Arial" w:hAnsi="Arial" w:cs="Arial"/>
          <w:sz w:val="24"/>
          <w:szCs w:val="24"/>
        </w:rPr>
        <w:t xml:space="preserve"> está contenida en las notas.</w:t>
      </w:r>
    </w:p>
    <w:p w:rsidR="008B33E3" w:rsidRPr="008B33E3" w:rsidRDefault="008B33E3" w:rsidP="00E61638">
      <w:pPr>
        <w:spacing w:line="360" w:lineRule="auto"/>
        <w:ind w:left="0" w:firstLine="0"/>
        <w:rPr>
          <w:rFonts w:ascii="Arial" w:eastAsia="Times New Roman" w:hAnsi="Arial" w:cs="Arial"/>
          <w:bCs/>
          <w:sz w:val="24"/>
          <w:szCs w:val="24"/>
          <w:lang w:eastAsia="es-ES"/>
        </w:rPr>
      </w:pPr>
      <w:r w:rsidRPr="008B33E3">
        <w:rPr>
          <w:rFonts w:ascii="Arial" w:eastAsia="Times New Roman" w:hAnsi="Arial" w:cs="Arial" w:hint="eastAsia"/>
          <w:bCs/>
          <w:sz w:val="24"/>
          <w:szCs w:val="24"/>
          <w:lang w:eastAsia="es-ES"/>
        </w:rPr>
        <w:t xml:space="preserve">No se presentó el </w:t>
      </w:r>
      <w:r w:rsidRPr="008B33E3">
        <w:rPr>
          <w:rFonts w:ascii="Arial" w:eastAsia="Times New Roman" w:hAnsi="Arial" w:cs="Arial"/>
          <w:bCs/>
          <w:sz w:val="24"/>
          <w:szCs w:val="24"/>
          <w:lang w:eastAsia="es-ES"/>
        </w:rPr>
        <w:t>E</w:t>
      </w:r>
      <w:r w:rsidRPr="008B33E3">
        <w:rPr>
          <w:rFonts w:ascii="Arial" w:eastAsia="Times New Roman" w:hAnsi="Arial" w:cs="Arial" w:hint="eastAsia"/>
          <w:bCs/>
          <w:sz w:val="24"/>
          <w:szCs w:val="24"/>
          <w:lang w:eastAsia="es-ES"/>
        </w:rPr>
        <w:t xml:space="preserve">stado de </w:t>
      </w:r>
      <w:r w:rsidRPr="008B33E3">
        <w:rPr>
          <w:rFonts w:ascii="Arial" w:eastAsia="Times New Roman" w:hAnsi="Arial" w:cs="Arial"/>
          <w:bCs/>
          <w:sz w:val="24"/>
          <w:szCs w:val="24"/>
          <w:lang w:eastAsia="es-ES"/>
        </w:rPr>
        <w:t>E</w:t>
      </w:r>
      <w:r w:rsidRPr="008B33E3">
        <w:rPr>
          <w:rFonts w:ascii="Arial" w:eastAsia="Times New Roman" w:hAnsi="Arial" w:cs="Arial" w:hint="eastAsia"/>
          <w:bCs/>
          <w:sz w:val="24"/>
          <w:szCs w:val="24"/>
          <w:lang w:eastAsia="es-ES"/>
        </w:rPr>
        <w:t xml:space="preserve">jecución </w:t>
      </w:r>
      <w:r w:rsidRPr="008B33E3">
        <w:rPr>
          <w:rFonts w:ascii="Arial" w:eastAsia="Times New Roman" w:hAnsi="Arial" w:cs="Arial"/>
          <w:bCs/>
          <w:sz w:val="24"/>
          <w:szCs w:val="24"/>
          <w:lang w:eastAsia="es-ES"/>
        </w:rPr>
        <w:t>P</w:t>
      </w:r>
      <w:r w:rsidRPr="008B33E3">
        <w:rPr>
          <w:rFonts w:ascii="Arial" w:eastAsia="Times New Roman" w:hAnsi="Arial" w:cs="Arial" w:hint="eastAsia"/>
          <w:bCs/>
          <w:sz w:val="24"/>
          <w:szCs w:val="24"/>
          <w:lang w:eastAsia="es-ES"/>
        </w:rPr>
        <w:t>resupuestal</w:t>
      </w:r>
      <w:r w:rsidRPr="008B33E3">
        <w:rPr>
          <w:rFonts w:ascii="Arial" w:eastAsia="Times New Roman" w:hAnsi="Arial" w:cs="Arial"/>
          <w:bCs/>
          <w:sz w:val="24"/>
          <w:szCs w:val="24"/>
          <w:lang w:eastAsia="es-ES"/>
        </w:rPr>
        <w:t>, de acuerdo a lo dispuesto en el Articulo 211 literal c) de la Constitución de la República así como tampoco su conciliación con los Estados Financieros (NICSP 24, párrafo 14).</w:t>
      </w:r>
    </w:p>
    <w:p w:rsidR="008B33E3" w:rsidRPr="00BA6508" w:rsidRDefault="008B33E3" w:rsidP="00822789">
      <w:pPr>
        <w:tabs>
          <w:tab w:val="left" w:pos="284"/>
        </w:tabs>
        <w:spacing w:line="360" w:lineRule="auto"/>
        <w:rPr>
          <w:rFonts w:ascii="Arial" w:eastAsia="Times New Roman" w:hAnsi="Arial" w:cs="Arial"/>
          <w:b/>
          <w:lang w:eastAsia="es-ES"/>
        </w:rPr>
      </w:pPr>
    </w:p>
    <w:p w:rsidR="008B33E3" w:rsidRPr="008B33E3" w:rsidRDefault="008B33E3" w:rsidP="00822789">
      <w:pPr>
        <w:tabs>
          <w:tab w:val="left" w:pos="284"/>
        </w:tabs>
        <w:spacing w:line="360" w:lineRule="auto"/>
        <w:rPr>
          <w:rFonts w:ascii="Arial" w:eastAsia="Times New Roman" w:hAnsi="Arial" w:cs="Arial"/>
          <w:b/>
          <w:sz w:val="24"/>
          <w:szCs w:val="24"/>
          <w:lang w:val="es-ES" w:eastAsia="es-ES"/>
        </w:rPr>
      </w:pPr>
      <w:r w:rsidRPr="008B33E3">
        <w:rPr>
          <w:rFonts w:ascii="Arial" w:eastAsia="Times New Roman" w:hAnsi="Arial" w:cs="Arial"/>
          <w:b/>
          <w:sz w:val="24"/>
          <w:szCs w:val="24"/>
          <w:lang w:val="es-ES" w:eastAsia="es-ES"/>
        </w:rPr>
        <w:t>2</w:t>
      </w:r>
      <w:r w:rsidRPr="008B33E3">
        <w:rPr>
          <w:rFonts w:ascii="Arial" w:eastAsia="Times New Roman" w:hAnsi="Arial" w:cs="Arial"/>
          <w:b/>
          <w:sz w:val="24"/>
          <w:szCs w:val="24"/>
          <w:lang w:val="es-ES" w:eastAsia="es-ES"/>
        </w:rPr>
        <w:tab/>
        <w:t>Evaluación del control interno</w:t>
      </w:r>
    </w:p>
    <w:p w:rsidR="008B33E3" w:rsidRPr="008B33E3" w:rsidRDefault="008B33E3" w:rsidP="00822789">
      <w:pPr>
        <w:spacing w:line="360" w:lineRule="auto"/>
        <w:rPr>
          <w:rFonts w:ascii="Arial" w:eastAsia="Times New Roman" w:hAnsi="Arial" w:cs="Arial"/>
          <w:bCs/>
          <w:sz w:val="24"/>
          <w:szCs w:val="24"/>
          <w:lang w:eastAsia="es-ES"/>
        </w:rPr>
      </w:pPr>
      <w:r w:rsidRPr="008B33E3">
        <w:rPr>
          <w:rFonts w:ascii="Arial" w:eastAsia="Times New Roman" w:hAnsi="Arial" w:cs="Arial"/>
          <w:bCs/>
          <w:sz w:val="24"/>
          <w:szCs w:val="24"/>
          <w:lang w:eastAsia="es-ES"/>
        </w:rPr>
        <w:t>El examen de los aspectos de control interno relevantes para la preparación y presentación razonable de los estados financieros, permitió constatar las siguientes debilidades en relación a las actividades de control, información financiera y cumplimiento de normas legales:</w:t>
      </w:r>
    </w:p>
    <w:p w:rsidR="008B33E3" w:rsidRPr="008B33E3" w:rsidRDefault="008B33E3" w:rsidP="008B33E3">
      <w:pPr>
        <w:numPr>
          <w:ilvl w:val="1"/>
          <w:numId w:val="8"/>
        </w:numPr>
        <w:tabs>
          <w:tab w:val="left" w:pos="426"/>
        </w:tabs>
        <w:spacing w:after="109" w:line="360" w:lineRule="auto"/>
        <w:ind w:left="0" w:firstLine="0"/>
        <w:contextualSpacing/>
        <w:rPr>
          <w:rFonts w:ascii="Arial" w:hAnsi="Arial" w:cs="Arial"/>
          <w:b/>
          <w:sz w:val="24"/>
          <w:szCs w:val="24"/>
        </w:rPr>
      </w:pPr>
      <w:r w:rsidRPr="008B33E3">
        <w:rPr>
          <w:rFonts w:ascii="Arial" w:hAnsi="Arial" w:cs="Arial"/>
          <w:b/>
          <w:noProof/>
          <w:sz w:val="24"/>
          <w:szCs w:val="24"/>
        </w:rPr>
        <w:drawing>
          <wp:anchor distT="0" distB="0" distL="114300" distR="114300" simplePos="0" relativeHeight="251659264" behindDoc="0" locked="0" layoutInCell="1" allowOverlap="0" wp14:anchorId="7847FB6F" wp14:editId="7C85C90E">
            <wp:simplePos x="0" y="0"/>
            <wp:positionH relativeFrom="page">
              <wp:posOffset>6821805</wp:posOffset>
            </wp:positionH>
            <wp:positionV relativeFrom="page">
              <wp:posOffset>4965700</wp:posOffset>
            </wp:positionV>
            <wp:extent cx="8890" cy="88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3E3">
        <w:rPr>
          <w:rFonts w:ascii="Arial" w:hAnsi="Arial" w:cs="Arial"/>
          <w:b/>
          <w:sz w:val="24"/>
          <w:szCs w:val="24"/>
        </w:rPr>
        <w:t>A</w:t>
      </w:r>
      <w:r>
        <w:rPr>
          <w:rFonts w:ascii="Arial" w:hAnsi="Arial" w:cs="Arial"/>
          <w:b/>
          <w:sz w:val="24"/>
          <w:szCs w:val="24"/>
        </w:rPr>
        <w:t>delantos de efectivo y viáticos</w:t>
      </w:r>
    </w:p>
    <w:p w:rsidR="008B33E3" w:rsidRPr="008B33E3" w:rsidRDefault="008B33E3" w:rsidP="00822789">
      <w:pPr>
        <w:tabs>
          <w:tab w:val="left" w:pos="284"/>
        </w:tabs>
        <w:spacing w:after="27" w:line="360" w:lineRule="auto"/>
        <w:ind w:right="107"/>
        <w:contextualSpacing/>
        <w:rPr>
          <w:rFonts w:ascii="Arial" w:hAnsi="Arial" w:cs="Arial"/>
          <w:sz w:val="24"/>
          <w:szCs w:val="24"/>
        </w:rPr>
      </w:pPr>
      <w:r w:rsidRPr="008B33E3">
        <w:rPr>
          <w:rFonts w:ascii="Arial" w:hAnsi="Arial" w:cs="Arial"/>
          <w:sz w:val="24"/>
          <w:szCs w:val="24"/>
        </w:rPr>
        <w:t xml:space="preserve">La documentación de caja utilizada para los adelantos de efectivo para gastos o viáticos no cuenta con numeración </w:t>
      </w:r>
      <w:proofErr w:type="spellStart"/>
      <w:r w:rsidRPr="008B33E3">
        <w:rPr>
          <w:rFonts w:ascii="Arial" w:hAnsi="Arial" w:cs="Arial"/>
          <w:sz w:val="24"/>
          <w:szCs w:val="24"/>
        </w:rPr>
        <w:t>preimpresa</w:t>
      </w:r>
      <w:proofErr w:type="spellEnd"/>
      <w:r w:rsidRPr="008B33E3">
        <w:rPr>
          <w:rFonts w:ascii="Arial" w:hAnsi="Arial" w:cs="Arial"/>
          <w:sz w:val="24"/>
          <w:szCs w:val="24"/>
        </w:rPr>
        <w:t>. Asimismo, las firmas de los funcionarios que recibieron anticipos no son legibl</w:t>
      </w:r>
      <w:r>
        <w:rPr>
          <w:rFonts w:ascii="Arial" w:hAnsi="Arial" w:cs="Arial"/>
          <w:sz w:val="24"/>
          <w:szCs w:val="24"/>
        </w:rPr>
        <w:t>es, ni cuentan con contrafirma.</w:t>
      </w:r>
    </w:p>
    <w:p w:rsidR="008B33E3" w:rsidRPr="008B33E3" w:rsidRDefault="008B33E3" w:rsidP="008B33E3">
      <w:pPr>
        <w:numPr>
          <w:ilvl w:val="1"/>
          <w:numId w:val="8"/>
        </w:numPr>
        <w:tabs>
          <w:tab w:val="left" w:pos="426"/>
        </w:tabs>
        <w:spacing w:after="109" w:line="360" w:lineRule="auto"/>
        <w:ind w:left="0" w:firstLine="0"/>
        <w:contextualSpacing/>
        <w:rPr>
          <w:rFonts w:ascii="Arial" w:hAnsi="Arial" w:cs="Arial"/>
          <w:b/>
          <w:sz w:val="24"/>
          <w:szCs w:val="24"/>
        </w:rPr>
      </w:pPr>
      <w:r w:rsidRPr="008B33E3">
        <w:rPr>
          <w:rFonts w:ascii="Arial" w:hAnsi="Arial" w:cs="Arial"/>
          <w:b/>
          <w:sz w:val="24"/>
          <w:szCs w:val="24"/>
        </w:rPr>
        <w:t>Arqueos</w:t>
      </w:r>
    </w:p>
    <w:p w:rsidR="008B33E3" w:rsidRPr="008B33E3" w:rsidRDefault="008B33E3" w:rsidP="008B33E3">
      <w:pPr>
        <w:numPr>
          <w:ilvl w:val="0"/>
          <w:numId w:val="7"/>
        </w:numPr>
        <w:tabs>
          <w:tab w:val="left" w:pos="284"/>
        </w:tabs>
        <w:spacing w:line="360" w:lineRule="auto"/>
        <w:ind w:left="0" w:right="93" w:firstLine="0"/>
        <w:contextualSpacing/>
        <w:rPr>
          <w:rFonts w:ascii="Arial" w:hAnsi="Arial" w:cs="Arial"/>
          <w:sz w:val="24"/>
          <w:szCs w:val="24"/>
        </w:rPr>
      </w:pPr>
      <w:r w:rsidRPr="008B33E3">
        <w:rPr>
          <w:rFonts w:ascii="Arial" w:hAnsi="Arial" w:cs="Arial"/>
          <w:sz w:val="24"/>
          <w:szCs w:val="24"/>
        </w:rPr>
        <w:t>El saldo de la caja chica correspondiente a la Sede Central no pudo ser verificado en oportunidad del arqueo practicado por el equipo auditor dado que los registros contables no estaban actualizados.</w:t>
      </w:r>
    </w:p>
    <w:p w:rsidR="008B33E3" w:rsidRPr="008B33E3" w:rsidRDefault="008B33E3" w:rsidP="008B33E3">
      <w:pPr>
        <w:numPr>
          <w:ilvl w:val="0"/>
          <w:numId w:val="7"/>
        </w:numPr>
        <w:tabs>
          <w:tab w:val="left" w:pos="284"/>
        </w:tabs>
        <w:spacing w:after="27" w:line="360" w:lineRule="auto"/>
        <w:ind w:left="0" w:right="107" w:firstLine="0"/>
        <w:contextualSpacing/>
        <w:rPr>
          <w:rFonts w:ascii="Arial" w:hAnsi="Arial" w:cs="Arial"/>
          <w:sz w:val="24"/>
          <w:szCs w:val="24"/>
        </w:rPr>
      </w:pPr>
      <w:r w:rsidRPr="008B33E3">
        <w:rPr>
          <w:rFonts w:ascii="Arial" w:hAnsi="Arial" w:cs="Arial"/>
          <w:sz w:val="24"/>
          <w:szCs w:val="24"/>
        </w:rPr>
        <w:t xml:space="preserve">Si bien se realizan arqueos en el Interior, los mismos son efectuados por  una misma  funcionaria que concurre desde la Sede Central y  pertenece al sector contable, no rotando la persona a esos </w:t>
      </w:r>
      <w:r>
        <w:rPr>
          <w:rFonts w:ascii="Arial" w:hAnsi="Arial" w:cs="Arial"/>
          <w:sz w:val="24"/>
          <w:szCs w:val="24"/>
        </w:rPr>
        <w:t>efectos.</w:t>
      </w:r>
    </w:p>
    <w:p w:rsidR="008B33E3" w:rsidRPr="008B33E3" w:rsidRDefault="008B33E3" w:rsidP="008B33E3">
      <w:pPr>
        <w:numPr>
          <w:ilvl w:val="0"/>
          <w:numId w:val="7"/>
        </w:numPr>
        <w:tabs>
          <w:tab w:val="left" w:pos="284"/>
        </w:tabs>
        <w:spacing w:after="27" w:line="360" w:lineRule="auto"/>
        <w:ind w:left="0" w:right="107" w:firstLine="0"/>
        <w:contextualSpacing/>
        <w:rPr>
          <w:rFonts w:ascii="Arial" w:hAnsi="Arial" w:cs="Arial"/>
          <w:sz w:val="24"/>
          <w:szCs w:val="24"/>
        </w:rPr>
      </w:pPr>
      <w:r w:rsidRPr="008B33E3">
        <w:rPr>
          <w:rFonts w:ascii="Arial" w:hAnsi="Arial" w:cs="Arial"/>
          <w:sz w:val="24"/>
          <w:szCs w:val="24"/>
        </w:rPr>
        <w:t>En ningún caso se deja constancia del corte de documentación.</w:t>
      </w:r>
    </w:p>
    <w:p w:rsidR="008B33E3" w:rsidRPr="008B33E3" w:rsidRDefault="008B33E3" w:rsidP="008B33E3">
      <w:pPr>
        <w:numPr>
          <w:ilvl w:val="1"/>
          <w:numId w:val="8"/>
        </w:numPr>
        <w:spacing w:after="0" w:line="360" w:lineRule="auto"/>
        <w:ind w:left="426" w:hanging="426"/>
        <w:contextualSpacing/>
        <w:rPr>
          <w:rFonts w:ascii="Arial" w:hAnsi="Arial" w:cs="Arial"/>
          <w:b/>
          <w:sz w:val="24"/>
          <w:szCs w:val="24"/>
        </w:rPr>
      </w:pPr>
      <w:r w:rsidRPr="008B33E3">
        <w:rPr>
          <w:rFonts w:ascii="Arial" w:hAnsi="Arial" w:cs="Arial"/>
          <w:b/>
          <w:sz w:val="24"/>
          <w:szCs w:val="24"/>
        </w:rPr>
        <w:t>Conciliaciones bancarias</w:t>
      </w:r>
    </w:p>
    <w:p w:rsidR="008B33E3" w:rsidRPr="008B33E3" w:rsidRDefault="008B33E3" w:rsidP="00822789">
      <w:pPr>
        <w:spacing w:line="360" w:lineRule="auto"/>
        <w:ind w:right="50"/>
        <w:rPr>
          <w:rFonts w:ascii="Arial" w:hAnsi="Arial" w:cs="Arial"/>
          <w:sz w:val="24"/>
          <w:szCs w:val="24"/>
        </w:rPr>
      </w:pPr>
      <w:r w:rsidRPr="008B33E3">
        <w:rPr>
          <w:noProof/>
          <w:sz w:val="24"/>
          <w:szCs w:val="24"/>
        </w:rPr>
        <w:drawing>
          <wp:anchor distT="0" distB="0" distL="114300" distR="114300" simplePos="0" relativeHeight="251660288" behindDoc="0" locked="0" layoutInCell="1" allowOverlap="0" wp14:anchorId="5AFB4C5A" wp14:editId="75ACEF9C">
            <wp:simplePos x="0" y="0"/>
            <wp:positionH relativeFrom="page">
              <wp:posOffset>7105015</wp:posOffset>
            </wp:positionH>
            <wp:positionV relativeFrom="page">
              <wp:posOffset>7190105</wp:posOffset>
            </wp:positionV>
            <wp:extent cx="31750" cy="13970"/>
            <wp:effectExtent l="0" t="0" r="6350" b="508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50"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3E3">
        <w:rPr>
          <w:rFonts w:ascii="Arial" w:hAnsi="Arial" w:cs="Arial"/>
          <w:sz w:val="24"/>
          <w:szCs w:val="24"/>
        </w:rPr>
        <w:t>- Existen cuentas bancarias que se concilian en forma semestral, (ocho cuentas bancarias en moneda nacional de los distintos ITR- Institutos Tecnológicos Regionales, dos cuentas bancarias para Tarjetas de Débito Alfa BROU y dos cajas de ahorro en moneda nacional y moneda extranjera, radicadas en el BROU Montevideo). No se dispone de evidencia de la contabilización de las partidas conciliatorias.</w:t>
      </w:r>
    </w:p>
    <w:p w:rsidR="008B33E3" w:rsidRPr="008B33E3" w:rsidRDefault="008B33E3" w:rsidP="00822789">
      <w:pPr>
        <w:spacing w:line="360" w:lineRule="auto"/>
        <w:ind w:right="50"/>
        <w:rPr>
          <w:rFonts w:ascii="Arial" w:hAnsi="Arial" w:cs="Arial"/>
          <w:sz w:val="24"/>
          <w:szCs w:val="24"/>
        </w:rPr>
      </w:pPr>
      <w:r w:rsidRPr="008B33E3">
        <w:rPr>
          <w:rFonts w:ascii="Arial" w:hAnsi="Arial" w:cs="Arial"/>
          <w:sz w:val="24"/>
          <w:szCs w:val="24"/>
        </w:rPr>
        <w:t>- Las conciliaciones de la cuenta corriente en moneda nacional presentan diferencias entre el saldo contable y el bancario, las que no son identificadas.</w:t>
      </w:r>
    </w:p>
    <w:p w:rsidR="008B33E3" w:rsidRDefault="008B33E3" w:rsidP="00822789">
      <w:pPr>
        <w:spacing w:line="360" w:lineRule="auto"/>
        <w:ind w:right="50"/>
        <w:rPr>
          <w:rFonts w:ascii="Arial" w:hAnsi="Arial" w:cs="Arial"/>
        </w:rPr>
      </w:pPr>
    </w:p>
    <w:p w:rsidR="008B33E3" w:rsidRPr="008B33E3" w:rsidRDefault="008B33E3" w:rsidP="008B33E3">
      <w:pPr>
        <w:numPr>
          <w:ilvl w:val="1"/>
          <w:numId w:val="8"/>
        </w:numPr>
        <w:tabs>
          <w:tab w:val="left" w:pos="0"/>
        </w:tabs>
        <w:spacing w:after="0" w:line="360" w:lineRule="auto"/>
        <w:ind w:left="0" w:right="122" w:firstLine="0"/>
        <w:contextualSpacing/>
        <w:rPr>
          <w:rFonts w:ascii="Arial" w:hAnsi="Arial" w:cs="Arial"/>
          <w:b/>
          <w:sz w:val="24"/>
          <w:szCs w:val="24"/>
        </w:rPr>
      </w:pPr>
      <w:r w:rsidRPr="008B33E3">
        <w:rPr>
          <w:rFonts w:ascii="Arial" w:hAnsi="Arial" w:cs="Arial"/>
          <w:b/>
          <w:sz w:val="24"/>
          <w:szCs w:val="24"/>
        </w:rPr>
        <w:t>Bienes de uso</w:t>
      </w:r>
    </w:p>
    <w:p w:rsidR="008B33E3" w:rsidRPr="008B33E3" w:rsidRDefault="008B33E3" w:rsidP="008B33E3">
      <w:pPr>
        <w:numPr>
          <w:ilvl w:val="0"/>
          <w:numId w:val="6"/>
        </w:numPr>
        <w:tabs>
          <w:tab w:val="left" w:pos="284"/>
        </w:tabs>
        <w:spacing w:after="431" w:line="360" w:lineRule="auto"/>
        <w:ind w:left="0" w:right="50" w:firstLine="0"/>
        <w:contextualSpacing/>
        <w:rPr>
          <w:rFonts w:ascii="Arial" w:hAnsi="Arial" w:cs="Arial"/>
          <w:sz w:val="24"/>
          <w:szCs w:val="24"/>
        </w:rPr>
      </w:pPr>
      <w:r w:rsidRPr="008B33E3">
        <w:rPr>
          <w:rFonts w:ascii="Arial" w:hAnsi="Arial" w:cs="Arial"/>
          <w:sz w:val="24"/>
          <w:szCs w:val="24"/>
        </w:rPr>
        <w:t xml:space="preserve"> No se cuenta con un sistema de inventario actualizado para la totalidad de los bienes de uso, lo que impide la realización de verificaciones periódicas por personal  independiente a la custodia y registro de los mismos.</w:t>
      </w:r>
    </w:p>
    <w:p w:rsidR="008B33E3" w:rsidRPr="008B33E3" w:rsidRDefault="008B33E3" w:rsidP="008B33E3">
      <w:pPr>
        <w:numPr>
          <w:ilvl w:val="0"/>
          <w:numId w:val="6"/>
        </w:numPr>
        <w:tabs>
          <w:tab w:val="left" w:pos="284"/>
        </w:tabs>
        <w:spacing w:after="0" w:line="360" w:lineRule="auto"/>
        <w:ind w:left="0" w:right="51" w:firstLine="0"/>
        <w:contextualSpacing/>
        <w:rPr>
          <w:rFonts w:ascii="Arial" w:hAnsi="Arial" w:cs="Arial"/>
          <w:sz w:val="24"/>
          <w:szCs w:val="24"/>
        </w:rPr>
      </w:pPr>
      <w:r w:rsidRPr="008B33E3">
        <w:rPr>
          <w:rFonts w:ascii="Arial" w:hAnsi="Arial" w:cs="Arial"/>
          <w:sz w:val="24"/>
          <w:szCs w:val="24"/>
        </w:rPr>
        <w:t>Los mismos  funcionarios que realizan los registros de bienes de uso en el sistema contable y sistemas auxiliares son los que realizan los recuentos físicos de dichos bienes, incumpliendo el principio de segregación de tareas.</w:t>
      </w:r>
    </w:p>
    <w:p w:rsidR="008B33E3" w:rsidRPr="008B33E3" w:rsidRDefault="008B33E3" w:rsidP="008B33E3">
      <w:pPr>
        <w:numPr>
          <w:ilvl w:val="0"/>
          <w:numId w:val="6"/>
        </w:numPr>
        <w:tabs>
          <w:tab w:val="left" w:pos="284"/>
        </w:tabs>
        <w:spacing w:after="0" w:line="360" w:lineRule="auto"/>
        <w:ind w:left="0" w:right="51" w:firstLine="0"/>
        <w:contextualSpacing/>
        <w:rPr>
          <w:rFonts w:ascii="Arial" w:hAnsi="Arial" w:cs="Arial"/>
          <w:color w:val="00000A"/>
          <w:sz w:val="24"/>
          <w:szCs w:val="24"/>
          <w:lang w:val="es-ES"/>
        </w:rPr>
      </w:pPr>
      <w:r w:rsidRPr="008B33E3">
        <w:rPr>
          <w:rFonts w:ascii="Arial" w:hAnsi="Arial" w:cs="Arial"/>
          <w:color w:val="00000A"/>
          <w:sz w:val="24"/>
          <w:szCs w:val="24"/>
          <w:lang w:val="es-ES"/>
        </w:rPr>
        <w:t>No se ha establecido en forma documentada la responsabilidad y el acceso restringido a bienes de uso a funcionarios específicos, excepto para los equipos portátiles (no</w:t>
      </w:r>
      <w:r>
        <w:rPr>
          <w:rFonts w:ascii="Arial" w:hAnsi="Arial" w:cs="Arial"/>
          <w:color w:val="00000A"/>
          <w:sz w:val="24"/>
          <w:szCs w:val="24"/>
          <w:lang w:val="es-ES"/>
        </w:rPr>
        <w:t xml:space="preserve">tebooks y </w:t>
      </w:r>
      <w:proofErr w:type="spellStart"/>
      <w:r>
        <w:rPr>
          <w:rFonts w:ascii="Arial" w:hAnsi="Arial" w:cs="Arial"/>
          <w:color w:val="00000A"/>
          <w:sz w:val="24"/>
          <w:szCs w:val="24"/>
          <w:lang w:val="es-ES"/>
        </w:rPr>
        <w:t>tablets</w:t>
      </w:r>
      <w:proofErr w:type="spellEnd"/>
      <w:r>
        <w:rPr>
          <w:rFonts w:ascii="Arial" w:hAnsi="Arial" w:cs="Arial"/>
          <w:color w:val="00000A"/>
          <w:sz w:val="24"/>
          <w:szCs w:val="24"/>
          <w:lang w:val="es-ES"/>
        </w:rPr>
        <w:t>) y celulares.</w:t>
      </w:r>
    </w:p>
    <w:p w:rsidR="008B33E3" w:rsidRPr="008B33E3" w:rsidRDefault="008B33E3" w:rsidP="008B33E3">
      <w:pPr>
        <w:numPr>
          <w:ilvl w:val="1"/>
          <w:numId w:val="8"/>
        </w:numPr>
        <w:spacing w:after="0" w:line="360" w:lineRule="auto"/>
        <w:ind w:left="0" w:right="7" w:firstLine="0"/>
        <w:contextualSpacing/>
        <w:rPr>
          <w:rFonts w:ascii="Arial" w:hAnsi="Arial" w:cs="Arial"/>
          <w:b/>
          <w:sz w:val="24"/>
          <w:szCs w:val="24"/>
        </w:rPr>
      </w:pPr>
      <w:r w:rsidRPr="008B33E3">
        <w:rPr>
          <w:rFonts w:ascii="Arial" w:hAnsi="Arial" w:cs="Arial"/>
          <w:b/>
          <w:sz w:val="24"/>
          <w:szCs w:val="24"/>
        </w:rPr>
        <w:t>Proveedores</w:t>
      </w:r>
    </w:p>
    <w:p w:rsidR="008B33E3" w:rsidRPr="008B33E3" w:rsidRDefault="008B33E3" w:rsidP="00822789">
      <w:pPr>
        <w:tabs>
          <w:tab w:val="left" w:pos="284"/>
        </w:tabs>
        <w:spacing w:after="431" w:line="360" w:lineRule="auto"/>
        <w:ind w:right="7"/>
        <w:contextualSpacing/>
        <w:rPr>
          <w:rFonts w:ascii="Arial" w:hAnsi="Arial" w:cs="Arial"/>
          <w:sz w:val="24"/>
          <w:szCs w:val="24"/>
        </w:rPr>
      </w:pPr>
      <w:r w:rsidRPr="008B33E3">
        <w:rPr>
          <w:rFonts w:ascii="Arial" w:hAnsi="Arial" w:cs="Arial"/>
          <w:sz w:val="24"/>
          <w:szCs w:val="24"/>
        </w:rPr>
        <w:t>Durante el ejercicio 2016 no se realizaron conciliaciones de los saldos con proveedores. Al cierre del ejercicio 2017, se implementó el análisis de dichos saldos.</w:t>
      </w:r>
    </w:p>
    <w:p w:rsidR="008B33E3" w:rsidRPr="008B33E3" w:rsidRDefault="008B33E3" w:rsidP="00822789">
      <w:pPr>
        <w:tabs>
          <w:tab w:val="left" w:pos="284"/>
        </w:tabs>
        <w:spacing w:line="360" w:lineRule="auto"/>
        <w:ind w:right="122"/>
        <w:contextualSpacing/>
        <w:rPr>
          <w:rFonts w:ascii="Arial" w:hAnsi="Arial" w:cs="Arial"/>
          <w:sz w:val="24"/>
          <w:szCs w:val="24"/>
        </w:rPr>
      </w:pPr>
      <w:r w:rsidRPr="008B33E3">
        <w:rPr>
          <w:rFonts w:ascii="Arial" w:hAnsi="Arial" w:cs="Arial"/>
          <w:sz w:val="24"/>
          <w:szCs w:val="24"/>
        </w:rPr>
        <w:t xml:space="preserve">En la muestra analizada se pudo constatar que se omitió la contabilización al 31/12/2016 de los siguientes </w:t>
      </w:r>
      <w:r>
        <w:rPr>
          <w:rFonts w:ascii="Arial" w:hAnsi="Arial" w:cs="Arial"/>
          <w:sz w:val="24"/>
          <w:szCs w:val="24"/>
        </w:rPr>
        <w:t>pasivos exigibles a esa fecha:</w:t>
      </w:r>
    </w:p>
    <w:p w:rsidR="008B33E3" w:rsidRPr="008B33E3" w:rsidRDefault="008B33E3" w:rsidP="00822789">
      <w:pPr>
        <w:tabs>
          <w:tab w:val="left" w:pos="0"/>
          <w:tab w:val="left" w:pos="1134"/>
        </w:tabs>
        <w:spacing w:line="360" w:lineRule="auto"/>
        <w:ind w:right="122"/>
        <w:contextualSpacing/>
        <w:rPr>
          <w:rFonts w:ascii="Arial" w:hAnsi="Arial" w:cs="Arial"/>
          <w:sz w:val="24"/>
          <w:szCs w:val="24"/>
        </w:rPr>
      </w:pPr>
      <w:r w:rsidRPr="008B33E3">
        <w:rPr>
          <w:rFonts w:ascii="Arial" w:hAnsi="Arial" w:cs="Arial"/>
          <w:sz w:val="24"/>
          <w:szCs w:val="24"/>
        </w:rPr>
        <w:t>-Deuda de la UTEC con la UDELAR- Facultad de Química, con vencimiento el 28/12/2016, originada en un Convenio suscrito el 13/12/2016 que especifica en la cláusula 3° que el pago deberá cumplirse a partir de los 10 días hábiles de firmado el Convenio, por un importe de $ 355.200, pago que fue registrado contablemente el 19/01/2017;</w:t>
      </w:r>
    </w:p>
    <w:p w:rsidR="008B33E3" w:rsidRDefault="008B33E3" w:rsidP="00822789">
      <w:pPr>
        <w:tabs>
          <w:tab w:val="left" w:pos="0"/>
          <w:tab w:val="left" w:pos="1134"/>
        </w:tabs>
        <w:spacing w:line="360" w:lineRule="auto"/>
        <w:ind w:right="122"/>
        <w:contextualSpacing/>
        <w:rPr>
          <w:rFonts w:ascii="Arial" w:hAnsi="Arial" w:cs="Arial"/>
          <w:sz w:val="24"/>
          <w:szCs w:val="24"/>
        </w:rPr>
      </w:pPr>
      <w:r w:rsidRPr="008B33E3">
        <w:rPr>
          <w:rFonts w:ascii="Arial" w:hAnsi="Arial" w:cs="Arial"/>
          <w:sz w:val="24"/>
          <w:szCs w:val="24"/>
        </w:rPr>
        <w:t xml:space="preserve">-Gasto de arrendamiento de local de las Fuerzas Armadas del Uruguay (FAU) y  otros conceptos de acuerdo a convenio suscrito con esa entidad por </w:t>
      </w:r>
      <w:proofErr w:type="spellStart"/>
      <w:r w:rsidRPr="008B33E3">
        <w:rPr>
          <w:rFonts w:ascii="Arial" w:hAnsi="Arial" w:cs="Arial"/>
          <w:sz w:val="24"/>
          <w:szCs w:val="24"/>
        </w:rPr>
        <w:t>Ul</w:t>
      </w:r>
      <w:proofErr w:type="spellEnd"/>
      <w:r w:rsidRPr="008B33E3">
        <w:rPr>
          <w:rFonts w:ascii="Arial" w:hAnsi="Arial" w:cs="Arial"/>
          <w:sz w:val="24"/>
          <w:szCs w:val="24"/>
        </w:rPr>
        <w:t xml:space="preserve"> 91.016 equivalentes a $ 319.256.82, convertidos a la cotización de la </w:t>
      </w:r>
      <w:proofErr w:type="spellStart"/>
      <w:r w:rsidRPr="008B33E3">
        <w:rPr>
          <w:rFonts w:ascii="Arial" w:hAnsi="Arial" w:cs="Arial"/>
          <w:sz w:val="24"/>
          <w:szCs w:val="24"/>
        </w:rPr>
        <w:t>Ul</w:t>
      </w:r>
      <w:proofErr w:type="spellEnd"/>
      <w:r w:rsidRPr="008B33E3">
        <w:rPr>
          <w:rFonts w:ascii="Arial" w:hAnsi="Arial" w:cs="Arial"/>
          <w:sz w:val="24"/>
          <w:szCs w:val="24"/>
        </w:rPr>
        <w:t xml:space="preserve"> al cierre del ejercicio de $ 3,5077;</w:t>
      </w:r>
    </w:p>
    <w:p w:rsidR="00E61638" w:rsidRPr="008B33E3" w:rsidRDefault="00E61638" w:rsidP="00822789">
      <w:pPr>
        <w:tabs>
          <w:tab w:val="left" w:pos="0"/>
          <w:tab w:val="left" w:pos="1134"/>
        </w:tabs>
        <w:spacing w:line="360" w:lineRule="auto"/>
        <w:ind w:right="122"/>
        <w:contextualSpacing/>
        <w:rPr>
          <w:rFonts w:ascii="Arial" w:hAnsi="Arial" w:cs="Arial"/>
          <w:sz w:val="24"/>
          <w:szCs w:val="24"/>
        </w:rPr>
      </w:pPr>
    </w:p>
    <w:p w:rsidR="008B33E3" w:rsidRPr="008B33E3" w:rsidRDefault="008B33E3" w:rsidP="008B33E3">
      <w:pPr>
        <w:numPr>
          <w:ilvl w:val="1"/>
          <w:numId w:val="8"/>
        </w:numPr>
        <w:tabs>
          <w:tab w:val="left" w:pos="0"/>
        </w:tabs>
        <w:spacing w:after="109" w:line="360" w:lineRule="auto"/>
        <w:ind w:left="0" w:firstLine="0"/>
        <w:contextualSpacing/>
        <w:rPr>
          <w:rFonts w:ascii="Arial" w:hAnsi="Arial" w:cs="Arial"/>
          <w:b/>
          <w:sz w:val="24"/>
          <w:szCs w:val="24"/>
        </w:rPr>
      </w:pPr>
      <w:r w:rsidRPr="008B33E3">
        <w:rPr>
          <w:rFonts w:ascii="Arial" w:hAnsi="Arial" w:cs="Arial" w:hint="eastAsia"/>
          <w:b/>
          <w:sz w:val="24"/>
          <w:szCs w:val="24"/>
        </w:rPr>
        <w:t>Audito</w:t>
      </w:r>
      <w:r w:rsidRPr="008B33E3">
        <w:rPr>
          <w:rFonts w:ascii="Arial" w:hAnsi="Arial" w:cs="Arial"/>
          <w:b/>
          <w:sz w:val="24"/>
          <w:szCs w:val="24"/>
        </w:rPr>
        <w:t>ría</w:t>
      </w:r>
      <w:r w:rsidRPr="008B33E3">
        <w:rPr>
          <w:rFonts w:ascii="Arial" w:hAnsi="Arial" w:cs="Arial" w:hint="eastAsia"/>
          <w:b/>
          <w:sz w:val="24"/>
          <w:szCs w:val="24"/>
        </w:rPr>
        <w:t xml:space="preserve"> interna</w:t>
      </w:r>
    </w:p>
    <w:p w:rsidR="008B33E3" w:rsidRPr="008B33E3" w:rsidRDefault="008B33E3" w:rsidP="00822789">
      <w:pPr>
        <w:tabs>
          <w:tab w:val="left" w:pos="284"/>
          <w:tab w:val="left" w:pos="426"/>
        </w:tabs>
        <w:spacing w:after="109" w:line="360" w:lineRule="auto"/>
        <w:contextualSpacing/>
        <w:rPr>
          <w:rFonts w:ascii="Arial" w:hAnsi="Arial" w:cs="Arial"/>
          <w:sz w:val="24"/>
          <w:szCs w:val="24"/>
        </w:rPr>
      </w:pPr>
      <w:r w:rsidRPr="008B33E3">
        <w:rPr>
          <w:rFonts w:ascii="Arial" w:hAnsi="Arial" w:cs="Arial" w:hint="eastAsia"/>
          <w:sz w:val="24"/>
          <w:szCs w:val="24"/>
        </w:rPr>
        <w:t>La UTEC no cuenta con unidad de Auditoría Interna</w:t>
      </w:r>
      <w:r w:rsidRPr="008B33E3">
        <w:rPr>
          <w:rFonts w:ascii="Arial" w:hAnsi="Arial" w:cs="Arial"/>
          <w:sz w:val="24"/>
          <w:szCs w:val="24"/>
        </w:rPr>
        <w:t>.</w:t>
      </w:r>
    </w:p>
    <w:p w:rsidR="008B33E3" w:rsidRDefault="008B33E3" w:rsidP="00822789">
      <w:pPr>
        <w:tabs>
          <w:tab w:val="left" w:pos="284"/>
          <w:tab w:val="left" w:pos="426"/>
        </w:tabs>
        <w:spacing w:after="109" w:line="360" w:lineRule="auto"/>
        <w:contextualSpacing/>
        <w:rPr>
          <w:rFonts w:ascii="Arial" w:hAnsi="Arial" w:cs="Arial"/>
        </w:rPr>
      </w:pPr>
    </w:p>
    <w:p w:rsidR="008B33E3" w:rsidRPr="008B33E3" w:rsidRDefault="008B33E3" w:rsidP="008B33E3">
      <w:pPr>
        <w:widowControl w:val="0"/>
        <w:numPr>
          <w:ilvl w:val="0"/>
          <w:numId w:val="8"/>
        </w:numPr>
        <w:suppressAutoHyphens/>
        <w:autoSpaceDN w:val="0"/>
        <w:spacing w:after="0" w:line="360" w:lineRule="auto"/>
        <w:ind w:right="122"/>
        <w:textAlignment w:val="baseline"/>
        <w:rPr>
          <w:rFonts w:ascii="Arial" w:hAnsi="Arial" w:cs="Arial"/>
          <w:b/>
          <w:sz w:val="24"/>
          <w:szCs w:val="24"/>
        </w:rPr>
      </w:pPr>
      <w:r w:rsidRPr="008B33E3">
        <w:rPr>
          <w:rFonts w:ascii="Arial" w:hAnsi="Arial" w:cs="Arial"/>
          <w:b/>
          <w:sz w:val="24"/>
          <w:szCs w:val="24"/>
        </w:rPr>
        <w:t>Otras Constataciones</w:t>
      </w:r>
    </w:p>
    <w:p w:rsidR="008B33E3" w:rsidRPr="008B33E3" w:rsidRDefault="008B33E3" w:rsidP="00822789">
      <w:pPr>
        <w:spacing w:line="360" w:lineRule="auto"/>
        <w:contextualSpacing/>
        <w:rPr>
          <w:rFonts w:ascii="Arial" w:hAnsi="Arial" w:cs="Arial"/>
          <w:color w:val="00000A"/>
          <w:sz w:val="24"/>
          <w:szCs w:val="24"/>
          <w:lang w:val="es-ES"/>
        </w:rPr>
      </w:pPr>
      <w:r w:rsidRPr="008B33E3">
        <w:rPr>
          <w:rFonts w:ascii="Arial" w:hAnsi="Arial" w:cs="Arial"/>
          <w:color w:val="00000A"/>
          <w:sz w:val="24"/>
          <w:szCs w:val="24"/>
          <w:lang w:val="es-ES"/>
        </w:rPr>
        <w:t>No se establecieron reglamentos para:</w:t>
      </w:r>
    </w:p>
    <w:p w:rsidR="008B33E3" w:rsidRPr="008B33E3" w:rsidRDefault="008B33E3" w:rsidP="00822789">
      <w:pPr>
        <w:numPr>
          <w:ilvl w:val="0"/>
          <w:numId w:val="9"/>
        </w:numPr>
        <w:tabs>
          <w:tab w:val="left" w:pos="0"/>
        </w:tabs>
        <w:spacing w:after="109" w:line="360" w:lineRule="auto"/>
        <w:ind w:left="0" w:firstLine="0"/>
        <w:contextualSpacing/>
        <w:rPr>
          <w:rFonts w:ascii="Arial" w:hAnsi="Arial" w:cs="Arial"/>
          <w:color w:val="00000A"/>
          <w:sz w:val="24"/>
          <w:szCs w:val="24"/>
          <w:lang w:val="es-ES"/>
        </w:rPr>
      </w:pPr>
      <w:r w:rsidRPr="008B33E3">
        <w:rPr>
          <w:rFonts w:ascii="Arial" w:hAnsi="Arial" w:cs="Arial"/>
          <w:color w:val="00000A"/>
          <w:sz w:val="24"/>
          <w:szCs w:val="24"/>
          <w:lang w:val="es-ES"/>
        </w:rPr>
        <w:t>la utilización de móviles y líneas de telefonía contratadas por la UTEC, proporcionado</w:t>
      </w:r>
      <w:r w:rsidR="00E61638">
        <w:rPr>
          <w:rFonts w:ascii="Arial" w:hAnsi="Arial" w:cs="Arial"/>
          <w:color w:val="00000A"/>
          <w:sz w:val="24"/>
          <w:szCs w:val="24"/>
          <w:lang w:val="es-ES"/>
        </w:rPr>
        <w:t>s a funcionarios y consejeros.</w:t>
      </w:r>
    </w:p>
    <w:p w:rsidR="008B33E3" w:rsidRPr="008B33E3" w:rsidRDefault="008B33E3" w:rsidP="00822789">
      <w:pPr>
        <w:numPr>
          <w:ilvl w:val="0"/>
          <w:numId w:val="9"/>
        </w:numPr>
        <w:tabs>
          <w:tab w:val="left" w:pos="0"/>
        </w:tabs>
        <w:spacing w:after="109" w:line="360" w:lineRule="auto"/>
        <w:ind w:left="0" w:firstLine="0"/>
        <w:contextualSpacing/>
        <w:rPr>
          <w:rFonts w:ascii="Arial" w:hAnsi="Arial" w:cs="Arial"/>
          <w:color w:val="00000A"/>
          <w:sz w:val="24"/>
          <w:szCs w:val="24"/>
          <w:lang w:val="es-ES"/>
        </w:rPr>
      </w:pPr>
      <w:r w:rsidRPr="008B33E3">
        <w:rPr>
          <w:rFonts w:ascii="Arial" w:hAnsi="Arial" w:cs="Arial"/>
          <w:color w:val="00000A"/>
          <w:sz w:val="24"/>
          <w:szCs w:val="24"/>
          <w:lang w:val="es-ES"/>
        </w:rPr>
        <w:t xml:space="preserve">el traslado de los funcionarios e integrantes del Consejo Directivo en </w:t>
      </w:r>
      <w:proofErr w:type="spellStart"/>
      <w:r w:rsidRPr="008B33E3">
        <w:rPr>
          <w:rFonts w:ascii="Arial" w:hAnsi="Arial" w:cs="Arial"/>
          <w:color w:val="00000A"/>
          <w:sz w:val="24"/>
          <w:szCs w:val="24"/>
          <w:lang w:val="es-ES"/>
        </w:rPr>
        <w:t>remises</w:t>
      </w:r>
      <w:proofErr w:type="spellEnd"/>
      <w:r w:rsidRPr="008B33E3">
        <w:rPr>
          <w:rFonts w:ascii="Arial" w:hAnsi="Arial" w:cs="Arial"/>
          <w:color w:val="00000A"/>
          <w:sz w:val="24"/>
          <w:szCs w:val="24"/>
          <w:lang w:val="es-ES"/>
        </w:rPr>
        <w:t>.</w:t>
      </w:r>
    </w:p>
    <w:p w:rsidR="008B33E3" w:rsidRPr="008B33E3" w:rsidRDefault="008B33E3" w:rsidP="00822789">
      <w:pPr>
        <w:tabs>
          <w:tab w:val="left" w:pos="284"/>
          <w:tab w:val="left" w:pos="426"/>
        </w:tabs>
        <w:spacing w:after="109" w:line="360" w:lineRule="auto"/>
        <w:contextualSpacing/>
        <w:rPr>
          <w:rFonts w:ascii="Arial" w:hAnsi="Arial" w:cs="Arial"/>
          <w:color w:val="00000A"/>
          <w:sz w:val="24"/>
          <w:szCs w:val="24"/>
          <w:lang w:val="es-ES"/>
        </w:rPr>
      </w:pPr>
      <w:r w:rsidRPr="008B33E3">
        <w:rPr>
          <w:rFonts w:ascii="Arial" w:hAnsi="Arial" w:cs="Arial"/>
          <w:color w:val="00000A"/>
          <w:sz w:val="24"/>
          <w:szCs w:val="24"/>
          <w:lang w:val="es-ES"/>
        </w:rPr>
        <w:t>-   los instructivos de viáticos que se aplican, no cuentan con aprobación por Resolución del Consejo Directivo. Los mismos fueron aprobados en octubre de 2017.</w:t>
      </w:r>
    </w:p>
    <w:p w:rsidR="008B33E3" w:rsidRPr="008B33E3" w:rsidRDefault="008B33E3" w:rsidP="00822789">
      <w:pPr>
        <w:tabs>
          <w:tab w:val="left" w:pos="284"/>
          <w:tab w:val="left" w:pos="426"/>
        </w:tabs>
        <w:spacing w:after="109" w:line="360" w:lineRule="auto"/>
        <w:contextualSpacing/>
        <w:rPr>
          <w:rFonts w:ascii="Arial" w:hAnsi="Arial" w:cs="Arial"/>
          <w:color w:val="00000A"/>
          <w:sz w:val="24"/>
          <w:szCs w:val="24"/>
          <w:lang w:val="es-ES"/>
        </w:rPr>
      </w:pPr>
      <w:r w:rsidRPr="008B33E3">
        <w:rPr>
          <w:rFonts w:ascii="Arial" w:hAnsi="Arial" w:cs="Arial"/>
          <w:color w:val="00000A"/>
          <w:sz w:val="24"/>
          <w:szCs w:val="24"/>
          <w:lang w:val="es-ES"/>
        </w:rPr>
        <w:t>-  el uso de  las tarjetas de débito bancario prepagas alfa BROU que se utilizan para acreditar los adelantos de viáticos o para compras en el exterior de menor cuantía.</w:t>
      </w:r>
    </w:p>
    <w:p w:rsidR="008B33E3" w:rsidRPr="0027311B" w:rsidRDefault="008B33E3" w:rsidP="00822789">
      <w:pPr>
        <w:spacing w:line="360" w:lineRule="auto"/>
        <w:ind w:right="122"/>
        <w:rPr>
          <w:rFonts w:ascii="Arial" w:hAnsi="Arial" w:cs="Arial"/>
          <w:b/>
          <w:sz w:val="24"/>
          <w:szCs w:val="24"/>
        </w:rPr>
      </w:pPr>
      <w:r w:rsidRPr="0027311B">
        <w:rPr>
          <w:rFonts w:ascii="Arial" w:hAnsi="Arial" w:cs="Arial"/>
          <w:b/>
          <w:sz w:val="24"/>
          <w:szCs w:val="24"/>
        </w:rPr>
        <w:t>Notas a estados financieros</w:t>
      </w:r>
    </w:p>
    <w:p w:rsidR="008B33E3" w:rsidRPr="0027311B" w:rsidRDefault="008B33E3" w:rsidP="00822789">
      <w:pPr>
        <w:spacing w:line="360" w:lineRule="auto"/>
        <w:rPr>
          <w:rFonts w:ascii="Arial" w:eastAsia="Times New Roman" w:hAnsi="Arial" w:cs="Arial"/>
          <w:b/>
          <w:sz w:val="24"/>
          <w:szCs w:val="24"/>
          <w:lang w:val="es-ES" w:eastAsia="es-ES"/>
        </w:rPr>
      </w:pPr>
      <w:r w:rsidRPr="0027311B">
        <w:rPr>
          <w:rFonts w:ascii="Arial" w:eastAsia="Times New Roman" w:hAnsi="Arial" w:cs="Arial"/>
          <w:sz w:val="24"/>
          <w:szCs w:val="24"/>
          <w:lang w:val="es-ES" w:eastAsia="es-ES"/>
        </w:rPr>
        <w:t>No se efectúan revelaciones, de acuerdo al párrafo 44 de la NICSP 13 con relación al Convenio suscrito con el Ministerio de Defensa - Fuerzas Armadas del  Uruguay, MDN-FAU, el 8 de octubre del 2015, referido al arrendamiento o uso de salones de clases y otras instalaciones de esa entidad en el departamento de Durazno</w:t>
      </w:r>
      <w:r w:rsidR="0027311B" w:rsidRPr="0027311B">
        <w:rPr>
          <w:rFonts w:ascii="Arial" w:eastAsia="Times New Roman" w:hAnsi="Arial" w:cs="Arial"/>
          <w:color w:val="auto"/>
          <w:sz w:val="24"/>
          <w:szCs w:val="24"/>
          <w:lang w:val="es-ES" w:eastAsia="es-ES"/>
        </w:rPr>
        <w:t>.</w:t>
      </w:r>
    </w:p>
    <w:p w:rsidR="008B33E3" w:rsidRDefault="008B33E3" w:rsidP="00822789">
      <w:pPr>
        <w:spacing w:line="360" w:lineRule="auto"/>
        <w:rPr>
          <w:rFonts w:ascii="Arial" w:eastAsia="Times New Roman" w:hAnsi="Arial" w:cs="Arial"/>
          <w:b/>
          <w:lang w:val="es-ES" w:eastAsia="es-ES"/>
        </w:rPr>
      </w:pPr>
    </w:p>
    <w:p w:rsidR="008B33E3" w:rsidRPr="0027311B" w:rsidRDefault="008B33E3" w:rsidP="008B33E3">
      <w:pPr>
        <w:numPr>
          <w:ilvl w:val="0"/>
          <w:numId w:val="8"/>
        </w:numPr>
        <w:spacing w:after="109" w:line="360" w:lineRule="auto"/>
        <w:contextualSpacing/>
        <w:rPr>
          <w:rFonts w:ascii="Arial" w:eastAsia="Times New Roman" w:hAnsi="Arial" w:cs="Arial"/>
          <w:b/>
          <w:sz w:val="24"/>
          <w:szCs w:val="24"/>
          <w:lang w:eastAsia="es-ES"/>
        </w:rPr>
      </w:pPr>
      <w:r w:rsidRPr="0027311B">
        <w:rPr>
          <w:rFonts w:ascii="Arial" w:eastAsia="Times New Roman" w:hAnsi="Arial" w:cs="Arial"/>
          <w:b/>
          <w:sz w:val="24"/>
          <w:szCs w:val="24"/>
          <w:lang w:eastAsia="es-ES"/>
        </w:rPr>
        <w:t>Incumplimiento de disposiciones legales y reglamentarias</w:t>
      </w:r>
    </w:p>
    <w:p w:rsidR="008B33E3" w:rsidRPr="0027311B" w:rsidRDefault="008B33E3" w:rsidP="00822789">
      <w:pPr>
        <w:spacing w:after="3" w:line="360" w:lineRule="auto"/>
        <w:ind w:right="122"/>
        <w:contextualSpacing/>
        <w:rPr>
          <w:rFonts w:ascii="Arial" w:hAnsi="Arial" w:cs="Arial"/>
          <w:b/>
          <w:sz w:val="24"/>
          <w:szCs w:val="24"/>
        </w:rPr>
      </w:pPr>
      <w:r w:rsidRPr="0027311B">
        <w:rPr>
          <w:rFonts w:ascii="Arial" w:hAnsi="Arial" w:cs="Arial"/>
          <w:b/>
          <w:sz w:val="24"/>
          <w:szCs w:val="24"/>
        </w:rPr>
        <w:t>4.1 Artículo 14 del TOCAF- Actos disponiendo gastos y compras por el ordenador correspondiente</w:t>
      </w:r>
    </w:p>
    <w:p w:rsidR="008B33E3" w:rsidRPr="0027311B" w:rsidRDefault="008B33E3" w:rsidP="00822789">
      <w:pPr>
        <w:tabs>
          <w:tab w:val="left" w:pos="284"/>
        </w:tabs>
        <w:spacing w:line="360" w:lineRule="auto"/>
        <w:ind w:right="122"/>
        <w:contextualSpacing/>
        <w:rPr>
          <w:rFonts w:ascii="Arial" w:hAnsi="Arial" w:cs="Arial"/>
          <w:color w:val="00000A"/>
          <w:sz w:val="24"/>
          <w:szCs w:val="24"/>
          <w:lang w:val="es-ES"/>
        </w:rPr>
      </w:pPr>
      <w:r w:rsidRPr="0027311B">
        <w:rPr>
          <w:rFonts w:ascii="Arial" w:hAnsi="Arial" w:cs="Arial" w:hint="eastAsia"/>
          <w:sz w:val="24"/>
          <w:szCs w:val="24"/>
        </w:rPr>
        <w:t xml:space="preserve">Las autorizaciones a funcionarios o integrantes del Consejo Directivo a viajar al exterior no se documentan en </w:t>
      </w:r>
      <w:r w:rsidRPr="0027311B">
        <w:rPr>
          <w:rFonts w:ascii="Arial" w:hAnsi="Arial" w:cs="Arial"/>
          <w:sz w:val="24"/>
          <w:szCs w:val="24"/>
        </w:rPr>
        <w:t>r</w:t>
      </w:r>
      <w:r w:rsidRPr="0027311B">
        <w:rPr>
          <w:rFonts w:ascii="Arial" w:hAnsi="Arial" w:cs="Arial" w:hint="eastAsia"/>
          <w:sz w:val="24"/>
          <w:szCs w:val="24"/>
        </w:rPr>
        <w:t xml:space="preserve">esoluciones del </w:t>
      </w:r>
      <w:r w:rsidRPr="0027311B">
        <w:rPr>
          <w:rFonts w:ascii="Arial" w:hAnsi="Arial" w:cs="Arial"/>
          <w:sz w:val="24"/>
          <w:szCs w:val="24"/>
        </w:rPr>
        <w:t>o</w:t>
      </w:r>
      <w:r w:rsidRPr="0027311B">
        <w:rPr>
          <w:rFonts w:ascii="Arial" w:hAnsi="Arial" w:cs="Arial" w:hint="eastAsia"/>
          <w:sz w:val="24"/>
          <w:szCs w:val="24"/>
        </w:rPr>
        <w:t xml:space="preserve">rdenador competente que dispongan dichos viajes y </w:t>
      </w:r>
      <w:r w:rsidRPr="0027311B">
        <w:rPr>
          <w:rFonts w:ascii="Arial" w:hAnsi="Arial" w:cs="Arial"/>
          <w:sz w:val="24"/>
          <w:szCs w:val="24"/>
        </w:rPr>
        <w:t>sus</w:t>
      </w:r>
      <w:r w:rsidRPr="0027311B">
        <w:rPr>
          <w:rFonts w:ascii="Arial" w:hAnsi="Arial" w:cs="Arial" w:hint="eastAsia"/>
          <w:sz w:val="24"/>
          <w:szCs w:val="24"/>
        </w:rPr>
        <w:t xml:space="preserve"> correspondientes gastos, si bien dichas designaciones constan en  las Actas del Consejo Directivo.</w:t>
      </w:r>
    </w:p>
    <w:p w:rsidR="008B33E3" w:rsidRPr="0027311B" w:rsidRDefault="008B33E3" w:rsidP="00822789">
      <w:pPr>
        <w:tabs>
          <w:tab w:val="left" w:pos="284"/>
          <w:tab w:val="left" w:pos="567"/>
        </w:tabs>
        <w:spacing w:line="360" w:lineRule="auto"/>
        <w:ind w:right="122"/>
        <w:contextualSpacing/>
        <w:rPr>
          <w:rFonts w:ascii="Arial" w:hAnsi="Arial" w:cs="Arial"/>
          <w:b/>
          <w:color w:val="00000A"/>
          <w:sz w:val="24"/>
          <w:szCs w:val="24"/>
          <w:lang w:val="es-ES"/>
        </w:rPr>
      </w:pPr>
      <w:r w:rsidRPr="0027311B">
        <w:rPr>
          <w:rFonts w:ascii="Arial" w:hAnsi="Arial" w:cs="Arial"/>
          <w:b/>
          <w:color w:val="00000A"/>
          <w:sz w:val="24"/>
          <w:szCs w:val="24"/>
          <w:lang w:val="es-ES"/>
        </w:rPr>
        <w:t>4.2</w:t>
      </w:r>
      <w:r w:rsidRPr="0027311B">
        <w:rPr>
          <w:rFonts w:ascii="Arial" w:hAnsi="Arial" w:cs="Arial"/>
          <w:b/>
          <w:color w:val="00000A"/>
          <w:sz w:val="24"/>
          <w:szCs w:val="24"/>
          <w:lang w:val="es-ES"/>
        </w:rPr>
        <w:tab/>
        <w:t>Artículo 20 del TOCAF - Recepción Conforme de Bienes y Servicios</w:t>
      </w:r>
    </w:p>
    <w:p w:rsidR="008B33E3" w:rsidRPr="0027311B" w:rsidRDefault="008B33E3" w:rsidP="00822789">
      <w:pPr>
        <w:tabs>
          <w:tab w:val="left" w:pos="284"/>
        </w:tabs>
        <w:spacing w:line="360" w:lineRule="auto"/>
        <w:ind w:right="122"/>
        <w:contextualSpacing/>
        <w:rPr>
          <w:rFonts w:ascii="Arial" w:hAnsi="Arial" w:cs="Arial"/>
          <w:color w:val="00000A"/>
          <w:sz w:val="24"/>
          <w:szCs w:val="24"/>
          <w:lang w:val="es-ES"/>
        </w:rPr>
      </w:pPr>
      <w:r w:rsidRPr="0027311B">
        <w:rPr>
          <w:rFonts w:ascii="Arial" w:hAnsi="Arial" w:cs="Arial"/>
          <w:color w:val="00000A"/>
          <w:sz w:val="24"/>
          <w:szCs w:val="24"/>
          <w:lang w:val="es-ES"/>
        </w:rPr>
        <w:t>En la muestra de la documentación de compras analizada, se constató que no se deja constancia por parte del funcionario responsable de la recepción conforme del objeto adquirido o la prestación del servicio contratado. Esta situación fue subsanada en el ejercicio</w:t>
      </w:r>
      <w:r w:rsidR="0027311B">
        <w:rPr>
          <w:rFonts w:ascii="Arial" w:hAnsi="Arial" w:cs="Arial"/>
          <w:color w:val="00000A"/>
          <w:sz w:val="24"/>
          <w:szCs w:val="24"/>
          <w:lang w:val="es-ES"/>
        </w:rPr>
        <w:t xml:space="preserve"> 2017.</w:t>
      </w:r>
    </w:p>
    <w:p w:rsidR="008B33E3" w:rsidRPr="0027311B" w:rsidRDefault="008B33E3" w:rsidP="00822789">
      <w:pPr>
        <w:spacing w:after="109" w:line="360" w:lineRule="auto"/>
        <w:contextualSpacing/>
        <w:rPr>
          <w:rFonts w:ascii="Arial" w:hAnsi="Arial" w:cs="Arial"/>
          <w:b/>
          <w:sz w:val="24"/>
          <w:szCs w:val="24"/>
        </w:rPr>
      </w:pPr>
      <w:r w:rsidRPr="0027311B">
        <w:rPr>
          <w:rFonts w:ascii="Arial" w:hAnsi="Arial" w:cs="Arial"/>
          <w:b/>
          <w:sz w:val="24"/>
          <w:szCs w:val="24"/>
        </w:rPr>
        <w:t>4.3 Artículos 33 y 43 del TOCAF- Contratación directa de profesionales</w:t>
      </w:r>
    </w:p>
    <w:p w:rsidR="008B33E3" w:rsidRPr="0027311B" w:rsidRDefault="008B33E3" w:rsidP="00822789">
      <w:pPr>
        <w:spacing w:line="360" w:lineRule="auto"/>
        <w:ind w:right="122"/>
        <w:contextualSpacing/>
        <w:rPr>
          <w:rFonts w:ascii="Arial" w:hAnsi="Arial" w:cs="Arial"/>
          <w:sz w:val="24"/>
          <w:szCs w:val="24"/>
        </w:rPr>
      </w:pPr>
      <w:r w:rsidRPr="0027311B">
        <w:rPr>
          <w:rFonts w:ascii="Arial" w:hAnsi="Arial" w:cs="Arial"/>
          <w:sz w:val="24"/>
          <w:szCs w:val="24"/>
        </w:rPr>
        <w:t>Se contrataron profesionales en forma directa y reiterada, bajo el régimen de arrendamiento de obra, incumpliendo con el artículo 33 del TOCAF, dado que el monto total de las contrataciones supera el límite establecido para esta modalidad de compra. Asimismo, la naturaleza del arrendamiento de obra se desvirtúa por las sucesivas contrataciones con objetos de contrato similares, configurando en los hechos arrendamiento de servicios.</w:t>
      </w:r>
    </w:p>
    <w:p w:rsidR="008B33E3" w:rsidRPr="0027311B" w:rsidRDefault="008B33E3" w:rsidP="00822789">
      <w:pPr>
        <w:spacing w:line="360" w:lineRule="auto"/>
        <w:rPr>
          <w:rFonts w:ascii="Arial" w:hAnsi="Arial" w:cs="Arial"/>
          <w:sz w:val="24"/>
          <w:szCs w:val="24"/>
        </w:rPr>
      </w:pPr>
      <w:r w:rsidRPr="0027311B">
        <w:rPr>
          <w:rFonts w:ascii="Arial" w:hAnsi="Arial" w:cs="Arial"/>
          <w:b/>
          <w:sz w:val="24"/>
          <w:szCs w:val="24"/>
        </w:rPr>
        <w:t xml:space="preserve">4.4 Artículo 42 TOCAF- </w:t>
      </w:r>
      <w:r w:rsidRPr="0027311B">
        <w:rPr>
          <w:rFonts w:ascii="Arial" w:hAnsi="Arial" w:cs="Arial" w:hint="eastAsia"/>
          <w:b/>
          <w:sz w:val="24"/>
          <w:szCs w:val="24"/>
        </w:rPr>
        <w:t>Donaciones</w:t>
      </w:r>
    </w:p>
    <w:p w:rsidR="008B33E3" w:rsidRPr="0027311B" w:rsidRDefault="008B33E3" w:rsidP="00822789">
      <w:pPr>
        <w:spacing w:line="360" w:lineRule="auto"/>
        <w:ind w:right="122"/>
        <w:rPr>
          <w:rFonts w:ascii="Arial" w:hAnsi="Arial" w:cs="Arial"/>
          <w:sz w:val="24"/>
          <w:szCs w:val="24"/>
        </w:rPr>
      </w:pPr>
      <w:r w:rsidRPr="0027311B">
        <w:rPr>
          <w:rFonts w:ascii="Arial" w:hAnsi="Arial" w:cs="Arial"/>
          <w:sz w:val="24"/>
          <w:szCs w:val="24"/>
        </w:rPr>
        <w:t>No se dictó Resolución por parte del Ordenador competente aceptando las donaciones recibidas del Gobierno de China y de la empresa UPM, de acuerdo a lo previsto en la citada norma.</w:t>
      </w:r>
    </w:p>
    <w:p w:rsidR="008B33E3" w:rsidRPr="0027311B" w:rsidRDefault="008B33E3" w:rsidP="00822789">
      <w:pPr>
        <w:spacing w:line="360" w:lineRule="auto"/>
        <w:ind w:right="93"/>
        <w:rPr>
          <w:rFonts w:ascii="Arial" w:hAnsi="Arial" w:cs="Arial"/>
          <w:b/>
          <w:sz w:val="24"/>
          <w:szCs w:val="24"/>
        </w:rPr>
      </w:pPr>
      <w:r w:rsidRPr="0027311B">
        <w:rPr>
          <w:rFonts w:ascii="Arial" w:hAnsi="Arial" w:cs="Arial"/>
          <w:b/>
          <w:sz w:val="24"/>
          <w:szCs w:val="24"/>
        </w:rPr>
        <w:t xml:space="preserve">4.5 Artículo 64 del TOCAF - </w:t>
      </w:r>
      <w:r w:rsidRPr="0027311B">
        <w:rPr>
          <w:rFonts w:ascii="Arial" w:hAnsi="Arial" w:cs="Arial" w:hint="eastAsia"/>
          <w:b/>
          <w:sz w:val="24"/>
          <w:szCs w:val="24"/>
        </w:rPr>
        <w:t>G</w:t>
      </w:r>
      <w:r w:rsidRPr="0027311B">
        <w:rPr>
          <w:rFonts w:ascii="Arial" w:hAnsi="Arial" w:cs="Arial"/>
          <w:b/>
          <w:sz w:val="24"/>
          <w:szCs w:val="24"/>
        </w:rPr>
        <w:t>arantía</w:t>
      </w:r>
      <w:r w:rsidRPr="0027311B">
        <w:rPr>
          <w:rFonts w:ascii="Arial" w:hAnsi="Arial" w:cs="Arial" w:hint="eastAsia"/>
          <w:b/>
          <w:sz w:val="24"/>
          <w:szCs w:val="24"/>
        </w:rPr>
        <w:t xml:space="preserve"> de cumplimiento de contrato</w:t>
      </w:r>
    </w:p>
    <w:p w:rsidR="008B33E3" w:rsidRPr="0027311B" w:rsidRDefault="008B33E3" w:rsidP="00822789">
      <w:pPr>
        <w:spacing w:line="360" w:lineRule="auto"/>
        <w:ind w:right="122"/>
        <w:rPr>
          <w:rFonts w:ascii="Arial" w:hAnsi="Arial" w:cs="Arial"/>
          <w:sz w:val="24"/>
          <w:szCs w:val="24"/>
        </w:rPr>
      </w:pPr>
      <w:r w:rsidRPr="0027311B">
        <w:rPr>
          <w:rFonts w:ascii="Arial" w:hAnsi="Arial" w:cs="Arial"/>
          <w:sz w:val="24"/>
          <w:szCs w:val="24"/>
        </w:rPr>
        <w:t xml:space="preserve">Se constataron omisiones en el cumplimiento de la constitución de  garantías  en diversas licitaciones ya que por su monto estaban comprendidas en lo previsto en la norma mencionada, y cuyos pliegos particulares no preveían la opción de no hacerlo (Licitaciones Abreviadas </w:t>
      </w:r>
      <w:proofErr w:type="spellStart"/>
      <w:r w:rsidRPr="0027311B">
        <w:rPr>
          <w:rFonts w:ascii="Arial" w:hAnsi="Arial" w:cs="Arial"/>
          <w:sz w:val="24"/>
          <w:szCs w:val="24"/>
        </w:rPr>
        <w:t>Nro</w:t>
      </w:r>
      <w:r w:rsidR="0027311B">
        <w:rPr>
          <w:rFonts w:ascii="Arial" w:hAnsi="Arial" w:cs="Arial"/>
          <w:sz w:val="24"/>
          <w:szCs w:val="24"/>
        </w:rPr>
        <w:t>s</w:t>
      </w:r>
      <w:proofErr w:type="spellEnd"/>
      <w:r w:rsidR="0027311B">
        <w:rPr>
          <w:rFonts w:ascii="Arial" w:hAnsi="Arial" w:cs="Arial"/>
          <w:sz w:val="24"/>
          <w:szCs w:val="24"/>
        </w:rPr>
        <w:t>. 1 y 14).</w:t>
      </w:r>
    </w:p>
    <w:p w:rsidR="008B33E3" w:rsidRPr="0027311B" w:rsidRDefault="008B33E3" w:rsidP="00822789">
      <w:pPr>
        <w:spacing w:line="360" w:lineRule="auto"/>
        <w:ind w:right="93"/>
        <w:rPr>
          <w:sz w:val="24"/>
          <w:szCs w:val="24"/>
        </w:rPr>
      </w:pPr>
      <w:r w:rsidRPr="0027311B">
        <w:rPr>
          <w:rFonts w:ascii="Arial" w:hAnsi="Arial" w:cs="Arial"/>
          <w:b/>
          <w:sz w:val="24"/>
          <w:szCs w:val="24"/>
        </w:rPr>
        <w:t>4.6</w:t>
      </w:r>
      <w:r w:rsidRPr="0027311B">
        <w:rPr>
          <w:rFonts w:ascii="Arial" w:hAnsi="Arial" w:cs="Arial"/>
          <w:sz w:val="24"/>
          <w:szCs w:val="24"/>
        </w:rPr>
        <w:tab/>
      </w:r>
      <w:r w:rsidRPr="0027311B">
        <w:rPr>
          <w:rFonts w:ascii="Arial" w:hAnsi="Arial" w:cs="Arial"/>
          <w:b/>
          <w:color w:val="00000A"/>
          <w:sz w:val="24"/>
          <w:szCs w:val="24"/>
        </w:rPr>
        <w:t>Artículo 119 del TOCAF, Ordenanza del Tribunal de Cuentas N° 29 del</w:t>
      </w:r>
      <w:r w:rsidRPr="0027311B">
        <w:rPr>
          <w:rFonts w:ascii="Arial" w:hAnsi="Arial" w:cs="Arial"/>
          <w:b/>
          <w:sz w:val="24"/>
          <w:szCs w:val="24"/>
        </w:rPr>
        <w:t xml:space="preserve"> 26/06/1958</w:t>
      </w:r>
    </w:p>
    <w:p w:rsidR="008B33E3" w:rsidRPr="0027311B" w:rsidRDefault="008B33E3" w:rsidP="00822789">
      <w:pPr>
        <w:spacing w:line="360" w:lineRule="auto"/>
        <w:ind w:right="93"/>
        <w:rPr>
          <w:rFonts w:ascii="Arial" w:hAnsi="Arial" w:cs="Arial"/>
          <w:sz w:val="24"/>
          <w:szCs w:val="24"/>
        </w:rPr>
      </w:pPr>
      <w:r w:rsidRPr="0027311B">
        <w:rPr>
          <w:rFonts w:ascii="Arial" w:hAnsi="Arial" w:cs="Arial"/>
          <w:sz w:val="24"/>
          <w:szCs w:val="24"/>
        </w:rPr>
        <w:t>Los arqueos de fondos realizados en el ejercicio no resultan suficientes de acuerdo a la normativa citada.</w:t>
      </w:r>
    </w:p>
    <w:p w:rsidR="008B33E3" w:rsidRPr="0027311B" w:rsidRDefault="008B33E3" w:rsidP="00822789">
      <w:pPr>
        <w:tabs>
          <w:tab w:val="left" w:pos="426"/>
        </w:tabs>
        <w:spacing w:line="360" w:lineRule="auto"/>
        <w:rPr>
          <w:rFonts w:ascii="Arial" w:eastAsia="Arial" w:hAnsi="Arial" w:cs="Arial"/>
          <w:sz w:val="24"/>
          <w:szCs w:val="24"/>
          <w:shd w:val="clear" w:color="auto" w:fill="FFFFFF"/>
        </w:rPr>
      </w:pPr>
      <w:r w:rsidRPr="0027311B">
        <w:rPr>
          <w:rFonts w:ascii="Arial" w:eastAsia="Arial" w:hAnsi="Arial" w:cs="Arial"/>
          <w:b/>
          <w:sz w:val="24"/>
          <w:szCs w:val="24"/>
        </w:rPr>
        <w:t>4.7</w:t>
      </w:r>
      <w:r w:rsidR="00E61638">
        <w:rPr>
          <w:rFonts w:ascii="Arial" w:eastAsia="Arial" w:hAnsi="Arial" w:cs="Arial"/>
          <w:b/>
          <w:sz w:val="24"/>
          <w:szCs w:val="24"/>
        </w:rPr>
        <w:t xml:space="preserve"> </w:t>
      </w:r>
      <w:r w:rsidRPr="0027311B">
        <w:rPr>
          <w:rFonts w:ascii="Arial" w:eastAsia="Arial" w:hAnsi="Arial" w:cs="Arial"/>
          <w:b/>
          <w:sz w:val="24"/>
          <w:szCs w:val="24"/>
        </w:rPr>
        <w:t xml:space="preserve">Artículo 154 del TOCAF, </w:t>
      </w:r>
      <w:r w:rsidRPr="0027311B">
        <w:rPr>
          <w:rFonts w:ascii="Arial" w:eastAsia="Arial" w:hAnsi="Arial" w:cs="Arial"/>
          <w:sz w:val="24"/>
          <w:szCs w:val="24"/>
        </w:rPr>
        <w:t>al no haber contratado</w:t>
      </w:r>
      <w:r w:rsidRPr="0027311B">
        <w:rPr>
          <w:rFonts w:ascii="Arial" w:eastAsia="Arial" w:hAnsi="Arial" w:cs="Arial"/>
          <w:b/>
          <w:sz w:val="24"/>
          <w:szCs w:val="24"/>
        </w:rPr>
        <w:t xml:space="preserve"> </w:t>
      </w:r>
      <w:r w:rsidRPr="0027311B">
        <w:rPr>
          <w:rFonts w:ascii="Arial" w:eastAsia="Arial" w:hAnsi="Arial" w:cs="Arial"/>
          <w:sz w:val="24"/>
          <w:szCs w:val="24"/>
          <w:shd w:val="clear" w:color="auto" w:fill="FFFFFF"/>
        </w:rPr>
        <w:t>fianzas o seguros de caución de fidelidad respecto de todos los funcionarios que custodian fondos  o valores.</w:t>
      </w:r>
    </w:p>
    <w:p w:rsidR="008B33E3" w:rsidRPr="0027311B" w:rsidRDefault="008B33E3" w:rsidP="00822789">
      <w:pPr>
        <w:tabs>
          <w:tab w:val="left" w:pos="426"/>
        </w:tabs>
        <w:spacing w:line="360" w:lineRule="auto"/>
        <w:rPr>
          <w:rFonts w:ascii="Arial" w:hAnsi="Arial" w:cs="Arial"/>
          <w:sz w:val="24"/>
          <w:szCs w:val="24"/>
        </w:rPr>
      </w:pPr>
      <w:r w:rsidRPr="0027311B">
        <w:rPr>
          <w:rFonts w:ascii="Arial" w:hAnsi="Arial" w:cs="Arial"/>
          <w:b/>
          <w:sz w:val="24"/>
          <w:szCs w:val="24"/>
        </w:rPr>
        <w:t>4.8 Ley N° 17.738 de 07/01/2004, artículo 124 - Control de estar al día con la   Caja de Jubilaciones y Pensiones de Profesionales Universitarios (CJPPU)</w:t>
      </w:r>
    </w:p>
    <w:p w:rsidR="008B33E3" w:rsidRPr="0027311B" w:rsidRDefault="008B33E3" w:rsidP="00822789">
      <w:pPr>
        <w:spacing w:line="360" w:lineRule="auto"/>
        <w:ind w:right="122"/>
        <w:rPr>
          <w:rFonts w:ascii="Arial" w:hAnsi="Arial" w:cs="Arial"/>
          <w:sz w:val="24"/>
          <w:szCs w:val="24"/>
        </w:rPr>
      </w:pPr>
      <w:r w:rsidRPr="0027311B">
        <w:rPr>
          <w:rFonts w:ascii="Arial" w:hAnsi="Arial" w:cs="Arial"/>
          <w:sz w:val="24"/>
          <w:szCs w:val="24"/>
        </w:rPr>
        <w:t>Durante el ejercicio 2016 no se realizó el control del cumplimiento de las obligaciones con la CJPPU que comprendiera a todos los profesionales universitarios que trabajan para el Organismo, tanto dependientes como no dependientes. El mismo se comenzó a implementar para el ejercicio</w:t>
      </w:r>
      <w:r w:rsidR="0027311B">
        <w:rPr>
          <w:rFonts w:ascii="Arial" w:hAnsi="Arial" w:cs="Arial"/>
          <w:sz w:val="24"/>
          <w:szCs w:val="24"/>
        </w:rPr>
        <w:t xml:space="preserve"> 2018.</w:t>
      </w:r>
    </w:p>
    <w:p w:rsidR="008B33E3" w:rsidRDefault="008B33E3" w:rsidP="00822789">
      <w:pPr>
        <w:spacing w:line="360" w:lineRule="auto"/>
        <w:ind w:right="122"/>
        <w:rPr>
          <w:rFonts w:ascii="Arial" w:hAnsi="Arial" w:cs="Arial"/>
        </w:rPr>
      </w:pPr>
    </w:p>
    <w:p w:rsidR="008B33E3" w:rsidRPr="0027311B" w:rsidRDefault="008B33E3" w:rsidP="0027311B">
      <w:pPr>
        <w:spacing w:line="360" w:lineRule="auto"/>
        <w:ind w:hanging="89"/>
        <w:rPr>
          <w:rFonts w:ascii="Arial" w:eastAsia="Times New Roman" w:hAnsi="Arial" w:cs="Arial"/>
          <w:b/>
          <w:sz w:val="24"/>
          <w:szCs w:val="24"/>
          <w:lang w:val="es-ES" w:eastAsia="es-ES"/>
        </w:rPr>
      </w:pPr>
      <w:r w:rsidRPr="0027311B">
        <w:rPr>
          <w:rFonts w:ascii="Arial" w:eastAsia="Times New Roman" w:hAnsi="Arial" w:cs="Arial"/>
          <w:b/>
          <w:sz w:val="24"/>
          <w:szCs w:val="24"/>
          <w:lang w:val="es-ES" w:eastAsia="es-ES"/>
        </w:rPr>
        <w:t>5. Recomendaciones</w:t>
      </w:r>
    </w:p>
    <w:p w:rsidR="008B33E3" w:rsidRPr="0027311B" w:rsidRDefault="008B33E3" w:rsidP="0027311B">
      <w:pPr>
        <w:widowControl w:val="0"/>
        <w:numPr>
          <w:ilvl w:val="1"/>
          <w:numId w:val="11"/>
        </w:numPr>
        <w:tabs>
          <w:tab w:val="left" w:pos="284"/>
        </w:tabs>
        <w:suppressAutoHyphens/>
        <w:autoSpaceDN w:val="0"/>
        <w:spacing w:after="0" w:line="360" w:lineRule="auto"/>
        <w:textAlignment w:val="baseline"/>
        <w:rPr>
          <w:rFonts w:ascii="Arial" w:eastAsia="Times New Roman" w:hAnsi="Arial" w:cs="Arial"/>
          <w:b/>
          <w:bCs/>
          <w:sz w:val="24"/>
          <w:szCs w:val="24"/>
          <w:lang w:val="es-ES" w:eastAsia="es-ES"/>
        </w:rPr>
      </w:pPr>
      <w:r w:rsidRPr="0027311B">
        <w:rPr>
          <w:rFonts w:ascii="Arial" w:eastAsia="Times New Roman" w:hAnsi="Arial" w:cs="Arial"/>
          <w:b/>
          <w:bCs/>
          <w:sz w:val="24"/>
          <w:szCs w:val="24"/>
          <w:lang w:val="es-ES" w:eastAsia="es-ES"/>
        </w:rPr>
        <w:t>Recomendaciones de ejercicios anteriores c</w:t>
      </w:r>
      <w:r w:rsidR="0027311B" w:rsidRPr="0027311B">
        <w:rPr>
          <w:rFonts w:ascii="Arial" w:eastAsia="Times New Roman" w:hAnsi="Arial" w:cs="Arial"/>
          <w:b/>
          <w:sz w:val="24"/>
          <w:szCs w:val="24"/>
          <w:shd w:val="clear" w:color="auto" w:fill="FFFFFF"/>
          <w:lang w:val="es-ES"/>
        </w:rPr>
        <w:t>umplidas</w:t>
      </w:r>
    </w:p>
    <w:p w:rsidR="008B33E3" w:rsidRPr="0027311B" w:rsidRDefault="008B33E3" w:rsidP="00822789">
      <w:pPr>
        <w:pStyle w:val="Standard"/>
        <w:tabs>
          <w:tab w:val="left" w:pos="284"/>
        </w:tabs>
        <w:suppressAutoHyphens w:val="0"/>
        <w:autoSpaceDE w:val="0"/>
        <w:autoSpaceDN/>
        <w:spacing w:line="360" w:lineRule="auto"/>
        <w:ind w:right="122"/>
        <w:contextualSpacing/>
        <w:jc w:val="both"/>
        <w:textAlignment w:val="auto"/>
        <w:rPr>
          <w:rFonts w:ascii="Arial" w:hAnsi="Arial" w:cs="Arial"/>
          <w:sz w:val="24"/>
          <w:szCs w:val="24"/>
          <w:shd w:val="clear" w:color="auto" w:fill="FFFFFF"/>
        </w:rPr>
      </w:pPr>
      <w:r w:rsidRPr="0027311B">
        <w:rPr>
          <w:rFonts w:ascii="Arial" w:hAnsi="Arial" w:cs="Arial"/>
          <w:sz w:val="24"/>
          <w:szCs w:val="24"/>
          <w:shd w:val="clear" w:color="auto" w:fill="FFFFFF"/>
        </w:rPr>
        <w:t>Durante el ejercicio examinado, la UTEC verificó que los proveedores se encuentren en situación regular de cumplimiento con BPS y DGI, dejando la constancia de ello en el expediente.</w:t>
      </w:r>
    </w:p>
    <w:p w:rsidR="008B33E3" w:rsidRPr="0027311B" w:rsidRDefault="008B33E3" w:rsidP="00822789">
      <w:pPr>
        <w:tabs>
          <w:tab w:val="left" w:pos="284"/>
        </w:tabs>
        <w:spacing w:line="360" w:lineRule="auto"/>
        <w:rPr>
          <w:rFonts w:ascii="Arial" w:eastAsia="Times New Roman" w:hAnsi="Arial" w:cs="Arial"/>
          <w:bCs/>
          <w:color w:val="FF0000"/>
          <w:sz w:val="24"/>
          <w:szCs w:val="24"/>
          <w:lang w:val="es-ES" w:eastAsia="es-ES"/>
        </w:rPr>
      </w:pPr>
      <w:r w:rsidRPr="0027311B">
        <w:rPr>
          <w:rFonts w:ascii="Arial" w:eastAsia="Times New Roman" w:hAnsi="Arial" w:cs="Arial"/>
          <w:b/>
          <w:bCs/>
          <w:sz w:val="24"/>
          <w:szCs w:val="24"/>
          <w:lang w:val="es-ES" w:eastAsia="es-ES"/>
        </w:rPr>
        <w:t xml:space="preserve">5.2  </w:t>
      </w:r>
      <w:r w:rsidRPr="0027311B">
        <w:rPr>
          <w:rFonts w:ascii="Arial" w:eastAsia="Times New Roman" w:hAnsi="Arial" w:cs="Arial"/>
          <w:b/>
          <w:bCs/>
          <w:sz w:val="24"/>
          <w:szCs w:val="24"/>
          <w:lang w:val="es-ES" w:eastAsia="es-ES"/>
        </w:rPr>
        <w:tab/>
        <w:t>Recomendaciones del presente ejercicio</w:t>
      </w:r>
    </w:p>
    <w:p w:rsidR="008B33E3" w:rsidRPr="0027311B" w:rsidRDefault="008B33E3" w:rsidP="00822789">
      <w:pPr>
        <w:tabs>
          <w:tab w:val="num" w:pos="360"/>
        </w:tabs>
        <w:spacing w:line="360" w:lineRule="auto"/>
        <w:ind w:right="-2"/>
        <w:rPr>
          <w:rFonts w:ascii="Arial" w:eastAsia="Times New Roman" w:hAnsi="Arial" w:cs="Arial"/>
          <w:sz w:val="24"/>
          <w:szCs w:val="24"/>
          <w:lang w:val="es-ES" w:eastAsia="es-ES"/>
        </w:rPr>
      </w:pPr>
      <w:r w:rsidRPr="0027311B">
        <w:rPr>
          <w:rFonts w:ascii="Arial" w:eastAsia="Times New Roman" w:hAnsi="Arial" w:cs="Arial"/>
          <w:sz w:val="24"/>
          <w:szCs w:val="24"/>
          <w:lang w:val="es-ES" w:eastAsia="es-ES"/>
        </w:rPr>
        <w:t>Se reiteran las recomendaciones no cumplidas de ejercicios anteriores, a las que se agregan las siguientes:</w:t>
      </w:r>
    </w:p>
    <w:p w:rsidR="008B33E3" w:rsidRPr="0027311B" w:rsidRDefault="008B33E3" w:rsidP="008B33E3">
      <w:pPr>
        <w:widowControl w:val="0"/>
        <w:numPr>
          <w:ilvl w:val="2"/>
          <w:numId w:val="12"/>
        </w:numPr>
        <w:spacing w:after="0" w:line="360" w:lineRule="auto"/>
        <w:rPr>
          <w:rFonts w:ascii="Arial" w:eastAsia="Times New Roman" w:hAnsi="Arial" w:cs="Arial"/>
          <w:snapToGrid w:val="0"/>
          <w:sz w:val="24"/>
          <w:szCs w:val="24"/>
          <w:lang w:val="es-ES" w:eastAsia="es-ES"/>
        </w:rPr>
      </w:pPr>
      <w:r w:rsidRPr="0027311B">
        <w:rPr>
          <w:rFonts w:ascii="Arial" w:eastAsia="Times New Roman" w:hAnsi="Arial" w:cs="Arial"/>
          <w:b/>
          <w:snapToGrid w:val="0"/>
          <w:sz w:val="24"/>
          <w:szCs w:val="24"/>
          <w:lang w:val="es-ES" w:eastAsia="es-ES"/>
        </w:rPr>
        <w:t>Presentación de estados contables</w:t>
      </w:r>
    </w:p>
    <w:p w:rsidR="008B33E3" w:rsidRPr="0027311B" w:rsidRDefault="008B33E3" w:rsidP="00822789">
      <w:pPr>
        <w:spacing w:line="360" w:lineRule="auto"/>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-Aprobar los estados financieros por parte del Consejo Directivo y adjuntar copia autenticada del acta correspondiente (Numeral 1 de este Informe).</w:t>
      </w:r>
    </w:p>
    <w:p w:rsidR="008B33E3" w:rsidRPr="0027311B" w:rsidRDefault="008B33E3" w:rsidP="00822789">
      <w:pPr>
        <w:spacing w:line="360" w:lineRule="auto"/>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-Remitir al Tribunal de Cuentas los estados financieros firmados por el Secretario General y el Contador General del Organismo. (Numeral 1).</w:t>
      </w:r>
    </w:p>
    <w:p w:rsidR="008B33E3" w:rsidRPr="0027311B" w:rsidRDefault="008B33E3" w:rsidP="00822789">
      <w:pPr>
        <w:spacing w:line="360" w:lineRule="auto"/>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-Presentar conjuntamente con los estados financieros, una memoria explicativa de los mismos (Numeral 1).</w:t>
      </w:r>
    </w:p>
    <w:p w:rsidR="008B33E3" w:rsidRPr="0027311B" w:rsidRDefault="008B33E3" w:rsidP="00822789">
      <w:pPr>
        <w:spacing w:line="360" w:lineRule="auto"/>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-Presentar el estado de ejecución presupuestal y su conciliación con los estados financieros (Numeral 1).</w:t>
      </w:r>
    </w:p>
    <w:p w:rsidR="008B33E3" w:rsidRPr="0027311B" w:rsidRDefault="008B33E3" w:rsidP="008B33E3">
      <w:pPr>
        <w:widowControl w:val="0"/>
        <w:numPr>
          <w:ilvl w:val="2"/>
          <w:numId w:val="10"/>
        </w:numPr>
        <w:spacing w:after="0" w:line="360" w:lineRule="auto"/>
        <w:ind w:left="0" w:firstLine="0"/>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 xml:space="preserve">Documentar los adelantos de viáticos en formularios </w:t>
      </w:r>
      <w:proofErr w:type="spellStart"/>
      <w:r w:rsidRPr="0027311B">
        <w:rPr>
          <w:rFonts w:ascii="Arial" w:eastAsia="Times New Roman" w:hAnsi="Arial" w:cs="Arial"/>
          <w:snapToGrid w:val="0"/>
          <w:sz w:val="24"/>
          <w:szCs w:val="24"/>
          <w:lang w:val="es-ES" w:eastAsia="es-ES"/>
        </w:rPr>
        <w:t>prenumerados</w:t>
      </w:r>
      <w:proofErr w:type="spellEnd"/>
      <w:r w:rsidRPr="0027311B">
        <w:rPr>
          <w:rFonts w:ascii="Arial" w:eastAsia="Times New Roman" w:hAnsi="Arial" w:cs="Arial"/>
          <w:snapToGrid w:val="0"/>
          <w:sz w:val="24"/>
          <w:szCs w:val="24"/>
          <w:lang w:val="es-ES" w:eastAsia="es-ES"/>
        </w:rPr>
        <w:t xml:space="preserve"> correlativamente y validar todos los documentos de adelantos con la firma legible (Numeral 2.1).</w:t>
      </w:r>
    </w:p>
    <w:p w:rsidR="008B33E3" w:rsidRPr="0027311B" w:rsidRDefault="008B33E3" w:rsidP="008B33E3">
      <w:pPr>
        <w:widowControl w:val="0"/>
        <w:numPr>
          <w:ilvl w:val="2"/>
          <w:numId w:val="10"/>
        </w:numPr>
        <w:spacing w:after="0" w:line="360" w:lineRule="auto"/>
        <w:ind w:left="0" w:firstLine="0"/>
        <w:rPr>
          <w:rFonts w:ascii="Arial" w:eastAsia="Times New Roman" w:hAnsi="Arial" w:cs="Arial"/>
          <w:snapToGrid w:val="0"/>
          <w:sz w:val="24"/>
          <w:szCs w:val="24"/>
          <w:lang w:val="es-ES" w:eastAsia="es-ES"/>
        </w:rPr>
      </w:pPr>
      <w:r w:rsidRPr="0027311B">
        <w:rPr>
          <w:rFonts w:ascii="Arial" w:hAnsi="Arial" w:cs="Arial"/>
          <w:sz w:val="24"/>
          <w:szCs w:val="24"/>
        </w:rPr>
        <w:t>Mantener actualizados los registros contables de la caja chica de la Sede Central (Numeral 2.2).</w:t>
      </w:r>
    </w:p>
    <w:p w:rsidR="008B33E3" w:rsidRPr="0027311B" w:rsidRDefault="008B33E3" w:rsidP="008B33E3">
      <w:pPr>
        <w:widowControl w:val="0"/>
        <w:numPr>
          <w:ilvl w:val="2"/>
          <w:numId w:val="10"/>
        </w:numPr>
        <w:spacing w:after="0" w:line="360" w:lineRule="auto"/>
        <w:ind w:left="0" w:firstLine="0"/>
        <w:rPr>
          <w:rFonts w:ascii="Arial" w:eastAsia="Times New Roman" w:hAnsi="Arial" w:cs="Arial"/>
          <w:snapToGrid w:val="0"/>
          <w:sz w:val="24"/>
          <w:szCs w:val="24"/>
          <w:lang w:val="es-ES" w:eastAsia="es-ES"/>
        </w:rPr>
      </w:pPr>
      <w:r w:rsidRPr="0027311B">
        <w:rPr>
          <w:rFonts w:ascii="Arial" w:hAnsi="Arial" w:cs="Arial"/>
          <w:sz w:val="24"/>
          <w:szCs w:val="24"/>
          <w:lang w:val="es-ES"/>
        </w:rPr>
        <w:t>Rotar a funcionarios a efectos de realizar los arqueos de fondos en los diferentes locales de la UTEC y d</w:t>
      </w:r>
      <w:r w:rsidRPr="0027311B">
        <w:rPr>
          <w:rFonts w:ascii="Arial" w:eastAsia="Times New Roman" w:hAnsi="Arial" w:cs="Arial"/>
          <w:snapToGrid w:val="0"/>
          <w:sz w:val="24"/>
          <w:szCs w:val="24"/>
          <w:lang w:val="es-ES" w:eastAsia="es-ES"/>
        </w:rPr>
        <w:t>ejar constancia en cada acta de arqueo, del corte de documentación (Numeral 2.2).</w:t>
      </w:r>
    </w:p>
    <w:p w:rsidR="008B33E3" w:rsidRPr="0027311B" w:rsidRDefault="008B33E3" w:rsidP="008B33E3">
      <w:pPr>
        <w:widowControl w:val="0"/>
        <w:numPr>
          <w:ilvl w:val="2"/>
          <w:numId w:val="10"/>
        </w:numPr>
        <w:spacing w:after="0" w:line="360" w:lineRule="auto"/>
        <w:ind w:left="0" w:firstLine="0"/>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Documentar la recepción conforme del objeto adquirido o la prestación del servicio contratado (Numeral 2.3).</w:t>
      </w:r>
    </w:p>
    <w:p w:rsidR="008B33E3" w:rsidRPr="0027311B" w:rsidRDefault="008B33E3" w:rsidP="008B33E3">
      <w:pPr>
        <w:widowControl w:val="0"/>
        <w:numPr>
          <w:ilvl w:val="2"/>
          <w:numId w:val="10"/>
        </w:numPr>
        <w:spacing w:after="0" w:line="360" w:lineRule="auto"/>
        <w:ind w:left="0" w:firstLine="0"/>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Conciliar en forma mensual y oportuna las cuentas bancarias (Numeral 2.3).</w:t>
      </w:r>
    </w:p>
    <w:p w:rsidR="008B33E3" w:rsidRPr="0027311B" w:rsidRDefault="008B33E3" w:rsidP="008B33E3">
      <w:pPr>
        <w:widowControl w:val="0"/>
        <w:numPr>
          <w:ilvl w:val="2"/>
          <w:numId w:val="10"/>
        </w:numPr>
        <w:spacing w:after="0" w:line="360" w:lineRule="auto"/>
        <w:ind w:left="0" w:firstLine="0"/>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Asegurar la adecuada segregación de funciones y oposición de intereses para las tareas vinculadas a  bienes de uso y mantener los inventarios de los mismos en forma actualizada</w:t>
      </w:r>
      <w:r w:rsidRPr="0027311B">
        <w:rPr>
          <w:snapToGrid w:val="0"/>
          <w:sz w:val="24"/>
          <w:szCs w:val="24"/>
          <w:lang w:eastAsia="es-ES"/>
        </w:rPr>
        <w:t xml:space="preserve"> </w:t>
      </w:r>
      <w:r w:rsidRPr="0027311B">
        <w:rPr>
          <w:rFonts w:ascii="Arial" w:eastAsia="Times New Roman" w:hAnsi="Arial" w:cs="Arial"/>
          <w:snapToGrid w:val="0"/>
          <w:sz w:val="24"/>
          <w:szCs w:val="24"/>
          <w:lang w:val="es-ES" w:eastAsia="es-ES"/>
        </w:rPr>
        <w:t>(Numeral 2.4).</w:t>
      </w:r>
    </w:p>
    <w:p w:rsidR="008B33E3" w:rsidRPr="0027311B" w:rsidRDefault="008B33E3" w:rsidP="008B33E3">
      <w:pPr>
        <w:widowControl w:val="0"/>
        <w:numPr>
          <w:ilvl w:val="2"/>
          <w:numId w:val="10"/>
        </w:numPr>
        <w:spacing w:after="0" w:line="360" w:lineRule="auto"/>
        <w:ind w:left="0" w:firstLine="0"/>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Adecuar los procedimientos a efectos de no omitir pasivos al cierre del ejercicio y sus correspondientes gastos devengados (Numeral 2.5).</w:t>
      </w:r>
    </w:p>
    <w:p w:rsidR="008B33E3" w:rsidRPr="0027311B" w:rsidRDefault="008B33E3" w:rsidP="0027311B">
      <w:pPr>
        <w:spacing w:line="360" w:lineRule="auto"/>
        <w:ind w:hanging="89"/>
        <w:rPr>
          <w:rFonts w:ascii="Arial" w:eastAsia="Times New Roman" w:hAnsi="Arial" w:cs="Arial"/>
          <w:snapToGrid w:val="0"/>
          <w:sz w:val="24"/>
          <w:szCs w:val="24"/>
          <w:lang w:val="es-ES" w:eastAsia="es-ES"/>
        </w:rPr>
      </w:pPr>
      <w:r w:rsidRPr="0027311B">
        <w:rPr>
          <w:rFonts w:ascii="Arial" w:eastAsia="Times New Roman" w:hAnsi="Arial" w:cs="Arial" w:hint="eastAsia"/>
          <w:b/>
          <w:snapToGrid w:val="0"/>
          <w:sz w:val="24"/>
          <w:szCs w:val="24"/>
          <w:lang w:val="es-ES" w:eastAsia="es-ES"/>
        </w:rPr>
        <w:t>5.2.</w:t>
      </w:r>
      <w:r w:rsidRPr="0027311B">
        <w:rPr>
          <w:rFonts w:ascii="Arial" w:eastAsia="Times New Roman" w:hAnsi="Arial" w:cs="Arial"/>
          <w:b/>
          <w:snapToGrid w:val="0"/>
          <w:sz w:val="24"/>
          <w:szCs w:val="24"/>
          <w:lang w:val="es-ES" w:eastAsia="es-ES"/>
        </w:rPr>
        <w:t>9</w:t>
      </w:r>
      <w:r w:rsidRPr="0027311B">
        <w:rPr>
          <w:rFonts w:ascii="Arial" w:eastAsia="Times New Roman" w:hAnsi="Arial" w:cs="Arial" w:hint="eastAsia"/>
          <w:snapToGrid w:val="0"/>
          <w:sz w:val="24"/>
          <w:szCs w:val="24"/>
          <w:lang w:val="es-ES" w:eastAsia="es-ES"/>
        </w:rPr>
        <w:tab/>
        <w:t xml:space="preserve">Incluir en la estructura organizacional la unidad de Auditoría </w:t>
      </w:r>
      <w:r w:rsidRPr="0027311B">
        <w:rPr>
          <w:rFonts w:ascii="Arial" w:eastAsia="Times New Roman" w:hAnsi="Arial" w:cs="Arial"/>
          <w:snapToGrid w:val="0"/>
          <w:sz w:val="24"/>
          <w:szCs w:val="24"/>
          <w:lang w:val="es-ES" w:eastAsia="es-ES"/>
        </w:rPr>
        <w:t>I</w:t>
      </w:r>
      <w:r w:rsidRPr="0027311B">
        <w:rPr>
          <w:rFonts w:ascii="Arial" w:eastAsia="Times New Roman" w:hAnsi="Arial" w:cs="Arial" w:hint="eastAsia"/>
          <w:snapToGrid w:val="0"/>
          <w:sz w:val="24"/>
          <w:szCs w:val="24"/>
          <w:lang w:val="es-ES" w:eastAsia="es-ES"/>
        </w:rPr>
        <w:t>nterna dotando a la misma de los recursos necesarios para el cumplimiento de sus cometidos (Numeral 2.</w:t>
      </w:r>
      <w:r w:rsidRPr="0027311B">
        <w:rPr>
          <w:rFonts w:ascii="Arial" w:eastAsia="Times New Roman" w:hAnsi="Arial" w:cs="Arial"/>
          <w:snapToGrid w:val="0"/>
          <w:sz w:val="24"/>
          <w:szCs w:val="24"/>
          <w:lang w:val="es-ES" w:eastAsia="es-ES"/>
        </w:rPr>
        <w:t>6</w:t>
      </w:r>
      <w:r w:rsidRPr="0027311B">
        <w:rPr>
          <w:rFonts w:ascii="Arial" w:eastAsia="Times New Roman" w:hAnsi="Arial" w:cs="Arial" w:hint="eastAsia"/>
          <w:snapToGrid w:val="0"/>
          <w:sz w:val="24"/>
          <w:szCs w:val="24"/>
          <w:lang w:val="es-ES" w:eastAsia="es-ES"/>
        </w:rPr>
        <w:t>).</w:t>
      </w:r>
    </w:p>
    <w:p w:rsidR="008B33E3" w:rsidRPr="0027311B" w:rsidRDefault="008B33E3" w:rsidP="0027311B">
      <w:pPr>
        <w:tabs>
          <w:tab w:val="left" w:pos="142"/>
        </w:tabs>
        <w:spacing w:line="360" w:lineRule="auto"/>
        <w:ind w:hanging="89"/>
        <w:rPr>
          <w:rFonts w:ascii="Arial" w:hAnsi="Arial" w:cs="Arial"/>
          <w:sz w:val="24"/>
          <w:szCs w:val="24"/>
        </w:rPr>
      </w:pPr>
      <w:r w:rsidRPr="0027311B">
        <w:rPr>
          <w:rFonts w:ascii="Arial" w:hAnsi="Arial" w:cs="Arial"/>
          <w:b/>
          <w:sz w:val="24"/>
          <w:szCs w:val="24"/>
        </w:rPr>
        <w:t>5.2.10</w:t>
      </w:r>
      <w:r w:rsidRPr="0027311B">
        <w:rPr>
          <w:rFonts w:ascii="Arial" w:hAnsi="Arial" w:cs="Arial"/>
          <w:sz w:val="24"/>
          <w:szCs w:val="24"/>
        </w:rPr>
        <w:t xml:space="preserve"> </w:t>
      </w:r>
      <w:r w:rsidRPr="0027311B">
        <w:rPr>
          <w:rFonts w:ascii="Arial" w:eastAsia="Times New Roman" w:hAnsi="Arial" w:cs="Arial" w:hint="eastAsia"/>
          <w:snapToGrid w:val="0"/>
          <w:sz w:val="24"/>
          <w:szCs w:val="24"/>
          <w:lang w:val="es-ES" w:eastAsia="es-ES"/>
        </w:rPr>
        <w:t>Reglamentar</w:t>
      </w:r>
      <w:r w:rsidRPr="0027311B">
        <w:rPr>
          <w:rFonts w:ascii="Arial" w:eastAsia="Times New Roman" w:hAnsi="Arial" w:cs="Arial"/>
          <w:snapToGrid w:val="0"/>
          <w:sz w:val="24"/>
          <w:szCs w:val="24"/>
          <w:lang w:val="es-ES" w:eastAsia="es-ES"/>
        </w:rPr>
        <w:t xml:space="preserve"> </w:t>
      </w:r>
      <w:r w:rsidRPr="0027311B">
        <w:rPr>
          <w:rFonts w:ascii="Arial" w:eastAsia="Times New Roman" w:hAnsi="Arial" w:cs="Arial" w:hint="eastAsia"/>
          <w:snapToGrid w:val="0"/>
          <w:sz w:val="24"/>
          <w:szCs w:val="24"/>
          <w:lang w:val="es-ES" w:eastAsia="es-ES"/>
        </w:rPr>
        <w:t>el uso de las tarjetas de débito bancario prepagas Alfa BROU</w:t>
      </w:r>
      <w:r w:rsidRPr="0027311B">
        <w:rPr>
          <w:rFonts w:ascii="Arial" w:eastAsia="Times New Roman" w:hAnsi="Arial" w:cs="Arial"/>
          <w:snapToGrid w:val="0"/>
          <w:sz w:val="24"/>
          <w:szCs w:val="24"/>
          <w:lang w:val="es-ES" w:eastAsia="es-ES"/>
        </w:rPr>
        <w:t xml:space="preserve">, </w:t>
      </w:r>
      <w:r w:rsidRPr="0027311B">
        <w:rPr>
          <w:rFonts w:ascii="Arial" w:eastAsia="Times New Roman" w:hAnsi="Arial" w:cs="Arial" w:hint="eastAsia"/>
          <w:snapToGrid w:val="0"/>
          <w:sz w:val="24"/>
          <w:szCs w:val="24"/>
          <w:lang w:val="es-ES" w:eastAsia="es-ES"/>
        </w:rPr>
        <w:t xml:space="preserve">la utilización de servicios móviles </w:t>
      </w:r>
      <w:r w:rsidRPr="0027311B">
        <w:rPr>
          <w:rFonts w:ascii="Arial" w:eastAsia="Times New Roman" w:hAnsi="Arial" w:cs="Arial"/>
          <w:snapToGrid w:val="0"/>
          <w:sz w:val="24"/>
          <w:szCs w:val="24"/>
          <w:lang w:val="es-ES" w:eastAsia="es-ES"/>
        </w:rPr>
        <w:t>contratados</w:t>
      </w:r>
      <w:r w:rsidRPr="0027311B">
        <w:rPr>
          <w:rFonts w:ascii="Arial" w:eastAsia="Times New Roman" w:hAnsi="Arial" w:cs="Arial" w:hint="eastAsia"/>
          <w:snapToGrid w:val="0"/>
          <w:sz w:val="24"/>
          <w:szCs w:val="24"/>
          <w:lang w:val="es-ES" w:eastAsia="es-ES"/>
        </w:rPr>
        <w:t xml:space="preserve"> por UTEC</w:t>
      </w:r>
      <w:r w:rsidRPr="0027311B">
        <w:rPr>
          <w:rFonts w:ascii="Arial" w:eastAsia="Times New Roman" w:hAnsi="Arial" w:cs="Arial"/>
          <w:snapToGrid w:val="0"/>
          <w:sz w:val="24"/>
          <w:szCs w:val="24"/>
          <w:lang w:val="es-ES" w:eastAsia="es-ES"/>
        </w:rPr>
        <w:t xml:space="preserve"> y</w:t>
      </w:r>
      <w:r w:rsidRPr="0027311B">
        <w:rPr>
          <w:rFonts w:ascii="Arial" w:eastAsia="Times New Roman" w:hAnsi="Arial" w:cs="Arial" w:hint="eastAsia"/>
          <w:snapToGrid w:val="0"/>
          <w:sz w:val="24"/>
          <w:szCs w:val="24"/>
          <w:lang w:val="es-ES" w:eastAsia="es-ES"/>
        </w:rPr>
        <w:t xml:space="preserve"> los gastos de traslado en </w:t>
      </w:r>
      <w:proofErr w:type="spellStart"/>
      <w:r w:rsidRPr="0027311B">
        <w:rPr>
          <w:rFonts w:ascii="Arial" w:eastAsia="Times New Roman" w:hAnsi="Arial" w:cs="Arial" w:hint="eastAsia"/>
          <w:snapToGrid w:val="0"/>
          <w:sz w:val="24"/>
          <w:szCs w:val="24"/>
          <w:lang w:val="es-ES" w:eastAsia="es-ES"/>
        </w:rPr>
        <w:t>remises</w:t>
      </w:r>
      <w:proofErr w:type="spellEnd"/>
      <w:r w:rsidRPr="0027311B">
        <w:rPr>
          <w:rFonts w:ascii="Arial" w:hAnsi="Arial" w:cs="Arial"/>
          <w:sz w:val="24"/>
          <w:szCs w:val="24"/>
        </w:rPr>
        <w:t xml:space="preserve"> (Numeral 3).</w:t>
      </w:r>
    </w:p>
    <w:p w:rsidR="008B33E3" w:rsidRPr="0027311B" w:rsidRDefault="008B33E3" w:rsidP="0027311B">
      <w:pPr>
        <w:tabs>
          <w:tab w:val="left" w:pos="142"/>
        </w:tabs>
        <w:spacing w:line="360" w:lineRule="auto"/>
        <w:ind w:left="0" w:firstLine="0"/>
        <w:rPr>
          <w:rFonts w:ascii="Arial" w:eastAsia="Times New Roman" w:hAnsi="Arial" w:cs="Arial"/>
          <w:snapToGrid w:val="0"/>
          <w:sz w:val="24"/>
          <w:szCs w:val="24"/>
          <w:lang w:val="es-ES" w:eastAsia="es-ES"/>
        </w:rPr>
      </w:pPr>
      <w:r w:rsidRPr="0027311B">
        <w:rPr>
          <w:rFonts w:ascii="Arial" w:hAnsi="Arial" w:cs="Arial"/>
          <w:b/>
          <w:sz w:val="24"/>
          <w:szCs w:val="24"/>
        </w:rPr>
        <w:t>5.2.11</w:t>
      </w:r>
      <w:r w:rsidRPr="0027311B">
        <w:rPr>
          <w:rFonts w:ascii="Arial" w:hAnsi="Arial" w:cs="Arial"/>
          <w:sz w:val="24"/>
          <w:szCs w:val="24"/>
        </w:rPr>
        <w:t xml:space="preserve"> Revelar en las Notas a los estados financieros la información prevista en la NICSP 13 (Numeral 3).</w:t>
      </w:r>
    </w:p>
    <w:p w:rsidR="008B33E3" w:rsidRPr="0027311B" w:rsidRDefault="008B33E3" w:rsidP="00822789">
      <w:pPr>
        <w:spacing w:line="360" w:lineRule="auto"/>
        <w:jc w:val="right"/>
        <w:rPr>
          <w:rFonts w:ascii="Arial" w:eastAsia="Times New Roman" w:hAnsi="Arial" w:cs="Arial"/>
          <w:snapToGrid w:val="0"/>
          <w:sz w:val="24"/>
          <w:szCs w:val="24"/>
          <w:lang w:val="es-ES" w:eastAsia="es-ES"/>
        </w:rPr>
      </w:pPr>
      <w:r w:rsidRPr="0027311B">
        <w:rPr>
          <w:rFonts w:ascii="Arial" w:eastAsia="Times New Roman" w:hAnsi="Arial" w:cs="Arial"/>
          <w:snapToGrid w:val="0"/>
          <w:sz w:val="24"/>
          <w:szCs w:val="24"/>
          <w:lang w:val="es-ES" w:eastAsia="es-ES"/>
        </w:rPr>
        <w:t>Montevideo, 26 de julio de 2018</w:t>
      </w:r>
    </w:p>
    <w:p w:rsidR="008B33E3" w:rsidRPr="0027311B" w:rsidRDefault="008B33E3" w:rsidP="00AB563B">
      <w:pPr>
        <w:ind w:hanging="89"/>
        <w:rPr>
          <w:rFonts w:ascii="Arial" w:hAnsi="Arial" w:cs="Arial"/>
          <w:sz w:val="20"/>
          <w:szCs w:val="20"/>
        </w:rPr>
      </w:pPr>
      <w:r w:rsidRPr="0027311B">
        <w:rPr>
          <w:rFonts w:ascii="Arial" w:hAnsi="Arial" w:cs="Arial"/>
          <w:sz w:val="20"/>
          <w:szCs w:val="20"/>
        </w:rPr>
        <w:t>CLC</w:t>
      </w:r>
    </w:p>
    <w:sectPr w:rsidR="008B33E3" w:rsidRPr="0027311B" w:rsidSect="0089626A">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658"/>
    <w:multiLevelType w:val="hybridMultilevel"/>
    <w:tmpl w:val="5C52402C"/>
    <w:lvl w:ilvl="0" w:tplc="840C4786">
      <w:start w:val="1"/>
      <w:numFmt w:val="decimal"/>
      <w:lvlText w:val="%1)"/>
      <w:lvlJc w:val="left"/>
      <w:pPr>
        <w:ind w:left="1069" w:hanging="360"/>
      </w:pPr>
      <w:rPr>
        <w:b/>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1">
    <w:nsid w:val="06314594"/>
    <w:multiLevelType w:val="hybridMultilevel"/>
    <w:tmpl w:val="E7FEC15C"/>
    <w:lvl w:ilvl="0" w:tplc="4ADC47BE">
      <w:start w:val="1"/>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90789B"/>
    <w:multiLevelType w:val="multilevel"/>
    <w:tmpl w:val="5EB00336"/>
    <w:lvl w:ilvl="0">
      <w:start w:val="5"/>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nsid w:val="07FE436D"/>
    <w:multiLevelType w:val="hybridMultilevel"/>
    <w:tmpl w:val="C6A647DE"/>
    <w:lvl w:ilvl="0" w:tplc="380A0001">
      <w:start w:val="1"/>
      <w:numFmt w:val="bullet"/>
      <w:lvlText w:val=""/>
      <w:lvlJc w:val="left"/>
      <w:pPr>
        <w:ind w:left="720" w:hanging="360"/>
      </w:pPr>
      <w:rPr>
        <w:rFonts w:ascii="Symbol" w:hAnsi="Symbol"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4">
    <w:nsid w:val="0AAC27A3"/>
    <w:multiLevelType w:val="multilevel"/>
    <w:tmpl w:val="464AD9CE"/>
    <w:lvl w:ilvl="0">
      <w:start w:val="5"/>
      <w:numFmt w:val="decimal"/>
      <w:lvlText w:val="%1"/>
      <w:lvlJc w:val="left"/>
      <w:pPr>
        <w:ind w:left="525" w:hanging="525"/>
      </w:pPr>
      <w:rPr>
        <w:rFonts w:hint="default"/>
      </w:rPr>
    </w:lvl>
    <w:lvl w:ilvl="1">
      <w:start w:val="2"/>
      <w:numFmt w:val="decimal"/>
      <w:lvlText w:val="%1.%2"/>
      <w:lvlJc w:val="left"/>
      <w:pPr>
        <w:ind w:left="667" w:hanging="525"/>
      </w:pPr>
      <w:rPr>
        <w:rFonts w:hint="default"/>
      </w:rPr>
    </w:lvl>
    <w:lvl w:ilvl="2">
      <w:start w:val="2"/>
      <w:numFmt w:val="decimal"/>
      <w:lvlText w:val="%1.%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5">
    <w:nsid w:val="23354EFC"/>
    <w:multiLevelType w:val="hybridMultilevel"/>
    <w:tmpl w:val="E39C8B0C"/>
    <w:lvl w:ilvl="0" w:tplc="F8BCF98E">
      <w:start w:val="1"/>
      <w:numFmt w:val="bullet"/>
      <w:lvlText w:val="⁻"/>
      <w:lvlJc w:val="left"/>
      <w:pPr>
        <w:ind w:left="806" w:hanging="360"/>
      </w:pPr>
      <w:rPr>
        <w:rFonts w:ascii="Calibri" w:hAnsi="Calibri" w:hint="default"/>
      </w:rPr>
    </w:lvl>
    <w:lvl w:ilvl="1" w:tplc="380A0003">
      <w:start w:val="1"/>
      <w:numFmt w:val="bullet"/>
      <w:lvlText w:val="o"/>
      <w:lvlJc w:val="left"/>
      <w:pPr>
        <w:ind w:left="1526" w:hanging="360"/>
      </w:pPr>
      <w:rPr>
        <w:rFonts w:ascii="Courier New" w:hAnsi="Courier New" w:cs="Courier New" w:hint="default"/>
      </w:rPr>
    </w:lvl>
    <w:lvl w:ilvl="2" w:tplc="380A0005">
      <w:start w:val="1"/>
      <w:numFmt w:val="bullet"/>
      <w:lvlText w:val=""/>
      <w:lvlJc w:val="left"/>
      <w:pPr>
        <w:ind w:left="2246" w:hanging="360"/>
      </w:pPr>
      <w:rPr>
        <w:rFonts w:ascii="Wingdings" w:hAnsi="Wingdings" w:hint="default"/>
      </w:rPr>
    </w:lvl>
    <w:lvl w:ilvl="3" w:tplc="380A0001">
      <w:start w:val="1"/>
      <w:numFmt w:val="bullet"/>
      <w:lvlText w:val=""/>
      <w:lvlJc w:val="left"/>
      <w:pPr>
        <w:ind w:left="2966" w:hanging="360"/>
      </w:pPr>
      <w:rPr>
        <w:rFonts w:ascii="Symbol" w:hAnsi="Symbol" w:hint="default"/>
      </w:rPr>
    </w:lvl>
    <w:lvl w:ilvl="4" w:tplc="380A0003">
      <w:start w:val="1"/>
      <w:numFmt w:val="bullet"/>
      <w:lvlText w:val="o"/>
      <w:lvlJc w:val="left"/>
      <w:pPr>
        <w:ind w:left="3686" w:hanging="360"/>
      </w:pPr>
      <w:rPr>
        <w:rFonts w:ascii="Courier New" w:hAnsi="Courier New" w:cs="Courier New" w:hint="default"/>
      </w:rPr>
    </w:lvl>
    <w:lvl w:ilvl="5" w:tplc="380A0005">
      <w:start w:val="1"/>
      <w:numFmt w:val="bullet"/>
      <w:lvlText w:val=""/>
      <w:lvlJc w:val="left"/>
      <w:pPr>
        <w:ind w:left="4406" w:hanging="360"/>
      </w:pPr>
      <w:rPr>
        <w:rFonts w:ascii="Wingdings" w:hAnsi="Wingdings" w:hint="default"/>
      </w:rPr>
    </w:lvl>
    <w:lvl w:ilvl="6" w:tplc="380A0001">
      <w:start w:val="1"/>
      <w:numFmt w:val="bullet"/>
      <w:lvlText w:val=""/>
      <w:lvlJc w:val="left"/>
      <w:pPr>
        <w:ind w:left="5126" w:hanging="360"/>
      </w:pPr>
      <w:rPr>
        <w:rFonts w:ascii="Symbol" w:hAnsi="Symbol" w:hint="default"/>
      </w:rPr>
    </w:lvl>
    <w:lvl w:ilvl="7" w:tplc="380A0003">
      <w:start w:val="1"/>
      <w:numFmt w:val="bullet"/>
      <w:lvlText w:val="o"/>
      <w:lvlJc w:val="left"/>
      <w:pPr>
        <w:ind w:left="5846" w:hanging="360"/>
      </w:pPr>
      <w:rPr>
        <w:rFonts w:ascii="Courier New" w:hAnsi="Courier New" w:cs="Courier New" w:hint="default"/>
      </w:rPr>
    </w:lvl>
    <w:lvl w:ilvl="8" w:tplc="380A0005">
      <w:start w:val="1"/>
      <w:numFmt w:val="bullet"/>
      <w:lvlText w:val=""/>
      <w:lvlJc w:val="left"/>
      <w:pPr>
        <w:ind w:left="6566" w:hanging="360"/>
      </w:pPr>
      <w:rPr>
        <w:rFonts w:ascii="Wingdings" w:hAnsi="Wingdings" w:hint="default"/>
      </w:rPr>
    </w:lvl>
  </w:abstractNum>
  <w:abstractNum w:abstractNumId="6">
    <w:nsid w:val="55CE0E43"/>
    <w:multiLevelType w:val="multilevel"/>
    <w:tmpl w:val="4C52558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nsid w:val="5EC03720"/>
    <w:multiLevelType w:val="hybridMultilevel"/>
    <w:tmpl w:val="452619D0"/>
    <w:lvl w:ilvl="0" w:tplc="4ADC47BE">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0C11910"/>
    <w:multiLevelType w:val="multilevel"/>
    <w:tmpl w:val="7932D01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80C5D61"/>
    <w:multiLevelType w:val="multilevel"/>
    <w:tmpl w:val="4D924118"/>
    <w:lvl w:ilvl="0">
      <w:start w:val="1"/>
      <w:numFmt w:val="bullet"/>
      <w:lvlText w:val="-"/>
      <w:lvlJc w:val="left"/>
      <w:pPr>
        <w:ind w:left="360" w:hanging="360"/>
      </w:pPr>
      <w:rPr>
        <w:rFonts w:ascii="Arial" w:eastAsia="Calibri" w:hAnsi="Arial" w:cs="Arial" w:hint="default"/>
      </w:rPr>
    </w:lvl>
    <w:lvl w:ilvl="1">
      <w:start w:val="7"/>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98D12B2"/>
    <w:multiLevelType w:val="hybridMultilevel"/>
    <w:tmpl w:val="81F29D6C"/>
    <w:lvl w:ilvl="0" w:tplc="380A0005">
      <w:start w:val="1"/>
      <w:numFmt w:val="bullet"/>
      <w:lvlText w:val=""/>
      <w:lvlJc w:val="left"/>
      <w:pPr>
        <w:ind w:left="720" w:hanging="360"/>
      </w:pPr>
      <w:rPr>
        <w:rFonts w:ascii="Wingdings" w:hAnsi="Wingdings" w:hint="default"/>
      </w:rPr>
    </w:lvl>
    <w:lvl w:ilvl="1" w:tplc="380A0003">
      <w:start w:val="1"/>
      <w:numFmt w:val="bullet"/>
      <w:lvlText w:val="o"/>
      <w:lvlJc w:val="left"/>
      <w:pPr>
        <w:ind w:left="1440" w:hanging="360"/>
      </w:pPr>
      <w:rPr>
        <w:rFonts w:ascii="Courier New" w:hAnsi="Courier New" w:cs="Courier New" w:hint="default"/>
      </w:rPr>
    </w:lvl>
    <w:lvl w:ilvl="2" w:tplc="380A0005">
      <w:start w:val="1"/>
      <w:numFmt w:val="bullet"/>
      <w:lvlText w:val=""/>
      <w:lvlJc w:val="left"/>
      <w:pPr>
        <w:ind w:left="2160" w:hanging="360"/>
      </w:pPr>
      <w:rPr>
        <w:rFonts w:ascii="Wingdings" w:hAnsi="Wingdings" w:hint="default"/>
      </w:rPr>
    </w:lvl>
    <w:lvl w:ilvl="3" w:tplc="380A0001">
      <w:start w:val="1"/>
      <w:numFmt w:val="bullet"/>
      <w:lvlText w:val=""/>
      <w:lvlJc w:val="left"/>
      <w:pPr>
        <w:ind w:left="2880" w:hanging="360"/>
      </w:pPr>
      <w:rPr>
        <w:rFonts w:ascii="Symbol" w:hAnsi="Symbol" w:hint="default"/>
      </w:rPr>
    </w:lvl>
    <w:lvl w:ilvl="4" w:tplc="380A0003">
      <w:start w:val="1"/>
      <w:numFmt w:val="bullet"/>
      <w:lvlText w:val="o"/>
      <w:lvlJc w:val="left"/>
      <w:pPr>
        <w:ind w:left="3600" w:hanging="360"/>
      </w:pPr>
      <w:rPr>
        <w:rFonts w:ascii="Courier New" w:hAnsi="Courier New" w:cs="Courier New" w:hint="default"/>
      </w:rPr>
    </w:lvl>
    <w:lvl w:ilvl="5" w:tplc="380A0005">
      <w:start w:val="1"/>
      <w:numFmt w:val="bullet"/>
      <w:lvlText w:val=""/>
      <w:lvlJc w:val="left"/>
      <w:pPr>
        <w:ind w:left="4320" w:hanging="360"/>
      </w:pPr>
      <w:rPr>
        <w:rFonts w:ascii="Wingdings" w:hAnsi="Wingdings" w:hint="default"/>
      </w:rPr>
    </w:lvl>
    <w:lvl w:ilvl="6" w:tplc="380A0001">
      <w:start w:val="1"/>
      <w:numFmt w:val="bullet"/>
      <w:lvlText w:val=""/>
      <w:lvlJc w:val="left"/>
      <w:pPr>
        <w:ind w:left="5040" w:hanging="360"/>
      </w:pPr>
      <w:rPr>
        <w:rFonts w:ascii="Symbol" w:hAnsi="Symbol" w:hint="default"/>
      </w:rPr>
    </w:lvl>
    <w:lvl w:ilvl="7" w:tplc="380A0003">
      <w:start w:val="1"/>
      <w:numFmt w:val="bullet"/>
      <w:lvlText w:val="o"/>
      <w:lvlJc w:val="left"/>
      <w:pPr>
        <w:ind w:left="5760" w:hanging="360"/>
      </w:pPr>
      <w:rPr>
        <w:rFonts w:ascii="Courier New" w:hAnsi="Courier New" w:cs="Courier New" w:hint="default"/>
      </w:rPr>
    </w:lvl>
    <w:lvl w:ilvl="8" w:tplc="380A0005">
      <w:start w:val="1"/>
      <w:numFmt w:val="bullet"/>
      <w:lvlText w:val=""/>
      <w:lvlJc w:val="left"/>
      <w:pPr>
        <w:ind w:left="6480" w:hanging="360"/>
      </w:pPr>
      <w:rPr>
        <w:rFonts w:ascii="Wingdings" w:hAnsi="Wingdings" w:hint="default"/>
      </w:rPr>
    </w:lvl>
  </w:abstractNum>
  <w:abstractNum w:abstractNumId="11">
    <w:nsid w:val="6E591AF5"/>
    <w:multiLevelType w:val="multilevel"/>
    <w:tmpl w:val="E05CD752"/>
    <w:styleLink w:val="WWNum4"/>
    <w:lvl w:ilvl="0">
      <w:numFmt w:val="bullet"/>
      <w:lvlText w:val=""/>
      <w:lvlJc w:val="left"/>
      <w:pPr>
        <w:ind w:left="0" w:firstLine="0"/>
      </w:pPr>
      <w:rPr>
        <w:rFonts w:ascii="Symbol" w:eastAsia="Calibri" w:hAnsi="Symbol" w:cs="Calibri"/>
        <w:b/>
        <w:color w:val="00000A"/>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0"/>
  </w:num>
  <w:num w:numId="4">
    <w:abstractNumId w:val="11"/>
  </w:num>
  <w:num w:numId="5">
    <w:abstractNumId w:val="5"/>
  </w:num>
  <w:num w:numId="6">
    <w:abstractNumId w:val="7"/>
  </w:num>
  <w:num w:numId="7">
    <w:abstractNumId w:val="1"/>
  </w:num>
  <w:num w:numId="8">
    <w:abstractNumId w:val="6"/>
  </w:num>
  <w:num w:numId="9">
    <w:abstractNumId w:val="9"/>
  </w:num>
  <w:num w:numId="10">
    <w:abstractNumId w:val="4"/>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40B"/>
    <w:rsid w:val="0027311B"/>
    <w:rsid w:val="00357AA4"/>
    <w:rsid w:val="003862EC"/>
    <w:rsid w:val="00564290"/>
    <w:rsid w:val="0065681C"/>
    <w:rsid w:val="00675CDD"/>
    <w:rsid w:val="00816F4A"/>
    <w:rsid w:val="0089626A"/>
    <w:rsid w:val="008B33E3"/>
    <w:rsid w:val="0091640B"/>
    <w:rsid w:val="00AB563B"/>
    <w:rsid w:val="00CE57C0"/>
    <w:rsid w:val="00E61638"/>
    <w:rsid w:val="00EA1F58"/>
    <w:rsid w:val="00F347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40B"/>
    <w:pPr>
      <w:spacing w:after="61" w:line="263" w:lineRule="auto"/>
      <w:ind w:left="89" w:hanging="3"/>
      <w:jc w:val="both"/>
    </w:pPr>
    <w:rPr>
      <w:rFonts w:ascii="Calibri" w:eastAsia="Calibri" w:hAnsi="Calibri" w:cs="Calibri"/>
      <w:color w:val="000000"/>
      <w:sz w:val="2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91640B"/>
    <w:pPr>
      <w:suppressAutoHyphens/>
      <w:autoSpaceDN w:val="0"/>
      <w:textAlignment w:val="baseline"/>
    </w:pPr>
    <w:rPr>
      <w:rFonts w:ascii="Calibri" w:eastAsia="SimSun" w:hAnsi="Calibri" w:cs="F"/>
      <w:kern w:val="3"/>
      <w:lang w:eastAsia="es-UY"/>
    </w:rPr>
  </w:style>
  <w:style w:type="paragraph" w:styleId="Prrafodelista">
    <w:name w:val="List Paragraph"/>
    <w:basedOn w:val="Normal"/>
    <w:uiPriority w:val="34"/>
    <w:qFormat/>
    <w:rsid w:val="008B33E3"/>
    <w:pPr>
      <w:spacing w:line="261" w:lineRule="auto"/>
      <w:ind w:left="720"/>
      <w:contextualSpacing/>
    </w:pPr>
  </w:style>
  <w:style w:type="numbering" w:customStyle="1" w:styleId="WWNum4">
    <w:name w:val="WWNum4"/>
    <w:rsid w:val="008B33E3"/>
    <w:pPr>
      <w:numPr>
        <w:numId w:val="4"/>
      </w:numPr>
    </w:pPr>
  </w:style>
  <w:style w:type="paragraph" w:customStyle="1" w:styleId="Textoindependiente21">
    <w:name w:val="Texto independiente 21"/>
    <w:basedOn w:val="Standard"/>
    <w:rsid w:val="008B33E3"/>
    <w:pPr>
      <w:spacing w:after="0" w:line="360" w:lineRule="auto"/>
      <w:jc w:val="both"/>
    </w:pPr>
    <w:rPr>
      <w:rFonts w:ascii="Arial" w:eastAsia="Times New Roman" w:hAnsi="Arial" w:cs="Arial"/>
      <w:sz w:val="24"/>
      <w:szCs w:val="24"/>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40B"/>
    <w:pPr>
      <w:spacing w:after="61" w:line="263" w:lineRule="auto"/>
      <w:ind w:left="89" w:hanging="3"/>
      <w:jc w:val="both"/>
    </w:pPr>
    <w:rPr>
      <w:rFonts w:ascii="Calibri" w:eastAsia="Calibri" w:hAnsi="Calibri" w:cs="Calibri"/>
      <w:color w:val="000000"/>
      <w:sz w:val="2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91640B"/>
    <w:pPr>
      <w:suppressAutoHyphens/>
      <w:autoSpaceDN w:val="0"/>
      <w:textAlignment w:val="baseline"/>
    </w:pPr>
    <w:rPr>
      <w:rFonts w:ascii="Calibri" w:eastAsia="SimSun" w:hAnsi="Calibri" w:cs="F"/>
      <w:kern w:val="3"/>
      <w:lang w:eastAsia="es-UY"/>
    </w:rPr>
  </w:style>
  <w:style w:type="paragraph" w:styleId="Prrafodelista">
    <w:name w:val="List Paragraph"/>
    <w:basedOn w:val="Normal"/>
    <w:uiPriority w:val="34"/>
    <w:qFormat/>
    <w:rsid w:val="008B33E3"/>
    <w:pPr>
      <w:spacing w:line="261" w:lineRule="auto"/>
      <w:ind w:left="720"/>
      <w:contextualSpacing/>
    </w:pPr>
  </w:style>
  <w:style w:type="numbering" w:customStyle="1" w:styleId="WWNum4">
    <w:name w:val="WWNum4"/>
    <w:rsid w:val="008B33E3"/>
    <w:pPr>
      <w:numPr>
        <w:numId w:val="4"/>
      </w:numPr>
    </w:pPr>
  </w:style>
  <w:style w:type="paragraph" w:customStyle="1" w:styleId="Textoindependiente21">
    <w:name w:val="Texto independiente 21"/>
    <w:basedOn w:val="Standard"/>
    <w:rsid w:val="008B33E3"/>
    <w:pPr>
      <w:spacing w:after="0" w:line="360" w:lineRule="auto"/>
      <w:jc w:val="both"/>
    </w:pPr>
    <w:rPr>
      <w:rFonts w:ascii="Arial" w:eastAsia="Times New Roman" w:hAnsi="Arial" w:cs="Arial"/>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13</Pages>
  <Words>3060</Words>
  <Characters>16830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8</cp:revision>
  <cp:lastPrinted>2018-09-26T16:06:00Z</cp:lastPrinted>
  <dcterms:created xsi:type="dcterms:W3CDTF">2018-09-26T16:06:00Z</dcterms:created>
  <dcterms:modified xsi:type="dcterms:W3CDTF">2018-10-30T17:47:00Z</dcterms:modified>
</cp:coreProperties>
</file>