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7E9" w:rsidRPr="00786EEB" w:rsidRDefault="00EB67E9" w:rsidP="00EB67E9">
      <w:pPr>
        <w:tabs>
          <w:tab w:val="center" w:pos="4253"/>
        </w:tabs>
        <w:suppressAutoHyphens/>
        <w:jc w:val="right"/>
        <w:rPr>
          <w:b/>
          <w:sz w:val="28"/>
          <w:szCs w:val="28"/>
          <w:lang w:val="es-ES_tradnl"/>
        </w:rPr>
      </w:pPr>
      <w:r>
        <w:rPr>
          <w:b/>
          <w:sz w:val="28"/>
          <w:szCs w:val="28"/>
          <w:lang w:val="es-ES_tradnl"/>
        </w:rPr>
        <w:t>RES. 2917/18</w:t>
      </w:r>
    </w:p>
    <w:p w:rsidR="00EB67E9" w:rsidRDefault="00EB67E9" w:rsidP="00EB67E9">
      <w:pPr>
        <w:tabs>
          <w:tab w:val="center" w:pos="4253"/>
        </w:tabs>
        <w:suppressAutoHyphens/>
        <w:jc w:val="right"/>
        <w:rPr>
          <w:b/>
          <w:lang w:val="es-ES_tradnl"/>
        </w:rPr>
      </w:pPr>
    </w:p>
    <w:p w:rsidR="00EB67E9" w:rsidRPr="00762B34" w:rsidRDefault="00EB67E9" w:rsidP="00EB67E9">
      <w:pPr>
        <w:tabs>
          <w:tab w:val="center" w:pos="4253"/>
        </w:tabs>
        <w:suppressAutoHyphens/>
        <w:jc w:val="center"/>
        <w:rPr>
          <w:b/>
          <w:lang w:val="es-ES_tradnl"/>
        </w:rPr>
      </w:pPr>
      <w:r w:rsidRPr="00762B34">
        <w:rPr>
          <w:b/>
          <w:lang w:val="es-ES_tradnl"/>
        </w:rPr>
        <w:t>RESOLUCION ADOPTADA POR EL</w:t>
      </w:r>
    </w:p>
    <w:p w:rsidR="00EB67E9" w:rsidRPr="00762B34" w:rsidRDefault="00EB67E9" w:rsidP="00EB67E9">
      <w:pPr>
        <w:tabs>
          <w:tab w:val="left" w:pos="-720"/>
        </w:tabs>
        <w:suppressAutoHyphens/>
        <w:jc w:val="center"/>
        <w:rPr>
          <w:b/>
          <w:lang w:val="es-ES_tradnl"/>
        </w:rPr>
      </w:pPr>
    </w:p>
    <w:p w:rsidR="00EB67E9" w:rsidRPr="00762B34" w:rsidRDefault="00EB67E9" w:rsidP="00EB67E9">
      <w:pPr>
        <w:tabs>
          <w:tab w:val="center" w:pos="4253"/>
        </w:tabs>
        <w:suppressAutoHyphens/>
        <w:jc w:val="center"/>
        <w:rPr>
          <w:b/>
          <w:lang w:val="es-ES_tradnl"/>
        </w:rPr>
      </w:pPr>
      <w:r w:rsidRPr="00762B34">
        <w:rPr>
          <w:b/>
          <w:lang w:val="es-ES_tradnl"/>
        </w:rPr>
        <w:t>TRIBUNAL DE CUENTAS</w:t>
      </w:r>
    </w:p>
    <w:p w:rsidR="00EB67E9" w:rsidRPr="00762B34" w:rsidRDefault="00EB67E9" w:rsidP="00EB67E9">
      <w:pPr>
        <w:tabs>
          <w:tab w:val="left" w:pos="-720"/>
        </w:tabs>
        <w:suppressAutoHyphens/>
        <w:jc w:val="center"/>
        <w:rPr>
          <w:b/>
          <w:lang w:val="es-ES_tradnl"/>
        </w:rPr>
      </w:pPr>
    </w:p>
    <w:p w:rsidR="00EB67E9" w:rsidRPr="00762B34" w:rsidRDefault="00EB67E9" w:rsidP="00EB67E9">
      <w:pPr>
        <w:tabs>
          <w:tab w:val="center" w:pos="4253"/>
        </w:tabs>
        <w:suppressAutoHyphens/>
        <w:jc w:val="center"/>
        <w:rPr>
          <w:b/>
          <w:lang w:val="es-ES_tradnl"/>
        </w:rPr>
      </w:pPr>
      <w:r w:rsidRPr="00762B34">
        <w:rPr>
          <w:b/>
          <w:lang w:val="es-ES_tradnl"/>
        </w:rPr>
        <w:t xml:space="preserve">EN SESION DE FECHA </w:t>
      </w:r>
      <w:r>
        <w:rPr>
          <w:b/>
          <w:lang w:val="es-ES_tradnl"/>
        </w:rPr>
        <w:t xml:space="preserve">13 DE SETIEMBRE </w:t>
      </w:r>
      <w:r>
        <w:rPr>
          <w:rFonts w:ascii="Helvetica" w:hAnsi="Helvetica"/>
          <w:b/>
          <w:lang w:val="es-ES_tradnl"/>
        </w:rPr>
        <w:t>DE 2018</w:t>
      </w:r>
    </w:p>
    <w:p w:rsidR="00EB67E9" w:rsidRPr="00762B34" w:rsidRDefault="00EB67E9" w:rsidP="00EB67E9">
      <w:pPr>
        <w:tabs>
          <w:tab w:val="center" w:pos="4253"/>
        </w:tabs>
        <w:suppressAutoHyphens/>
        <w:jc w:val="center"/>
        <w:rPr>
          <w:b/>
          <w:lang w:val="es-ES_tradnl"/>
        </w:rPr>
      </w:pPr>
    </w:p>
    <w:p w:rsidR="00EB67E9" w:rsidRPr="00762B34" w:rsidRDefault="00EB67E9" w:rsidP="00EB67E9">
      <w:pPr>
        <w:tabs>
          <w:tab w:val="center" w:pos="4253"/>
        </w:tabs>
        <w:suppressAutoHyphens/>
        <w:jc w:val="center"/>
        <w:rPr>
          <w:b/>
          <w:lang w:val="en-US"/>
        </w:rPr>
      </w:pPr>
      <w:r w:rsidRPr="00762B34">
        <w:rPr>
          <w:b/>
          <w:lang w:val="en-US"/>
        </w:rPr>
        <w:t xml:space="preserve">(E. E. Nº </w:t>
      </w:r>
      <w:r>
        <w:rPr>
          <w:b/>
          <w:lang w:val="en-US"/>
        </w:rPr>
        <w:t>2018-17-1-0002425</w:t>
      </w:r>
      <w:r w:rsidRPr="00762B34">
        <w:rPr>
          <w:b/>
          <w:lang w:val="en-US"/>
        </w:rPr>
        <w:t xml:space="preserve">, </w:t>
      </w:r>
      <w:proofErr w:type="gramStart"/>
      <w:r w:rsidRPr="00762B34">
        <w:rPr>
          <w:b/>
          <w:lang w:val="en-US"/>
        </w:rPr>
        <w:t>Ent</w:t>
      </w:r>
      <w:proofErr w:type="gramEnd"/>
      <w:r w:rsidRPr="00762B34">
        <w:rPr>
          <w:b/>
          <w:lang w:val="en-US"/>
        </w:rPr>
        <w:t xml:space="preserve">. N° </w:t>
      </w:r>
      <w:r>
        <w:rPr>
          <w:b/>
          <w:lang w:val="en-US"/>
        </w:rPr>
        <w:t>4114/18</w:t>
      </w:r>
      <w:r w:rsidRPr="00762B34">
        <w:rPr>
          <w:b/>
          <w:lang w:val="en-US"/>
        </w:rPr>
        <w:t>)</w:t>
      </w:r>
    </w:p>
    <w:p w:rsidR="00EB67E9" w:rsidRPr="00005A86" w:rsidRDefault="00EB67E9" w:rsidP="00EB67E9">
      <w:pPr>
        <w:rPr>
          <w:rFonts w:cs="Times New Roman"/>
        </w:rPr>
      </w:pPr>
    </w:p>
    <w:p w:rsidR="00EB67E9" w:rsidRDefault="00EB67E9" w:rsidP="00EB67E9">
      <w:pPr>
        <w:spacing w:line="360" w:lineRule="auto"/>
        <w:ind w:firstLine="851"/>
        <w:jc w:val="both"/>
        <w:rPr>
          <w:rFonts w:cs="Times New Roman"/>
        </w:rPr>
      </w:pPr>
      <w:r w:rsidRPr="00005A86">
        <w:rPr>
          <w:rFonts w:cs="Times New Roman"/>
          <w:b/>
          <w:bCs/>
        </w:rPr>
        <w:t>VISTO:</w:t>
      </w:r>
      <w:r w:rsidRPr="00005A86">
        <w:rPr>
          <w:rFonts w:cs="Times New Roman"/>
        </w:rPr>
        <w:t xml:space="preserve"> </w:t>
      </w:r>
      <w:r>
        <w:rPr>
          <w:rFonts w:cs="Times New Roman"/>
        </w:rPr>
        <w:t xml:space="preserve">la nota Nº 84652 de fecha 8 de agosto de 2018 remitida por la Presidencia de la Administración Nacional de Usinas y Trasmisiones Eléctricas,  por medio de la cual se adjunta la resolución Nº 18.-1882 de fecha 2 de agosto de 2018 dictada por el Directorio del Ente, </w:t>
      </w:r>
      <w:r w:rsidRPr="00005A86">
        <w:rPr>
          <w:rFonts w:cs="Times New Roman"/>
        </w:rPr>
        <w:t>relacionada con</w:t>
      </w:r>
      <w:r>
        <w:rPr>
          <w:rFonts w:cs="Times New Roman"/>
        </w:rPr>
        <w:t xml:space="preserve"> la reiteración del gasto derivado de</w:t>
      </w:r>
      <w:r w:rsidRPr="00005A86">
        <w:rPr>
          <w:rFonts w:cs="Times New Roman"/>
        </w:rPr>
        <w:t xml:space="preserve"> </w:t>
      </w:r>
      <w:r>
        <w:rPr>
          <w:rFonts w:cs="Times New Roman"/>
        </w:rPr>
        <w:t xml:space="preserve">los contratos de compraventa de energía , convenio de uso de red y contrato de obras a suscribir en el marco del </w:t>
      </w:r>
      <w:proofErr w:type="spellStart"/>
      <w:r>
        <w:rPr>
          <w:rFonts w:cs="Times New Roman"/>
        </w:rPr>
        <w:t>Memorandum</w:t>
      </w:r>
      <w:proofErr w:type="spellEnd"/>
      <w:r>
        <w:rPr>
          <w:rFonts w:cs="Times New Roman"/>
        </w:rPr>
        <w:t xml:space="preserve"> de Entendimiento (MOU) celebrado con el Ministerio de Industria, Energía y Minería (MIEM) y UPM PULP OY;</w:t>
      </w:r>
    </w:p>
    <w:p w:rsidR="00EB67E9" w:rsidRDefault="00EB67E9" w:rsidP="00EB67E9">
      <w:pPr>
        <w:spacing w:line="360" w:lineRule="auto"/>
        <w:ind w:firstLine="851"/>
        <w:jc w:val="both"/>
        <w:rPr>
          <w:bCs/>
        </w:rPr>
      </w:pPr>
      <w:r>
        <w:rPr>
          <w:b/>
          <w:bCs/>
        </w:rPr>
        <w:t>RESULTANDO:</w:t>
      </w:r>
      <w:r>
        <w:t xml:space="preserve"> </w:t>
      </w:r>
      <w:r>
        <w:rPr>
          <w:b/>
          <w:bCs/>
        </w:rPr>
        <w:t xml:space="preserve">1) </w:t>
      </w:r>
      <w:r>
        <w:rPr>
          <w:bCs/>
        </w:rPr>
        <w:t xml:space="preserve">que el Tribunal de Cuentas, en Sesión de 13 de junio de 2018, acordó observar el procedimiento y el gasto resultante del mismo, considerando que la causal de contratación directa establecida en el Numeral 21) del Literal C) del Artículo 33 del TOCAF, no se aplica a la contratación directa del </w:t>
      </w:r>
      <w:proofErr w:type="spellStart"/>
      <w:r>
        <w:rPr>
          <w:bCs/>
        </w:rPr>
        <w:t>co-cocontratante</w:t>
      </w:r>
      <w:proofErr w:type="spellEnd"/>
      <w:r>
        <w:rPr>
          <w:bCs/>
        </w:rPr>
        <w:t xml:space="preserve"> en el Contrato de Obra que estará a cargo de CUECAR S.A, el cual no implica compraventa de energía, debiendo regirse por la normativa vigente en la materia (Artículo 33 y concordantes del TOCAF);</w:t>
      </w:r>
    </w:p>
    <w:p w:rsidR="00EB67E9" w:rsidRDefault="00EB67E9" w:rsidP="00EB67E9">
      <w:pPr>
        <w:spacing w:line="360" w:lineRule="auto"/>
        <w:ind w:firstLine="2835"/>
        <w:jc w:val="both"/>
      </w:pPr>
      <w:r w:rsidRPr="004F58B5">
        <w:rPr>
          <w:b/>
          <w:bCs/>
        </w:rPr>
        <w:t>2)</w:t>
      </w:r>
      <w:r w:rsidRPr="00C311EF">
        <w:rPr>
          <w:bCs/>
        </w:rPr>
        <w:t xml:space="preserve"> que</w:t>
      </w:r>
      <w:r>
        <w:rPr>
          <w:bCs/>
        </w:rPr>
        <w:t xml:space="preserve"> en la oportunidad, por la Resolución del Directorio de UTE antes citada, se reitera la contratación, expresándose que: “…los tres acuerdos forman una estructura contractual coligada. Se documentan en instrumentos diferentes porque aluden a actividades y compromisos diferentes, pero forman una unidad económica, de tal suerte que la ejecución del Contrato de Obra y las condiciones del Convenio de Uso </w:t>
      </w:r>
      <w:r>
        <w:rPr>
          <w:bCs/>
        </w:rPr>
        <w:lastRenderedPageBreak/>
        <w:t xml:space="preserve">constituyen una </w:t>
      </w:r>
      <w:proofErr w:type="spellStart"/>
      <w:r w:rsidRPr="00FD19E5">
        <w:rPr>
          <w:bCs/>
          <w:i/>
        </w:rPr>
        <w:t>conditio</w:t>
      </w:r>
      <w:proofErr w:type="spellEnd"/>
      <w:r w:rsidRPr="00FD19E5">
        <w:rPr>
          <w:bCs/>
          <w:i/>
        </w:rPr>
        <w:t xml:space="preserve"> sine qua non</w:t>
      </w:r>
      <w:r>
        <w:rPr>
          <w:bCs/>
        </w:rPr>
        <w:t xml:space="preserve"> para la ejecución del contrato de compraventa de energía. De entenderse que para la ejecución de las obras de conexión a la red debe realizarse un llamado competitivo y que no puede ejecutarlas directamente el obligado a asumir sus costos, estaríamos dándole a la disposición legal que habilita la celebración de contratos de compraventa de energía en el mercado libre un golpe letal, introduciendo riesgos económicos y frustrando en definitiva la existencia del mercado mayorista creado por la Ley 16.832 de 27/6/97”;</w:t>
      </w:r>
    </w:p>
    <w:p w:rsidR="00EB67E9" w:rsidRDefault="00EB67E9" w:rsidP="00EB67E9">
      <w:pPr>
        <w:spacing w:line="360" w:lineRule="auto"/>
        <w:ind w:firstLine="851"/>
        <w:jc w:val="both"/>
        <w:rPr>
          <w:bCs/>
        </w:rPr>
      </w:pPr>
      <w:r w:rsidRPr="006F4F4A">
        <w:rPr>
          <w:b/>
        </w:rPr>
        <w:t xml:space="preserve">CONSIDERANDO: </w:t>
      </w:r>
      <w:r>
        <w:rPr>
          <w:b/>
        </w:rPr>
        <w:t xml:space="preserve">1) </w:t>
      </w:r>
      <w:r>
        <w:t xml:space="preserve">que </w:t>
      </w:r>
      <w:r>
        <w:rPr>
          <w:bCs/>
        </w:rPr>
        <w:t>el Numeral 21), Literal C) del</w:t>
      </w:r>
      <w:r w:rsidRPr="00F51FF5">
        <w:rPr>
          <w:bCs/>
        </w:rPr>
        <w:t xml:space="preserve"> </w:t>
      </w:r>
      <w:r>
        <w:rPr>
          <w:bCs/>
        </w:rPr>
        <w:t xml:space="preserve">Artículo </w:t>
      </w:r>
      <w:r w:rsidRPr="00F51FF5">
        <w:rPr>
          <w:bCs/>
        </w:rPr>
        <w:t>33 del TOCAF</w:t>
      </w:r>
      <w:r>
        <w:rPr>
          <w:bCs/>
        </w:rPr>
        <w:t>, establece que se podrá realizar la compraventa directa por parte de UTE de la energía generada por otros agentes en territorio nacional, de conformidad con la reglamentación que dicte el Poder Ejecutivo;</w:t>
      </w:r>
    </w:p>
    <w:p w:rsidR="00EB67E9" w:rsidRDefault="00EB67E9" w:rsidP="00EB67E9">
      <w:pPr>
        <w:spacing w:line="360" w:lineRule="auto"/>
        <w:ind w:firstLine="3119"/>
        <w:jc w:val="both"/>
      </w:pPr>
      <w:r>
        <w:rPr>
          <w:b/>
          <w:bCs/>
        </w:rPr>
        <w:t>2</w:t>
      </w:r>
      <w:r w:rsidRPr="00F51FF5">
        <w:rPr>
          <w:b/>
          <w:bCs/>
        </w:rPr>
        <w:t>)</w:t>
      </w:r>
      <w:r>
        <w:rPr>
          <w:b/>
          <w:bCs/>
        </w:rPr>
        <w:t xml:space="preserve"> </w:t>
      </w:r>
      <w:r w:rsidRPr="00F51FF5">
        <w:rPr>
          <w:bCs/>
        </w:rPr>
        <w:t xml:space="preserve">que </w:t>
      </w:r>
      <w:r>
        <w:rPr>
          <w:bCs/>
        </w:rPr>
        <w:t>la excepción prevista en el citado Numeral debe ser de interpretada,</w:t>
      </w:r>
      <w:r w:rsidRPr="008B3916">
        <w:rPr>
          <w:bCs/>
        </w:rPr>
        <w:t xml:space="preserve"> como toda excepción</w:t>
      </w:r>
      <w:r>
        <w:rPr>
          <w:bCs/>
        </w:rPr>
        <w:t>, en forma estricta. En ese sentido, el Numeral 21, Literal C) del Artículo 33 del TOCAF, refiere específicamente a la compraventa de energía. Lo previsto en dicha norma no puede extenderse a otro tipo de contrataciones, dado que se desvirtuaría, precisamente, el concepto de excepción</w:t>
      </w:r>
      <w:r w:rsidRPr="003F7574">
        <w:t>;</w:t>
      </w:r>
    </w:p>
    <w:p w:rsidR="00EB67E9" w:rsidRDefault="00EB67E9" w:rsidP="00EB67E9">
      <w:pPr>
        <w:spacing w:line="360" w:lineRule="auto"/>
        <w:ind w:firstLine="3119"/>
        <w:jc w:val="both"/>
      </w:pPr>
      <w:r>
        <w:rPr>
          <w:b/>
        </w:rPr>
        <w:t>3</w:t>
      </w:r>
      <w:r w:rsidRPr="00947F14">
        <w:rPr>
          <w:b/>
        </w:rPr>
        <w:t>)</w:t>
      </w:r>
      <w:r>
        <w:rPr>
          <w:b/>
        </w:rPr>
        <w:t xml:space="preserve"> </w:t>
      </w:r>
      <w:r>
        <w:t>que la estructura contractual señalada por la Administración, no exime a la misma del cumplimiento de la normativa prevista en materia de contrataciones públicas, recogida principalmente en el TOCAF;</w:t>
      </w:r>
    </w:p>
    <w:p w:rsidR="00EB67E9" w:rsidRPr="00E76FDF" w:rsidRDefault="00EB67E9" w:rsidP="00EB67E9">
      <w:pPr>
        <w:spacing w:line="360" w:lineRule="auto"/>
        <w:ind w:firstLine="3119"/>
        <w:jc w:val="both"/>
        <w:rPr>
          <w:rFonts w:cs="Times New Roman"/>
          <w:b/>
          <w:bCs/>
          <w:spacing w:val="-3"/>
          <w:lang w:val="es-ES_tradnl"/>
        </w:rPr>
      </w:pPr>
      <w:r>
        <w:rPr>
          <w:b/>
        </w:rPr>
        <w:t>4)</w:t>
      </w:r>
      <w:r>
        <w:t xml:space="preserve"> que en definitiva, se mantiene incambiada la causal de observación formulada por este Tribunal en Sesión de fecha 13/6/18;                               </w:t>
      </w:r>
    </w:p>
    <w:p w:rsidR="00EB67E9" w:rsidRDefault="00EB67E9" w:rsidP="00EB67E9">
      <w:pPr>
        <w:tabs>
          <w:tab w:val="left" w:pos="3480"/>
        </w:tabs>
        <w:spacing w:line="360" w:lineRule="auto"/>
        <w:ind w:firstLine="851"/>
        <w:jc w:val="both"/>
        <w:rPr>
          <w:rFonts w:cs="Times New Roman"/>
          <w:spacing w:val="-3"/>
          <w:lang w:val="es-ES_tradnl"/>
        </w:rPr>
      </w:pPr>
      <w:r w:rsidRPr="007B71A4">
        <w:rPr>
          <w:rFonts w:cs="Times New Roman"/>
          <w:b/>
          <w:spacing w:val="-3"/>
          <w:lang w:val="es-ES_tradnl"/>
        </w:rPr>
        <w:t>ATENTO:</w:t>
      </w:r>
      <w:r w:rsidRPr="007B71A4">
        <w:rPr>
          <w:rFonts w:cs="Times New Roman"/>
          <w:spacing w:val="-3"/>
          <w:lang w:val="es-ES_tradnl"/>
        </w:rPr>
        <w:t xml:space="preserve"> a lo precedentemente e</w:t>
      </w:r>
      <w:r>
        <w:rPr>
          <w:rFonts w:cs="Times New Roman"/>
          <w:spacing w:val="-3"/>
          <w:lang w:val="es-ES_tradnl"/>
        </w:rPr>
        <w:t>xpuesto, a lo dispuesto por el A</w:t>
      </w:r>
      <w:r w:rsidRPr="007B71A4">
        <w:rPr>
          <w:rFonts w:cs="Times New Roman"/>
          <w:spacing w:val="-3"/>
          <w:lang w:val="es-ES_tradnl"/>
        </w:rPr>
        <w:t>rt</w:t>
      </w:r>
      <w:r>
        <w:rPr>
          <w:rFonts w:cs="Times New Roman"/>
          <w:spacing w:val="-3"/>
          <w:lang w:val="es-ES_tradnl"/>
        </w:rPr>
        <w:t>ículo</w:t>
      </w:r>
      <w:r w:rsidRPr="007B71A4">
        <w:rPr>
          <w:rFonts w:cs="Times New Roman"/>
          <w:spacing w:val="-3"/>
          <w:lang w:val="es-ES_tradnl"/>
        </w:rPr>
        <w:t xml:space="preserve"> 211 Literal B) de la Constitución de la </w:t>
      </w:r>
      <w:r>
        <w:rPr>
          <w:rFonts w:cs="Times New Roman"/>
          <w:spacing w:val="-3"/>
          <w:lang w:val="es-ES_tradnl"/>
        </w:rPr>
        <w:t>República;</w:t>
      </w:r>
    </w:p>
    <w:p w:rsidR="00EB67E9" w:rsidRPr="00026201" w:rsidRDefault="00EB67E9" w:rsidP="00EB67E9">
      <w:pPr>
        <w:tabs>
          <w:tab w:val="left" w:pos="3480"/>
        </w:tabs>
        <w:spacing w:line="360" w:lineRule="auto"/>
        <w:jc w:val="center"/>
        <w:rPr>
          <w:rFonts w:cs="Times New Roman"/>
          <w:spacing w:val="-3"/>
          <w:lang w:val="es-ES_tradnl"/>
        </w:rPr>
      </w:pPr>
      <w:r>
        <w:rPr>
          <w:rFonts w:cs="Times New Roman"/>
          <w:b/>
        </w:rPr>
        <w:t>EL TRIBUNAL ACUERDA</w:t>
      </w:r>
    </w:p>
    <w:p w:rsidR="00EB67E9" w:rsidRDefault="00EB67E9" w:rsidP="00EB67E9">
      <w:pPr>
        <w:spacing w:line="360" w:lineRule="auto"/>
        <w:ind w:left="284" w:hanging="284"/>
        <w:rPr>
          <w:rFonts w:cs="Times New Roman"/>
        </w:rPr>
      </w:pPr>
      <w:r>
        <w:rPr>
          <w:rFonts w:cs="Times New Roman"/>
          <w:b/>
        </w:rPr>
        <w:t xml:space="preserve">1) </w:t>
      </w:r>
      <w:r>
        <w:rPr>
          <w:rFonts w:cs="Times New Roman"/>
        </w:rPr>
        <w:t xml:space="preserve">Mantener la observación formulada por el Tribunal de Cuentas con fecha 13 de junio de 2018; </w:t>
      </w:r>
    </w:p>
    <w:p w:rsidR="00EB67E9" w:rsidRDefault="00EB67E9" w:rsidP="00EB67E9">
      <w:pPr>
        <w:spacing w:line="360" w:lineRule="auto"/>
        <w:ind w:left="284" w:hanging="284"/>
        <w:rPr>
          <w:rFonts w:cs="Times New Roman"/>
        </w:rPr>
      </w:pPr>
      <w:r>
        <w:rPr>
          <w:rFonts w:cs="Times New Roman"/>
          <w:b/>
        </w:rPr>
        <w:t xml:space="preserve">2) </w:t>
      </w:r>
      <w:r>
        <w:rPr>
          <w:rFonts w:cs="Times New Roman"/>
        </w:rPr>
        <w:t>Dar cuenta a la Asamblea General;</w:t>
      </w:r>
    </w:p>
    <w:p w:rsidR="00EB67E9" w:rsidRDefault="00EB67E9" w:rsidP="00EB67E9">
      <w:pPr>
        <w:spacing w:line="360" w:lineRule="auto"/>
        <w:ind w:left="284" w:hanging="284"/>
        <w:rPr>
          <w:rFonts w:cs="Times New Roman"/>
          <w:spacing w:val="-3"/>
          <w:lang w:val="es-ES_tradnl"/>
        </w:rPr>
      </w:pPr>
      <w:r>
        <w:rPr>
          <w:rFonts w:cs="Times New Roman"/>
          <w:b/>
          <w:bCs/>
          <w:spacing w:val="-3"/>
          <w:lang w:val="es-ES_tradnl"/>
        </w:rPr>
        <w:lastRenderedPageBreak/>
        <w:t>3</w:t>
      </w:r>
      <w:r w:rsidRPr="007B71A4">
        <w:rPr>
          <w:rFonts w:cs="Times New Roman"/>
          <w:b/>
          <w:bCs/>
          <w:spacing w:val="-3"/>
          <w:lang w:val="es-ES_tradnl"/>
        </w:rPr>
        <w:t>)</w:t>
      </w:r>
      <w:r w:rsidRPr="007B71A4">
        <w:rPr>
          <w:rFonts w:cs="Times New Roman"/>
          <w:spacing w:val="-3"/>
          <w:lang w:val="es-ES_tradnl"/>
        </w:rPr>
        <w:t xml:space="preserve">  </w:t>
      </w:r>
      <w:r>
        <w:rPr>
          <w:rFonts w:cs="Times New Roman"/>
          <w:spacing w:val="-3"/>
          <w:lang w:val="es-ES_tradnl"/>
        </w:rPr>
        <w:t>Comunicar al Contador Delegado;</w:t>
      </w:r>
    </w:p>
    <w:p w:rsidR="00EB67E9" w:rsidRDefault="00EB67E9" w:rsidP="00EB67E9">
      <w:pPr>
        <w:spacing w:line="360" w:lineRule="auto"/>
        <w:ind w:left="284" w:hanging="284"/>
        <w:rPr>
          <w:rFonts w:cs="Times New Roman"/>
          <w:bCs/>
          <w:spacing w:val="-3"/>
          <w:lang w:val="es-ES_tradnl"/>
        </w:rPr>
      </w:pPr>
      <w:r>
        <w:rPr>
          <w:rFonts w:cs="Times New Roman"/>
          <w:b/>
          <w:bCs/>
          <w:spacing w:val="-3"/>
          <w:lang w:val="es-ES_tradnl"/>
        </w:rPr>
        <w:t xml:space="preserve">4) </w:t>
      </w:r>
      <w:r w:rsidRPr="00EB67E9">
        <w:rPr>
          <w:rFonts w:cs="Times New Roman"/>
          <w:bCs/>
          <w:spacing w:val="-3"/>
          <w:lang w:val="es-ES_tradnl"/>
        </w:rPr>
        <w:t>Oficiar al Organismo actuante</w:t>
      </w:r>
      <w:r>
        <w:rPr>
          <w:rFonts w:cs="Times New Roman"/>
          <w:bCs/>
          <w:spacing w:val="-3"/>
          <w:lang w:val="es-ES_tradnl"/>
        </w:rPr>
        <w:t>.</w:t>
      </w:r>
    </w:p>
    <w:p w:rsidR="00BD2DD8" w:rsidRDefault="00BD2DD8" w:rsidP="00EB67E9">
      <w:pPr>
        <w:spacing w:line="360" w:lineRule="auto"/>
        <w:ind w:left="284" w:hanging="284"/>
        <w:rPr>
          <w:rFonts w:cs="Times New Roman"/>
          <w:spacing w:val="-3"/>
          <w:lang w:val="es-ES_tradnl"/>
        </w:rPr>
      </w:pPr>
    </w:p>
    <w:p w:rsidR="00BD2DD8" w:rsidRDefault="00BD2DD8" w:rsidP="00EB67E9">
      <w:pPr>
        <w:spacing w:line="360" w:lineRule="auto"/>
        <w:ind w:left="284" w:hanging="284"/>
        <w:rPr>
          <w:rFonts w:cs="Times New Roman"/>
          <w:spacing w:val="-3"/>
          <w:lang w:val="es-ES_tradnl"/>
        </w:rPr>
      </w:pPr>
    </w:p>
    <w:p w:rsidR="00BD2DD8" w:rsidRDefault="00BD2DD8" w:rsidP="00EB67E9">
      <w:pPr>
        <w:spacing w:line="360" w:lineRule="auto"/>
        <w:ind w:left="284" w:hanging="284"/>
        <w:rPr>
          <w:rFonts w:cs="Times New Roman"/>
          <w:spacing w:val="-3"/>
          <w:lang w:val="es-ES_tradnl"/>
        </w:rPr>
      </w:pPr>
    </w:p>
    <w:p w:rsidR="00BD2DD8" w:rsidRDefault="00BD2DD8" w:rsidP="00EB67E9">
      <w:pPr>
        <w:spacing w:line="360" w:lineRule="auto"/>
        <w:ind w:left="284" w:hanging="284"/>
        <w:rPr>
          <w:rFonts w:cs="Times New Roman"/>
          <w:spacing w:val="-3"/>
          <w:lang w:val="es-ES_tradnl"/>
        </w:rPr>
      </w:pPr>
    </w:p>
    <w:p w:rsidR="00BD2DD8" w:rsidRDefault="00BD2DD8" w:rsidP="00EB67E9">
      <w:pPr>
        <w:spacing w:line="360" w:lineRule="auto"/>
        <w:ind w:left="284" w:hanging="284"/>
        <w:rPr>
          <w:rFonts w:cs="Times New Roman"/>
          <w:spacing w:val="-3"/>
          <w:lang w:val="es-ES_tradnl"/>
        </w:rPr>
      </w:pPr>
    </w:p>
    <w:p w:rsidR="00BD2DD8" w:rsidRDefault="00BD2DD8" w:rsidP="00EB67E9">
      <w:pPr>
        <w:spacing w:line="360" w:lineRule="auto"/>
        <w:ind w:left="284" w:hanging="284"/>
        <w:rPr>
          <w:rFonts w:cs="Times New Roman"/>
          <w:spacing w:val="-3"/>
          <w:lang w:val="es-ES_tradnl"/>
        </w:rPr>
      </w:pPr>
    </w:p>
    <w:p w:rsidR="00BD2DD8" w:rsidRDefault="00BD2DD8" w:rsidP="00EB67E9">
      <w:pPr>
        <w:spacing w:line="360" w:lineRule="auto"/>
        <w:ind w:left="284" w:hanging="284"/>
        <w:rPr>
          <w:rFonts w:cs="Times New Roman"/>
          <w:spacing w:val="-3"/>
          <w:lang w:val="es-ES_tradnl"/>
        </w:rPr>
      </w:pPr>
    </w:p>
    <w:p w:rsidR="00BD2DD8" w:rsidRPr="00BD2DD8" w:rsidRDefault="00BD2DD8" w:rsidP="00BD2DD8">
      <w:pPr>
        <w:pStyle w:val="Ttulo1"/>
        <w:rPr>
          <w:b w:val="0"/>
          <w:szCs w:val="24"/>
        </w:rPr>
      </w:pPr>
      <w:r w:rsidRPr="00BD2DD8">
        <w:rPr>
          <w:szCs w:val="24"/>
          <w:lang w:val="es-UY"/>
        </w:rPr>
        <w:t>CONSTANCIA DE FUNDAMENTO DE VOTO DISCORDE DEL MINISTRO               ING. MIGUEL AUMENTO:</w:t>
      </w:r>
      <w:r w:rsidRPr="00BD2DD8">
        <w:rPr>
          <w:b w:val="0"/>
          <w:szCs w:val="24"/>
          <w:lang w:val="es-UY"/>
        </w:rPr>
        <w:t xml:space="preserve"> </w:t>
      </w:r>
      <w:r>
        <w:rPr>
          <w:b w:val="0"/>
          <w:szCs w:val="24"/>
          <w:lang w:val="es-UY"/>
        </w:rPr>
        <w:t>“</w:t>
      </w:r>
      <w:r w:rsidRPr="00BD2DD8">
        <w:rPr>
          <w:b w:val="0"/>
          <w:szCs w:val="24"/>
        </w:rPr>
        <w:t xml:space="preserve">He votado en forma discorde la Resolución recaída en este expediente, en tanto mantengo íntegramente mi posición, sustentada en Sesión del 13 de junio de 2018. </w:t>
      </w:r>
    </w:p>
    <w:p w:rsidR="00BD2DD8" w:rsidRPr="00BD2DD8" w:rsidRDefault="00BD2DD8" w:rsidP="00BD2DD8">
      <w:pPr>
        <w:spacing w:line="360" w:lineRule="auto"/>
        <w:jc w:val="both"/>
      </w:pPr>
      <w:r w:rsidRPr="00BD2DD8">
        <w:t xml:space="preserve">Agrego ahora que en dicha ocasión, el Tribunal debió dejar </w:t>
      </w:r>
      <w:r w:rsidRPr="00BD2DD8">
        <w:rPr>
          <w:u w:val="single"/>
        </w:rPr>
        <w:t>expresamente</w:t>
      </w:r>
      <w:r w:rsidRPr="00BD2DD8">
        <w:t xml:space="preserve"> señalado en su ACUERDA, </w:t>
      </w:r>
      <w:r w:rsidRPr="00BD2DD8">
        <w:rPr>
          <w:u w:val="single"/>
        </w:rPr>
        <w:t>que no había observaciones que formular tanto al Contrato de Compraventa como al de Uso</w:t>
      </w:r>
      <w:r w:rsidRPr="00BD2DD8">
        <w:t>, enmarcando la observación al procedimiento que hace al Contrato de Obra, según el Considerando 6° de la Resolución originaria.</w:t>
      </w:r>
    </w:p>
    <w:p w:rsidR="00BD2DD8" w:rsidRDefault="00BD2DD8" w:rsidP="00BD2DD8">
      <w:pPr>
        <w:spacing w:line="360" w:lineRule="auto"/>
        <w:jc w:val="both"/>
      </w:pPr>
      <w:r w:rsidRPr="00BD2DD8">
        <w:t xml:space="preserve">Cito textualmente el Acuerda 1) de la Resolución del 13 de junio de 2018: “Observar el procedimiento </w:t>
      </w:r>
      <w:r w:rsidRPr="00BD2DD8">
        <w:rPr>
          <w:u w:val="single"/>
        </w:rPr>
        <w:t xml:space="preserve">y el gasto </w:t>
      </w:r>
      <w:r w:rsidRPr="00BD2DD8">
        <w:t>resultante del mismo, por lo señalado en el Considerando 6° de la presente resolución” (el subrayado es mío)</w:t>
      </w:r>
      <w:r>
        <w:t>”</w:t>
      </w:r>
      <w:r w:rsidRPr="00BD2DD8">
        <w:t>.</w:t>
      </w:r>
    </w:p>
    <w:p w:rsidR="00BD2DD8" w:rsidRDefault="00BD2DD8" w:rsidP="00D71A3A">
      <w:pPr>
        <w:spacing w:line="360" w:lineRule="auto"/>
        <w:jc w:val="both"/>
        <w:rPr>
          <w:lang w:val="es-UY"/>
        </w:rPr>
      </w:pPr>
    </w:p>
    <w:p w:rsidR="00BD2DD8" w:rsidRDefault="00BD2DD8" w:rsidP="00BD2DD8">
      <w:pPr>
        <w:spacing w:line="360" w:lineRule="auto"/>
        <w:jc w:val="both"/>
        <w:rPr>
          <w:rFonts w:eastAsiaTheme="minorHAnsi"/>
          <w:lang w:eastAsia="en-US"/>
        </w:rPr>
      </w:pPr>
      <w:r w:rsidRPr="00E9382D">
        <w:rPr>
          <w:b/>
          <w:lang w:val="es-UY"/>
        </w:rPr>
        <w:t>CON</w:t>
      </w:r>
      <w:r>
        <w:rPr>
          <w:b/>
          <w:lang w:val="es-UY"/>
        </w:rPr>
        <w:t>S</w:t>
      </w:r>
      <w:r w:rsidRPr="00E9382D">
        <w:rPr>
          <w:b/>
          <w:lang w:val="es-UY"/>
        </w:rPr>
        <w:t>TANCIA DE FUNDAMENTO DE VOTO</w:t>
      </w:r>
      <w:r>
        <w:rPr>
          <w:b/>
          <w:lang w:val="es-UY"/>
        </w:rPr>
        <w:t xml:space="preserve"> DISCORDE</w:t>
      </w:r>
      <w:r w:rsidRPr="00E9382D">
        <w:rPr>
          <w:b/>
          <w:lang w:val="es-UY"/>
        </w:rPr>
        <w:t xml:space="preserve"> DE</w:t>
      </w:r>
      <w:r>
        <w:rPr>
          <w:b/>
          <w:lang w:val="es-UY"/>
        </w:rPr>
        <w:t xml:space="preserve"> </w:t>
      </w:r>
      <w:r w:rsidRPr="00E9382D">
        <w:rPr>
          <w:b/>
          <w:lang w:val="es-UY"/>
        </w:rPr>
        <w:t>L</w:t>
      </w:r>
      <w:r>
        <w:rPr>
          <w:b/>
          <w:lang w:val="es-UY"/>
        </w:rPr>
        <w:t>A</w:t>
      </w:r>
      <w:r w:rsidRPr="00E9382D">
        <w:rPr>
          <w:b/>
          <w:lang w:val="es-UY"/>
        </w:rPr>
        <w:t xml:space="preserve"> </w:t>
      </w:r>
      <w:r>
        <w:rPr>
          <w:b/>
          <w:lang w:val="es-UY"/>
        </w:rPr>
        <w:t>MINISTRA             CRA. DIANA MARCOS</w:t>
      </w:r>
      <w:r w:rsidRPr="005C0AC0">
        <w:rPr>
          <w:b/>
          <w:lang w:val="es-UY"/>
        </w:rPr>
        <w:t>:</w:t>
      </w:r>
      <w:r w:rsidRPr="00BD2DD8">
        <w:rPr>
          <w:rFonts w:asciiTheme="minorHAnsi" w:eastAsiaTheme="minorHAnsi" w:hAnsiTheme="minorHAnsi" w:cstheme="minorBidi"/>
          <w:sz w:val="22"/>
          <w:szCs w:val="22"/>
          <w:lang w:eastAsia="en-US"/>
        </w:rPr>
        <w:t xml:space="preserve"> </w:t>
      </w:r>
      <w:r>
        <w:rPr>
          <w:rFonts w:asciiTheme="minorHAnsi" w:eastAsiaTheme="minorHAnsi" w:hAnsiTheme="minorHAnsi" w:cstheme="minorBidi"/>
          <w:sz w:val="22"/>
          <w:szCs w:val="22"/>
          <w:lang w:eastAsia="en-US"/>
        </w:rPr>
        <w:t>“</w:t>
      </w:r>
      <w:r w:rsidRPr="00BD2DD8">
        <w:rPr>
          <w:rFonts w:eastAsiaTheme="minorHAnsi"/>
          <w:lang w:eastAsia="en-US"/>
        </w:rPr>
        <w:t>Fundamento mi voto discorde por haber votado negativamente el procedimiento original, relacionado con los  Contratos  de compraventa de energía, convenio de uso de red y contrato de obras a suscribir en el Marco del Memorándum de Entendimiento celebrado entre el MIEM y  UPM PULP OY</w:t>
      </w:r>
      <w:r>
        <w:rPr>
          <w:rFonts w:eastAsiaTheme="minorHAnsi"/>
          <w:lang w:eastAsia="en-US"/>
        </w:rPr>
        <w:t>”.</w:t>
      </w:r>
    </w:p>
    <w:p w:rsidR="00BD2DD8" w:rsidRDefault="00BD2DD8" w:rsidP="00BD2DD8">
      <w:pPr>
        <w:spacing w:line="360" w:lineRule="auto"/>
        <w:jc w:val="both"/>
        <w:rPr>
          <w:rFonts w:eastAsiaTheme="minorHAnsi"/>
          <w:lang w:eastAsia="en-US"/>
        </w:rPr>
      </w:pPr>
    </w:p>
    <w:p w:rsidR="00BD2DD8" w:rsidRPr="00BD2DD8" w:rsidRDefault="00BD2DD8" w:rsidP="00BD2DD8">
      <w:pPr>
        <w:spacing w:line="360" w:lineRule="auto"/>
        <w:jc w:val="both"/>
        <w:rPr>
          <w:rFonts w:eastAsiaTheme="minorHAnsi"/>
          <w:lang w:eastAsia="en-US"/>
        </w:rPr>
      </w:pPr>
      <w:r w:rsidRPr="00E9382D">
        <w:rPr>
          <w:b/>
          <w:lang w:val="es-UY"/>
        </w:rPr>
        <w:lastRenderedPageBreak/>
        <w:t>CON</w:t>
      </w:r>
      <w:r>
        <w:rPr>
          <w:b/>
          <w:lang w:val="es-UY"/>
        </w:rPr>
        <w:t>S</w:t>
      </w:r>
      <w:r w:rsidRPr="00E9382D">
        <w:rPr>
          <w:b/>
          <w:lang w:val="es-UY"/>
        </w:rPr>
        <w:t xml:space="preserve">TANCIA DE FUNDAMENTO DE VOTO </w:t>
      </w:r>
      <w:r>
        <w:rPr>
          <w:b/>
          <w:lang w:val="es-UY"/>
        </w:rPr>
        <w:t>DISCORDE</w:t>
      </w:r>
      <w:r w:rsidRPr="00E9382D">
        <w:rPr>
          <w:b/>
          <w:lang w:val="es-UY"/>
        </w:rPr>
        <w:t xml:space="preserve"> DEL </w:t>
      </w:r>
      <w:r w:rsidRPr="00837E21">
        <w:rPr>
          <w:b/>
          <w:lang w:val="es-UY"/>
        </w:rPr>
        <w:t xml:space="preserve">MINISTRO </w:t>
      </w:r>
      <w:r>
        <w:rPr>
          <w:b/>
          <w:lang w:val="es-UY"/>
        </w:rPr>
        <w:t>LEON LEV</w:t>
      </w:r>
      <w:r w:rsidRPr="005C0AC0">
        <w:rPr>
          <w:b/>
          <w:lang w:val="es-UY"/>
        </w:rPr>
        <w:t>:</w:t>
      </w:r>
      <w:r>
        <w:rPr>
          <w:lang w:val="es-UY"/>
        </w:rPr>
        <w:t xml:space="preserve"> “</w:t>
      </w:r>
      <w:r w:rsidRPr="00BD2DD8">
        <w:rPr>
          <w:rFonts w:eastAsiaTheme="minorHAnsi"/>
          <w:lang w:eastAsia="en-US"/>
        </w:rPr>
        <w:t>Fundamento mi voto discorde por haber votado negativamente el procedimiento original,  en donde está fundamentado mi voto negativo en relación  a  los  Contratos  de compraventa de energía, convenio de uso de red y contrato de obras a suscribir en el Marco del Memorándum de Entendimiento celebrado entre el MIEM y  UPM PULP OY</w:t>
      </w:r>
      <w:r>
        <w:rPr>
          <w:rFonts w:eastAsiaTheme="minorHAnsi"/>
          <w:lang w:eastAsia="en-US"/>
        </w:rPr>
        <w:t>”</w:t>
      </w:r>
    </w:p>
    <w:p w:rsidR="00BD2DD8" w:rsidRPr="00BD2DD8" w:rsidRDefault="00BD2DD8" w:rsidP="00D71A3A">
      <w:pPr>
        <w:spacing w:line="360" w:lineRule="auto"/>
        <w:jc w:val="both"/>
        <w:rPr>
          <w:lang w:val="es-UY"/>
        </w:rPr>
      </w:pPr>
    </w:p>
    <w:p w:rsidR="00BD2DD8" w:rsidRPr="00FB4277" w:rsidRDefault="00BD2DD8" w:rsidP="00FB4277">
      <w:pPr>
        <w:spacing w:line="360" w:lineRule="auto"/>
        <w:rPr>
          <w:lang w:val="es-UY"/>
        </w:rPr>
      </w:pPr>
      <w:bookmarkStart w:id="0" w:name="_GoBack"/>
      <w:bookmarkEnd w:id="0"/>
    </w:p>
    <w:p w:rsidR="00BD2DD8" w:rsidRPr="00FB4277" w:rsidRDefault="00BD2DD8" w:rsidP="00FB4277">
      <w:pPr>
        <w:spacing w:line="360" w:lineRule="auto"/>
        <w:rPr>
          <w:lang w:val="es-UY"/>
        </w:rPr>
      </w:pPr>
      <w:r w:rsidRPr="00FB4277">
        <w:rPr>
          <w:lang w:val="es-UY"/>
        </w:rPr>
        <w:t xml:space="preserve">        </w:t>
      </w:r>
    </w:p>
    <w:p w:rsidR="00BD2DD8" w:rsidRPr="006A2B03" w:rsidRDefault="00BD2DD8" w:rsidP="006A2B03">
      <w:pPr>
        <w:rPr>
          <w:lang w:val="es-UY"/>
        </w:rPr>
      </w:pPr>
    </w:p>
    <w:p w:rsidR="00BD2DD8" w:rsidRDefault="00BD2DD8" w:rsidP="00EB67E9">
      <w:pPr>
        <w:spacing w:line="360" w:lineRule="auto"/>
        <w:ind w:left="284" w:hanging="284"/>
        <w:rPr>
          <w:rFonts w:cs="Times New Roman"/>
          <w:spacing w:val="-3"/>
          <w:lang w:val="es-ES_tradnl"/>
        </w:rPr>
      </w:pPr>
    </w:p>
    <w:p w:rsidR="00BF4298" w:rsidRDefault="00BF4298"/>
    <w:p w:rsidR="00EB67E9" w:rsidRDefault="00EB67E9"/>
    <w:p w:rsidR="00EB67E9" w:rsidRDefault="00EB67E9"/>
    <w:p w:rsidR="00EB67E9" w:rsidRDefault="00EB67E9" w:rsidP="00EB67E9">
      <w:pPr>
        <w:ind w:hanging="284"/>
      </w:pPr>
      <w:proofErr w:type="gramStart"/>
      <w:r>
        <w:t>dc</w:t>
      </w:r>
      <w:proofErr w:type="gramEnd"/>
    </w:p>
    <w:sectPr w:rsidR="00EB67E9" w:rsidSect="00BD2DD8">
      <w:footerReference w:type="default" r:id="rId8"/>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E9" w:rsidRDefault="00EB67E9" w:rsidP="00EB67E9">
      <w:r>
        <w:separator/>
      </w:r>
    </w:p>
  </w:endnote>
  <w:endnote w:type="continuationSeparator" w:id="0">
    <w:p w:rsidR="00EB67E9" w:rsidRDefault="00EB67E9" w:rsidP="00EB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4269277"/>
      <w:docPartObj>
        <w:docPartGallery w:val="Page Numbers (Bottom of Page)"/>
        <w:docPartUnique/>
      </w:docPartObj>
    </w:sdtPr>
    <w:sdtContent>
      <w:p w:rsidR="00EB67E9" w:rsidRDefault="00EB67E9">
        <w:pPr>
          <w:pStyle w:val="Piedepgina"/>
          <w:jc w:val="center"/>
        </w:pPr>
        <w:r>
          <w:fldChar w:fldCharType="begin"/>
        </w:r>
        <w:r>
          <w:instrText>PAGE   \* MERGEFORMAT</w:instrText>
        </w:r>
        <w:r>
          <w:fldChar w:fldCharType="separate"/>
        </w:r>
        <w:r w:rsidR="00BD2DD8">
          <w:rPr>
            <w:noProof/>
          </w:rPr>
          <w:t>4</w:t>
        </w:r>
        <w:r>
          <w:fldChar w:fldCharType="end"/>
        </w:r>
      </w:p>
    </w:sdtContent>
  </w:sdt>
  <w:p w:rsidR="00EB67E9" w:rsidRDefault="00EB67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E9" w:rsidRDefault="00EB67E9" w:rsidP="00EB67E9">
      <w:r>
        <w:separator/>
      </w:r>
    </w:p>
  </w:footnote>
  <w:footnote w:type="continuationSeparator" w:id="0">
    <w:p w:rsidR="00EB67E9" w:rsidRDefault="00EB67E9" w:rsidP="00EB6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7E9"/>
    <w:rsid w:val="00BD2DD8"/>
    <w:rsid w:val="00BF4298"/>
    <w:rsid w:val="00EB67E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E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BD2DD8"/>
    <w:pPr>
      <w:keepNext/>
      <w:spacing w:line="360" w:lineRule="auto"/>
      <w:jc w:val="both"/>
      <w:outlineLvl w:val="0"/>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7E9"/>
    <w:pPr>
      <w:tabs>
        <w:tab w:val="center" w:pos="4252"/>
        <w:tab w:val="right" w:pos="8504"/>
      </w:tabs>
    </w:pPr>
  </w:style>
  <w:style w:type="character" w:customStyle="1" w:styleId="EncabezadoCar">
    <w:name w:val="Encabezado Car"/>
    <w:basedOn w:val="Fuentedeprrafopredeter"/>
    <w:link w:val="Encabezado"/>
    <w:uiPriority w:val="99"/>
    <w:rsid w:val="00EB67E9"/>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B67E9"/>
    <w:pPr>
      <w:tabs>
        <w:tab w:val="center" w:pos="4252"/>
        <w:tab w:val="right" w:pos="8504"/>
      </w:tabs>
    </w:pPr>
  </w:style>
  <w:style w:type="character" w:customStyle="1" w:styleId="PiedepginaCar">
    <w:name w:val="Pie de página Car"/>
    <w:basedOn w:val="Fuentedeprrafopredeter"/>
    <w:link w:val="Piedepgina"/>
    <w:uiPriority w:val="99"/>
    <w:rsid w:val="00EB67E9"/>
    <w:rPr>
      <w:rFonts w:ascii="Arial" w:eastAsia="Times New Roman" w:hAnsi="Arial" w:cs="Arial"/>
      <w:sz w:val="24"/>
      <w:szCs w:val="24"/>
      <w:lang w:val="es-ES" w:eastAsia="es-ES"/>
    </w:rPr>
  </w:style>
  <w:style w:type="character" w:customStyle="1" w:styleId="Ttulo1Car">
    <w:name w:val="Título 1 Car"/>
    <w:basedOn w:val="Fuentedeprrafopredeter"/>
    <w:link w:val="Ttulo1"/>
    <w:rsid w:val="00BD2DD8"/>
    <w:rPr>
      <w:rFonts w:ascii="Arial" w:eastAsia="Times New Roman" w:hAnsi="Arial" w:cs="Arial"/>
      <w:b/>
      <w:sz w:val="24"/>
      <w:szCs w:val="20"/>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7E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qFormat/>
    <w:rsid w:val="00BD2DD8"/>
    <w:pPr>
      <w:keepNext/>
      <w:spacing w:line="360" w:lineRule="auto"/>
      <w:jc w:val="both"/>
      <w:outlineLvl w:val="0"/>
    </w:pPr>
    <w:rPr>
      <w:b/>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67E9"/>
    <w:pPr>
      <w:tabs>
        <w:tab w:val="center" w:pos="4252"/>
        <w:tab w:val="right" w:pos="8504"/>
      </w:tabs>
    </w:pPr>
  </w:style>
  <w:style w:type="character" w:customStyle="1" w:styleId="EncabezadoCar">
    <w:name w:val="Encabezado Car"/>
    <w:basedOn w:val="Fuentedeprrafopredeter"/>
    <w:link w:val="Encabezado"/>
    <w:uiPriority w:val="99"/>
    <w:rsid w:val="00EB67E9"/>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B67E9"/>
    <w:pPr>
      <w:tabs>
        <w:tab w:val="center" w:pos="4252"/>
        <w:tab w:val="right" w:pos="8504"/>
      </w:tabs>
    </w:pPr>
  </w:style>
  <w:style w:type="character" w:customStyle="1" w:styleId="PiedepginaCar">
    <w:name w:val="Pie de página Car"/>
    <w:basedOn w:val="Fuentedeprrafopredeter"/>
    <w:link w:val="Piedepgina"/>
    <w:uiPriority w:val="99"/>
    <w:rsid w:val="00EB67E9"/>
    <w:rPr>
      <w:rFonts w:ascii="Arial" w:eastAsia="Times New Roman" w:hAnsi="Arial" w:cs="Arial"/>
      <w:sz w:val="24"/>
      <w:szCs w:val="24"/>
      <w:lang w:val="es-ES" w:eastAsia="es-ES"/>
    </w:rPr>
  </w:style>
  <w:style w:type="character" w:customStyle="1" w:styleId="Ttulo1Car">
    <w:name w:val="Título 1 Car"/>
    <w:basedOn w:val="Fuentedeprrafopredeter"/>
    <w:link w:val="Ttulo1"/>
    <w:rsid w:val="00BD2DD8"/>
    <w:rPr>
      <w:rFonts w:ascii="Arial" w:eastAsia="Times New Roman" w:hAnsi="Arial" w:cs="Arial"/>
      <w:b/>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57E9-B288-4A4F-97CE-D0CE974F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791</Words>
  <Characters>4354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2018-09-19T18:26:00Z</cp:lastPrinted>
  <dcterms:created xsi:type="dcterms:W3CDTF">2018-09-19T18:16:00Z</dcterms:created>
  <dcterms:modified xsi:type="dcterms:W3CDTF">2018-09-19T18:26:00Z</dcterms:modified>
</cp:coreProperties>
</file>