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FF" w:rsidRDefault="00B331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331FF" w:rsidRDefault="00B331F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331FF" w:rsidRDefault="00B331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331FF" w:rsidRDefault="00B331F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331FF" w:rsidRDefault="00B331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8 DE MAYO DE 2013</w:t>
      </w:r>
    </w:p>
    <w:p w:rsidR="00B331FF" w:rsidRDefault="00B331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331FF" w:rsidRDefault="00B331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(E.E. Nº 2012-17-1-0000708, E.</w:t>
      </w:r>
      <w:r w:rsidR="00066E84">
        <w:rPr>
          <w:rFonts w:ascii="Helvetica" w:hAnsi="Helvetica"/>
          <w:b/>
          <w:lang w:val="es-ES_tradnl"/>
        </w:rPr>
        <w:t xml:space="preserve"> </w:t>
      </w:r>
      <w:r>
        <w:rPr>
          <w:rFonts w:ascii="Helvetica" w:hAnsi="Helvetica"/>
          <w:b/>
          <w:lang w:val="es-ES_tradnl"/>
        </w:rPr>
        <w:t>i. Nº272/13)</w:t>
      </w:r>
    </w:p>
    <w:p w:rsidR="00B331FF" w:rsidRDefault="00B331FF">
      <w:pPr>
        <w:tabs>
          <w:tab w:val="center" w:pos="4253"/>
        </w:tabs>
        <w:suppressAutoHyphens/>
        <w:jc w:val="center"/>
        <w:rPr>
          <w:spacing w:val="-3"/>
          <w:lang w:val="es-ES_tradnl"/>
        </w:rPr>
      </w:pPr>
    </w:p>
    <w:p w:rsidR="00B331FF" w:rsidRDefault="00B331FF">
      <w:pPr>
        <w:tabs>
          <w:tab w:val="center" w:pos="4253"/>
        </w:tabs>
        <w:suppressAutoHyphens/>
        <w:rPr>
          <w:spacing w:val="-3"/>
          <w:lang w:val="es-ES_tradnl"/>
        </w:rPr>
      </w:pPr>
    </w:p>
    <w:p w:rsidR="00B331FF" w:rsidRDefault="00B331FF" w:rsidP="00B331FF">
      <w:pPr>
        <w:spacing w:line="360" w:lineRule="auto"/>
        <w:ind w:firstLine="851"/>
        <w:jc w:val="both"/>
      </w:pPr>
      <w:r>
        <w:rPr>
          <w:b/>
          <w:bCs/>
        </w:rPr>
        <w:t>“VISTO</w:t>
      </w:r>
      <w:r w:rsidRPr="00B25692">
        <w:rPr>
          <w:b/>
        </w:rPr>
        <w:t>:</w:t>
      </w:r>
      <w:r>
        <w:t xml:space="preserve"> estas actuaciones remitidas por el Ministerio de Transporte y Obras Públicas (MTOP), relacionadas</w:t>
      </w:r>
      <w:r>
        <w:rPr>
          <w:rFonts w:cs="Arial"/>
        </w:rPr>
        <w:t xml:space="preserve"> con el Convenio suscrito con </w:t>
      </w:r>
      <w:smartTag w:uri="urn:schemas-microsoft-com:office:smarttags" w:element="PersonName">
        <w:smartTagPr>
          <w:attr w:name="ProductID" w:val="la Asociación"/>
        </w:smartTagPr>
        <w:r>
          <w:rPr>
            <w:rFonts w:cs="Arial"/>
          </w:rPr>
          <w:t>la Asociación</w:t>
        </w:r>
      </w:smartTag>
      <w:r>
        <w:rPr>
          <w:rFonts w:cs="Arial"/>
        </w:rPr>
        <w:t xml:space="preserve"> de Funcionarios y Empleados del Ministerio </w:t>
      </w:r>
      <w:r>
        <w:t>de Transporte y Obras Públicas (AFEMTOP)</w:t>
      </w:r>
      <w:r>
        <w:rPr>
          <w:rFonts w:cs="Arial"/>
        </w:rPr>
        <w:t>;</w:t>
      </w:r>
    </w:p>
    <w:p w:rsidR="00B331FF" w:rsidRDefault="00B331FF" w:rsidP="00B331FF">
      <w:pPr>
        <w:pStyle w:val="Textoindependiente"/>
        <w:spacing w:line="360" w:lineRule="auto"/>
        <w:ind w:firstLine="851"/>
      </w:pPr>
      <w:r>
        <w:rPr>
          <w:rFonts w:cs="Arial"/>
          <w:b/>
          <w:bCs/>
        </w:rPr>
        <w:t xml:space="preserve">RESULTANDO: 1) </w:t>
      </w:r>
      <w:r>
        <w:rPr>
          <w:rFonts w:cs="Arial"/>
          <w:bCs/>
        </w:rPr>
        <w:t>que en el marco de lo previsto en el Artículo 469 de la Ley Nº 18.719,</w:t>
      </w:r>
      <w:r>
        <w:rPr>
          <w:rFonts w:cs="Arial"/>
          <w:b/>
          <w:bCs/>
        </w:rPr>
        <w:t xml:space="preserve"> </w:t>
      </w:r>
      <w:r>
        <w:t xml:space="preserve">con fecha 1 de setiembre de 2011, el MTOP suscribió con la AFEMTOP, un Convenio por el cual </w:t>
      </w:r>
      <w:r w:rsidR="00022B7E">
        <w:t>e</w:t>
      </w:r>
      <w:r>
        <w:t xml:space="preserve">sta última recibió en comodato por el plazo de cuatro años, contados a partir del día siguiente a la fecha de la firma del convenio, los centros vacacionales del Ministerio ubicados en La Paloma, La Coronilla, Canelón Grande y </w:t>
      </w:r>
      <w:proofErr w:type="spellStart"/>
      <w:r>
        <w:t>Pir</w:t>
      </w:r>
      <w:r w:rsidR="00733F66">
        <w:t>iá</w:t>
      </w:r>
      <w:r>
        <w:t>p</w:t>
      </w:r>
      <w:r w:rsidR="00733F66">
        <w:t>o</w:t>
      </w:r>
      <w:r>
        <w:t>lis</w:t>
      </w:r>
      <w:proofErr w:type="spellEnd"/>
      <w:r>
        <w:t xml:space="preserve">, así como los bienes muebles y útiles existentes o que ingresen, detallados en el inventario realizado que se adjunta; </w:t>
      </w:r>
    </w:p>
    <w:p w:rsidR="00B331FF" w:rsidRDefault="00B25692" w:rsidP="00B25692">
      <w:pPr>
        <w:tabs>
          <w:tab w:val="left" w:pos="1800"/>
        </w:tabs>
        <w:spacing w:line="360" w:lineRule="auto"/>
        <w:ind w:firstLine="2694"/>
        <w:jc w:val="both"/>
        <w:rPr>
          <w:rFonts w:cs="Arial"/>
        </w:rPr>
      </w:pPr>
      <w:r>
        <w:rPr>
          <w:b/>
          <w:bCs/>
        </w:rPr>
        <w:t xml:space="preserve"> </w:t>
      </w:r>
      <w:r w:rsidR="00B331FF">
        <w:rPr>
          <w:b/>
          <w:bCs/>
        </w:rPr>
        <w:t>2)</w:t>
      </w:r>
      <w:r w:rsidR="00B331FF">
        <w:t xml:space="preserve"> que en el mismo acto se otorgó a AFEMTOP la concesión de la explotación de los servicios vacacionales referidos con “carácter gratuito y sin fines de lucro”, acordándose como contraprestación el derecho de la Administración a utilizar sin costo, por sí y directamente las instalaciones de los mismos, para cubrir las necesidades de las comisiones de servicio del Ministerio, otorgándosele prioridad, y se reglamenta el uso de las instalaciones aludidas;</w:t>
      </w:r>
    </w:p>
    <w:p w:rsidR="00B331FF" w:rsidRDefault="00B25692" w:rsidP="00B25692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 xml:space="preserve"> </w:t>
      </w:r>
      <w:r w:rsidR="00B331FF">
        <w:rPr>
          <w:rFonts w:cs="Arial"/>
          <w:b/>
          <w:bCs/>
        </w:rPr>
        <w:t xml:space="preserve">3) </w:t>
      </w:r>
      <w:r w:rsidR="00B331FF">
        <w:rPr>
          <w:rFonts w:cs="Arial"/>
        </w:rPr>
        <w:t>que este Tribunal, en Sesión de fecha 17 de octubre de 2012, observó el Convenio de referencia, en virtud de que el MTOP se comprometió a abonar los servicios de luz, agua y teléfono</w:t>
      </w:r>
      <w:r w:rsidR="00B331FF" w:rsidRPr="00904292">
        <w:rPr>
          <w:rFonts w:cs="Arial"/>
        </w:rPr>
        <w:t xml:space="preserve"> </w:t>
      </w:r>
      <w:r w:rsidR="00B331FF">
        <w:rPr>
          <w:rFonts w:cs="Arial"/>
        </w:rPr>
        <w:t xml:space="preserve">y a asignar funcionarios a dicha actividad, lo que no encuadra en las previsiones legales; así como en el hecho de que el MTOP contrató en dicho momento con una </w:t>
      </w:r>
      <w:r w:rsidR="00B331FF">
        <w:rPr>
          <w:rFonts w:cs="Arial"/>
        </w:rPr>
        <w:lastRenderedPageBreak/>
        <w:t>asociación sin personería jurídica; y el convenio fue remitido a intervención cuando ya había comenzado a ejecutarse;</w:t>
      </w:r>
    </w:p>
    <w:p w:rsidR="00B331FF" w:rsidRDefault="00B25692" w:rsidP="00B25692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 xml:space="preserve"> </w:t>
      </w:r>
      <w:r w:rsidR="00B331FF">
        <w:rPr>
          <w:rFonts w:cs="Arial"/>
          <w:b/>
          <w:bCs/>
        </w:rPr>
        <w:t xml:space="preserve">4) </w:t>
      </w:r>
      <w:r w:rsidR="00B331FF">
        <w:rPr>
          <w:rFonts w:cs="Arial"/>
        </w:rPr>
        <w:t>que por Resolución del Poder Ejecutivo de fecha 4 de marzo de 2013, se aprobó el Convenio suscrito, insistiéndose en el gasto derivado del mismo</w:t>
      </w:r>
      <w:r w:rsidR="0035652B">
        <w:rPr>
          <w:rFonts w:cs="Arial"/>
        </w:rPr>
        <w:t>, en virtud del alto contenido social que ello implica y que involucra tanto a los funcionarios de ese Ministerio como a sus familiares directos</w:t>
      </w:r>
      <w:r w:rsidR="00B331FF">
        <w:rPr>
          <w:rFonts w:cs="Arial"/>
        </w:rPr>
        <w:t>;</w:t>
      </w:r>
    </w:p>
    <w:p w:rsidR="00B331FF" w:rsidRDefault="00B331FF" w:rsidP="00B331FF">
      <w:pPr>
        <w:pStyle w:val="Sangradetextonormal"/>
        <w:ind w:firstLine="851"/>
        <w:rPr>
          <w:lang w:val="es-MX"/>
        </w:rPr>
      </w:pPr>
      <w:r>
        <w:rPr>
          <w:b/>
          <w:bCs/>
        </w:rPr>
        <w:t xml:space="preserve">CONSIDERANDO: </w:t>
      </w:r>
      <w:r>
        <w:rPr>
          <w:b/>
          <w:bCs/>
          <w:lang w:val="es-MX"/>
        </w:rPr>
        <w:t xml:space="preserve">1) </w:t>
      </w:r>
      <w:r>
        <w:rPr>
          <w:lang w:val="es-MX"/>
        </w:rPr>
        <w:t xml:space="preserve">que el Artículo 475 de </w:t>
      </w:r>
      <w:smartTag w:uri="urn:schemas-microsoft-com:office:smarttags" w:element="PersonName">
        <w:smartTagPr>
          <w:attr w:name="ProductID" w:val="la Ley"/>
        </w:smartTagPr>
        <w:r>
          <w:rPr>
            <w:lang w:val="es-MX"/>
          </w:rPr>
          <w:t>la Ley</w:t>
        </w:r>
      </w:smartTag>
      <w:r>
        <w:rPr>
          <w:lang w:val="es-MX"/>
        </w:rPr>
        <w:t xml:space="preserve"> Nº 17.296, establece que los Ordenadores de gastos o pagos, al ejercer la facultad de insistencia o reiteración que les acuerda el Artículo 211 Literal B) de </w:t>
      </w:r>
      <w:smartTag w:uri="urn:schemas-microsoft-com:office:smarttags" w:element="PersonName">
        <w:smartTagPr>
          <w:attr w:name="ProductID" w:val="la Constitución"/>
        </w:smartTagPr>
        <w:r>
          <w:rPr>
            <w:lang w:val="es-MX"/>
          </w:rPr>
          <w:t>la Constitución</w:t>
        </w:r>
      </w:smartTag>
      <w:r>
        <w:rPr>
          <w:lang w:val="es-MX"/>
        </w:rPr>
        <w:t xml:space="preserve"> de </w:t>
      </w:r>
      <w:smartTag w:uri="urn:schemas-microsoft-com:office:smarttags" w:element="PersonName">
        <w:smartTagPr>
          <w:attr w:name="ProductID" w:val="la República"/>
        </w:smartTagPr>
        <w:r>
          <w:rPr>
            <w:lang w:val="es-MX"/>
          </w:rPr>
          <w:t>la República</w:t>
        </w:r>
      </w:smartTag>
      <w:r>
        <w:rPr>
          <w:lang w:val="es-MX"/>
        </w:rPr>
        <w:t>, deben hacerlo en forma fundada, detallando los motivos que a su juicio justifican seguir el curso del gasto o pago;</w:t>
      </w:r>
    </w:p>
    <w:p w:rsidR="00B331FF" w:rsidRDefault="00B331FF" w:rsidP="00B25692">
      <w:pPr>
        <w:spacing w:line="360" w:lineRule="auto"/>
        <w:ind w:firstLine="3119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 los motivos alegados para proceder a</w:t>
      </w:r>
      <w:r>
        <w:rPr>
          <w:b/>
        </w:rPr>
        <w:t xml:space="preserve"> </w:t>
      </w:r>
      <w:r>
        <w:rPr>
          <w:bCs/>
        </w:rPr>
        <w:t>la reiteración no modifican los fundamentos expuestos en la Resolución de este Tribunal, de fecha 17 de octubre de 2012;</w:t>
      </w:r>
    </w:p>
    <w:p w:rsidR="00B331FF" w:rsidRDefault="00B331FF" w:rsidP="00B331FF">
      <w:pPr>
        <w:spacing w:line="360" w:lineRule="auto"/>
        <w:ind w:firstLine="851"/>
        <w:jc w:val="both"/>
      </w:pPr>
      <w:r>
        <w:rPr>
          <w:b/>
        </w:rPr>
        <w:t xml:space="preserve">ATENTO: </w:t>
      </w:r>
      <w:r>
        <w:t xml:space="preserve">a lo precedentemente expuesto y a lo que dispone el Artículo 211 Literal B) de </w:t>
      </w:r>
      <w:smartTag w:uri="urn:schemas-microsoft-com:office:smarttags" w:element="PersonName">
        <w:smartTagPr>
          <w:attr w:name="ProductID" w:val="la Constitución"/>
        </w:smartTagPr>
        <w:r>
          <w:t>la Constitución</w:t>
        </w:r>
      </w:smartTag>
      <w:r>
        <w:t xml:space="preserve"> de </w:t>
      </w:r>
      <w:smartTag w:uri="urn:schemas-microsoft-com:office:smarttags" w:element="PersonName">
        <w:smartTagPr>
          <w:attr w:name="ProductID" w:val="la República"/>
        </w:smartTagPr>
        <w:r>
          <w:t>la República</w:t>
        </w:r>
      </w:smartTag>
      <w:r>
        <w:t>;</w:t>
      </w:r>
    </w:p>
    <w:p w:rsidR="00B331FF" w:rsidRDefault="00B331FF" w:rsidP="00B331FF">
      <w:pPr>
        <w:pStyle w:val="Ttulo2"/>
        <w:jc w:val="center"/>
      </w:pPr>
      <w:r>
        <w:t>EL TRIBUNAL ACUERDA</w:t>
      </w:r>
    </w:p>
    <w:p w:rsidR="00B331FF" w:rsidRDefault="00B331FF" w:rsidP="00B331FF">
      <w:pPr>
        <w:pStyle w:val="Ttulo2"/>
        <w:numPr>
          <w:ilvl w:val="0"/>
          <w:numId w:val="1"/>
        </w:numPr>
        <w:tabs>
          <w:tab w:val="clear" w:pos="420"/>
          <w:tab w:val="num" w:pos="142"/>
          <w:tab w:val="left" w:pos="284"/>
        </w:tabs>
        <w:ind w:left="284" w:hanging="284"/>
        <w:rPr>
          <w:b w:val="0"/>
          <w:bCs w:val="0"/>
        </w:rPr>
      </w:pPr>
      <w:r>
        <w:rPr>
          <w:b w:val="0"/>
          <w:bCs w:val="0"/>
          <w:lang w:val="es-MX"/>
        </w:rPr>
        <w:t>Mantener la observación formulada con fecha</w:t>
      </w:r>
      <w:r>
        <w:rPr>
          <w:b w:val="0"/>
          <w:bCs w:val="0"/>
        </w:rPr>
        <w:t xml:space="preserve"> 17 de octubre de 2012;</w:t>
      </w:r>
    </w:p>
    <w:p w:rsidR="00B331FF" w:rsidRDefault="00B331FF" w:rsidP="00B331FF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</w:pPr>
      <w:r>
        <w:t xml:space="preserve">Comunicar al Poder Ejecutivo y a la Contadora Delegada; </w:t>
      </w:r>
    </w:p>
    <w:p w:rsidR="00733F66" w:rsidRDefault="00B331FF" w:rsidP="00066E84">
      <w:pPr>
        <w:pStyle w:val="Prrafodelista"/>
        <w:numPr>
          <w:ilvl w:val="0"/>
          <w:numId w:val="1"/>
        </w:numPr>
        <w:tabs>
          <w:tab w:val="clear" w:pos="420"/>
          <w:tab w:val="num" w:pos="284"/>
        </w:tabs>
        <w:ind w:hanging="420"/>
      </w:pPr>
      <w:r w:rsidRPr="00066E84">
        <w:rPr>
          <w:bCs/>
          <w:lang w:val="es-MX"/>
        </w:rPr>
        <w:t>Dar cuenta a la Asamblea General</w:t>
      </w:r>
      <w:r w:rsidR="0035652B" w:rsidRPr="00066E84">
        <w:rPr>
          <w:bCs/>
          <w:lang w:val="es-MX"/>
        </w:rPr>
        <w:t>.”</w:t>
      </w:r>
    </w:p>
    <w:sectPr w:rsidR="00733F66" w:rsidSect="004756B7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7395"/>
    <w:multiLevelType w:val="hybridMultilevel"/>
    <w:tmpl w:val="7C72A886"/>
    <w:lvl w:ilvl="0" w:tplc="122EF5C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FF"/>
    <w:rsid w:val="00022B7E"/>
    <w:rsid w:val="00066E84"/>
    <w:rsid w:val="0035652B"/>
    <w:rsid w:val="004756B7"/>
    <w:rsid w:val="00480598"/>
    <w:rsid w:val="0060456D"/>
    <w:rsid w:val="00733F66"/>
    <w:rsid w:val="009C7035"/>
    <w:rsid w:val="00B25692"/>
    <w:rsid w:val="00B331FF"/>
    <w:rsid w:val="00BB1248"/>
    <w:rsid w:val="00C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1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331FF"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331FF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331FF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331FF"/>
    <w:rPr>
      <w:rFonts w:ascii="Arial" w:eastAsia="Times New Roman" w:hAnsi="Arial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331FF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B331FF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66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1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331FF"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331FF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331FF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331FF"/>
    <w:rPr>
      <w:rFonts w:ascii="Arial" w:eastAsia="Times New Roman" w:hAnsi="Arial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331FF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B331FF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66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 </cp:lastModifiedBy>
  <cp:revision>7</cp:revision>
  <cp:lastPrinted>2013-05-10T19:45:00Z</cp:lastPrinted>
  <dcterms:created xsi:type="dcterms:W3CDTF">2013-05-10T18:47:00Z</dcterms:created>
  <dcterms:modified xsi:type="dcterms:W3CDTF">2013-05-27T17:41:00Z</dcterms:modified>
</cp:coreProperties>
</file>