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6F" w:rsidRPr="00672B18" w:rsidRDefault="00DB136F" w:rsidP="00786EEB">
      <w:pPr>
        <w:tabs>
          <w:tab w:val="center" w:pos="4253"/>
        </w:tabs>
        <w:suppressAutoHyphens/>
        <w:jc w:val="right"/>
        <w:rPr>
          <w:rFonts w:ascii="Arial" w:hAnsi="Arial" w:cs="Arial"/>
          <w:b/>
          <w:sz w:val="28"/>
          <w:szCs w:val="28"/>
          <w:lang w:val="es-ES_tradnl"/>
        </w:rPr>
      </w:pPr>
      <w:bookmarkStart w:id="0" w:name="_GoBack"/>
      <w:bookmarkEnd w:id="0"/>
      <w:r w:rsidRPr="00672B18">
        <w:rPr>
          <w:rFonts w:ascii="Arial" w:hAnsi="Arial" w:cs="Arial"/>
          <w:b/>
          <w:sz w:val="28"/>
          <w:szCs w:val="28"/>
          <w:lang w:val="es-ES_tradnl"/>
        </w:rPr>
        <w:t>RES. 2929/18</w:t>
      </w:r>
    </w:p>
    <w:p w:rsidR="00DB136F" w:rsidRPr="00772D3D" w:rsidRDefault="00DB136F">
      <w:pPr>
        <w:tabs>
          <w:tab w:val="center" w:pos="4253"/>
        </w:tabs>
        <w:suppressAutoHyphens/>
        <w:jc w:val="center"/>
        <w:rPr>
          <w:rFonts w:ascii="Arial" w:hAnsi="Arial" w:cs="Arial"/>
          <w:b/>
          <w:sz w:val="24"/>
          <w:szCs w:val="24"/>
          <w:lang w:val="es-ES_tradnl"/>
        </w:rPr>
      </w:pPr>
      <w:r w:rsidRPr="00772D3D">
        <w:rPr>
          <w:rFonts w:ascii="Arial" w:hAnsi="Arial" w:cs="Arial"/>
          <w:b/>
          <w:sz w:val="24"/>
          <w:szCs w:val="24"/>
          <w:lang w:val="es-ES_tradnl"/>
        </w:rPr>
        <w:t>RESOLUCION ADOPTADA POR EL</w:t>
      </w:r>
    </w:p>
    <w:p w:rsidR="00DB136F" w:rsidRPr="00772D3D" w:rsidRDefault="00DB136F">
      <w:pPr>
        <w:tabs>
          <w:tab w:val="center" w:pos="4253"/>
        </w:tabs>
        <w:suppressAutoHyphens/>
        <w:jc w:val="center"/>
        <w:rPr>
          <w:rFonts w:ascii="Arial" w:hAnsi="Arial" w:cs="Arial"/>
          <w:b/>
          <w:sz w:val="24"/>
          <w:szCs w:val="24"/>
          <w:lang w:val="es-ES_tradnl"/>
        </w:rPr>
      </w:pPr>
      <w:r w:rsidRPr="00772D3D">
        <w:rPr>
          <w:rFonts w:ascii="Arial" w:hAnsi="Arial" w:cs="Arial"/>
          <w:b/>
          <w:sz w:val="24"/>
          <w:szCs w:val="24"/>
          <w:lang w:val="es-ES_tradnl"/>
        </w:rPr>
        <w:t>TRIBUNAL DE CUENTAS</w:t>
      </w:r>
    </w:p>
    <w:p w:rsidR="00DB136F" w:rsidRPr="00772D3D" w:rsidRDefault="00DB136F">
      <w:pPr>
        <w:tabs>
          <w:tab w:val="center" w:pos="4253"/>
        </w:tabs>
        <w:suppressAutoHyphens/>
        <w:jc w:val="center"/>
        <w:rPr>
          <w:rFonts w:ascii="Arial" w:hAnsi="Arial" w:cs="Arial"/>
          <w:b/>
          <w:sz w:val="24"/>
          <w:szCs w:val="24"/>
          <w:lang w:val="es-ES_tradnl"/>
        </w:rPr>
      </w:pPr>
      <w:r w:rsidRPr="00772D3D">
        <w:rPr>
          <w:rFonts w:ascii="Arial" w:hAnsi="Arial" w:cs="Arial"/>
          <w:b/>
          <w:sz w:val="24"/>
          <w:szCs w:val="24"/>
          <w:lang w:val="es-ES_tradnl"/>
        </w:rPr>
        <w:t>EN SESION DE FECHA 13 DE SETIEMBRE DE 2018</w:t>
      </w:r>
    </w:p>
    <w:p w:rsidR="00DB136F" w:rsidRPr="00772D3D" w:rsidRDefault="00DB136F">
      <w:pPr>
        <w:tabs>
          <w:tab w:val="center" w:pos="4253"/>
        </w:tabs>
        <w:suppressAutoHyphens/>
        <w:jc w:val="center"/>
        <w:rPr>
          <w:rFonts w:ascii="Arial" w:hAnsi="Arial" w:cs="Arial"/>
          <w:b/>
          <w:sz w:val="24"/>
          <w:szCs w:val="24"/>
        </w:rPr>
      </w:pPr>
      <w:r w:rsidRPr="00772D3D">
        <w:rPr>
          <w:rFonts w:ascii="Arial" w:hAnsi="Arial" w:cs="Arial"/>
          <w:b/>
          <w:sz w:val="24"/>
          <w:szCs w:val="24"/>
        </w:rPr>
        <w:t xml:space="preserve">(E. E. Nº 2018-17-1-0004265, </w:t>
      </w:r>
      <w:proofErr w:type="spellStart"/>
      <w:r w:rsidRPr="00772D3D">
        <w:rPr>
          <w:rFonts w:ascii="Arial" w:hAnsi="Arial" w:cs="Arial"/>
          <w:b/>
          <w:sz w:val="24"/>
          <w:szCs w:val="24"/>
        </w:rPr>
        <w:t>Ent</w:t>
      </w:r>
      <w:proofErr w:type="spellEnd"/>
      <w:r w:rsidRPr="00772D3D">
        <w:rPr>
          <w:rFonts w:ascii="Arial" w:hAnsi="Arial" w:cs="Arial"/>
          <w:b/>
          <w:sz w:val="24"/>
          <w:szCs w:val="24"/>
        </w:rPr>
        <w:t xml:space="preserve">. N° </w:t>
      </w:r>
      <w:r w:rsidR="007E7489" w:rsidRPr="00772D3D">
        <w:rPr>
          <w:rFonts w:ascii="Arial" w:hAnsi="Arial" w:cs="Arial"/>
          <w:b/>
          <w:sz w:val="24"/>
          <w:szCs w:val="24"/>
        </w:rPr>
        <w:t>3146</w:t>
      </w:r>
      <w:r w:rsidRPr="00772D3D">
        <w:rPr>
          <w:rFonts w:ascii="Arial" w:hAnsi="Arial" w:cs="Arial"/>
          <w:b/>
          <w:sz w:val="24"/>
          <w:szCs w:val="24"/>
        </w:rPr>
        <w:t>/18)</w:t>
      </w:r>
    </w:p>
    <w:p w:rsidR="00DB136F" w:rsidRPr="00772D3D" w:rsidRDefault="00DB136F" w:rsidP="001274D3">
      <w:pPr>
        <w:spacing w:after="0" w:line="360" w:lineRule="auto"/>
        <w:ind w:firstLine="708"/>
        <w:jc w:val="both"/>
        <w:rPr>
          <w:rFonts w:ascii="Arial" w:hAnsi="Arial" w:cs="Arial"/>
          <w:b/>
          <w:sz w:val="24"/>
          <w:szCs w:val="24"/>
          <w:lang w:val="es-ES"/>
        </w:rPr>
      </w:pPr>
    </w:p>
    <w:p w:rsidR="004E017A" w:rsidRPr="00772D3D" w:rsidRDefault="004E017A" w:rsidP="00672B18">
      <w:pPr>
        <w:spacing w:after="0" w:line="360" w:lineRule="auto"/>
        <w:ind w:firstLine="851"/>
        <w:jc w:val="both"/>
        <w:rPr>
          <w:rFonts w:ascii="Arial" w:hAnsi="Arial" w:cs="Arial"/>
          <w:sz w:val="24"/>
          <w:szCs w:val="24"/>
          <w:lang w:val="es-ES"/>
        </w:rPr>
      </w:pPr>
      <w:r w:rsidRPr="00772D3D">
        <w:rPr>
          <w:rFonts w:ascii="Arial" w:hAnsi="Arial" w:cs="Arial"/>
          <w:b/>
          <w:sz w:val="24"/>
          <w:szCs w:val="24"/>
          <w:lang w:val="es-ES"/>
        </w:rPr>
        <w:t xml:space="preserve">VISTO: </w:t>
      </w:r>
      <w:r w:rsidRPr="00772D3D">
        <w:rPr>
          <w:rFonts w:ascii="Arial" w:hAnsi="Arial" w:cs="Arial"/>
          <w:sz w:val="24"/>
          <w:szCs w:val="24"/>
          <w:lang w:val="es-ES"/>
        </w:rPr>
        <w:t xml:space="preserve">la Rendición de Cuentas y Balance de Ejecución Presupuestal de la Junta Departamental de </w:t>
      </w:r>
      <w:r w:rsidR="00D22331" w:rsidRPr="00772D3D">
        <w:rPr>
          <w:rFonts w:ascii="Arial" w:hAnsi="Arial" w:cs="Arial"/>
          <w:sz w:val="24"/>
          <w:szCs w:val="24"/>
          <w:lang w:val="es-ES"/>
        </w:rPr>
        <w:t>Rocha</w:t>
      </w:r>
      <w:r w:rsidRPr="00772D3D">
        <w:rPr>
          <w:rFonts w:ascii="Arial" w:hAnsi="Arial" w:cs="Arial"/>
          <w:sz w:val="24"/>
          <w:szCs w:val="24"/>
          <w:lang w:val="es-ES"/>
        </w:rPr>
        <w:t xml:space="preserve"> correspondiente al </w:t>
      </w:r>
      <w:r w:rsidR="00414A4C" w:rsidRPr="00772D3D">
        <w:rPr>
          <w:rFonts w:ascii="Arial" w:hAnsi="Arial" w:cs="Arial"/>
          <w:sz w:val="24"/>
          <w:szCs w:val="24"/>
          <w:lang w:val="es-ES"/>
        </w:rPr>
        <w:t>e</w:t>
      </w:r>
      <w:r w:rsidRPr="00772D3D">
        <w:rPr>
          <w:rFonts w:ascii="Arial" w:hAnsi="Arial" w:cs="Arial"/>
          <w:sz w:val="24"/>
          <w:szCs w:val="24"/>
          <w:lang w:val="es-ES"/>
        </w:rPr>
        <w:t>jercicio 201</w:t>
      </w:r>
      <w:r w:rsidR="00080F21" w:rsidRPr="00772D3D">
        <w:rPr>
          <w:rFonts w:ascii="Arial" w:hAnsi="Arial" w:cs="Arial"/>
          <w:sz w:val="24"/>
          <w:szCs w:val="24"/>
          <w:lang w:val="es-ES"/>
        </w:rPr>
        <w:t>7</w:t>
      </w:r>
      <w:r w:rsidRPr="00772D3D">
        <w:rPr>
          <w:rFonts w:ascii="Arial" w:hAnsi="Arial" w:cs="Arial"/>
          <w:sz w:val="24"/>
          <w:szCs w:val="24"/>
          <w:lang w:val="es-ES"/>
        </w:rPr>
        <w:t>;</w:t>
      </w:r>
    </w:p>
    <w:p w:rsidR="0033211D" w:rsidRPr="00772D3D" w:rsidRDefault="004E017A" w:rsidP="00672B18">
      <w:pPr>
        <w:spacing w:after="0" w:line="360" w:lineRule="auto"/>
        <w:ind w:firstLine="851"/>
        <w:jc w:val="both"/>
        <w:rPr>
          <w:rFonts w:ascii="Arial" w:hAnsi="Arial" w:cs="Arial"/>
          <w:sz w:val="24"/>
          <w:szCs w:val="24"/>
          <w:lang w:val="es-ES"/>
        </w:rPr>
      </w:pPr>
      <w:r w:rsidRPr="00772D3D">
        <w:rPr>
          <w:rFonts w:ascii="Arial" w:hAnsi="Arial" w:cs="Arial"/>
          <w:b/>
          <w:sz w:val="24"/>
          <w:szCs w:val="24"/>
          <w:lang w:val="es-ES"/>
        </w:rPr>
        <w:t>RESULTANDO:</w:t>
      </w:r>
      <w:r w:rsidRPr="00772D3D">
        <w:rPr>
          <w:rFonts w:ascii="Arial" w:hAnsi="Arial" w:cs="Arial"/>
          <w:sz w:val="24"/>
          <w:szCs w:val="24"/>
          <w:lang w:val="es-ES"/>
        </w:rPr>
        <w:t xml:space="preserve"> que el examen se efectuó de acuerdo con los</w:t>
      </w:r>
      <w:r w:rsidR="00C9376F" w:rsidRPr="00772D3D">
        <w:rPr>
          <w:rFonts w:ascii="Arial" w:hAnsi="Arial" w:cs="Arial"/>
          <w:sz w:val="24"/>
          <w:szCs w:val="24"/>
          <w:lang w:val="es-ES"/>
        </w:rPr>
        <w:t xml:space="preserve"> Principios Fundamentales de Auditoría (ISSAI 100 y 200) y las Directrices de Auditoría Financiera </w:t>
      </w:r>
      <w:r w:rsidR="00385933" w:rsidRPr="00772D3D">
        <w:rPr>
          <w:rFonts w:ascii="Arial" w:hAnsi="Arial" w:cs="Arial"/>
          <w:sz w:val="24"/>
          <w:szCs w:val="24"/>
          <w:lang w:val="es-ES"/>
        </w:rPr>
        <w:t xml:space="preserve">(ISSAI 1000 a 1810) </w:t>
      </w:r>
      <w:r w:rsidR="00C9376F" w:rsidRPr="00772D3D">
        <w:rPr>
          <w:rFonts w:ascii="Arial" w:hAnsi="Arial" w:cs="Arial"/>
          <w:sz w:val="24"/>
          <w:szCs w:val="24"/>
          <w:lang w:val="es-ES"/>
        </w:rPr>
        <w:t>de la Organización Internacional de Entidades Fiscalizadoras Superiores (INTOSAI), habiéndose llevado a cabo los procedimientos considerados necesarios en las circunstancias</w:t>
      </w:r>
      <w:r w:rsidR="0033211D" w:rsidRPr="00772D3D">
        <w:rPr>
          <w:rFonts w:ascii="Arial" w:hAnsi="Arial" w:cs="Arial"/>
          <w:sz w:val="24"/>
          <w:szCs w:val="24"/>
          <w:lang w:val="es-ES"/>
        </w:rPr>
        <w:t>;</w:t>
      </w:r>
    </w:p>
    <w:p w:rsidR="004E017A" w:rsidRPr="00772D3D" w:rsidRDefault="0033211D" w:rsidP="00672B18">
      <w:pPr>
        <w:spacing w:after="0" w:line="360" w:lineRule="auto"/>
        <w:ind w:firstLine="851"/>
        <w:jc w:val="both"/>
        <w:rPr>
          <w:rFonts w:ascii="Arial" w:hAnsi="Arial" w:cs="Arial"/>
          <w:sz w:val="24"/>
          <w:szCs w:val="24"/>
          <w:lang w:val="es-ES"/>
        </w:rPr>
      </w:pPr>
      <w:r w:rsidRPr="00772D3D">
        <w:rPr>
          <w:rFonts w:ascii="Arial" w:hAnsi="Arial" w:cs="Arial"/>
          <w:b/>
          <w:sz w:val="24"/>
          <w:szCs w:val="24"/>
          <w:lang w:val="es-ES"/>
        </w:rPr>
        <w:t>CONSIDERANDO:</w:t>
      </w:r>
      <w:r w:rsidRPr="00772D3D">
        <w:rPr>
          <w:rFonts w:ascii="Arial" w:hAnsi="Arial" w:cs="Arial"/>
          <w:sz w:val="24"/>
          <w:szCs w:val="24"/>
          <w:lang w:val="es-ES"/>
        </w:rPr>
        <w:t xml:space="preserve"> que las conclusiones y evidencias obtenidas son</w:t>
      </w:r>
      <w:r w:rsidR="0052632E" w:rsidRPr="00772D3D">
        <w:rPr>
          <w:rFonts w:ascii="Arial" w:hAnsi="Arial" w:cs="Arial"/>
          <w:sz w:val="24"/>
          <w:szCs w:val="24"/>
          <w:lang w:val="es-ES"/>
        </w:rPr>
        <w:t xml:space="preserve"> </w:t>
      </w:r>
      <w:r w:rsidRPr="00772D3D">
        <w:rPr>
          <w:rFonts w:ascii="Arial" w:hAnsi="Arial" w:cs="Arial"/>
          <w:sz w:val="24"/>
          <w:szCs w:val="24"/>
          <w:lang w:val="es-ES"/>
        </w:rPr>
        <w:t>las que se expresan en el Informe de Auditoría, que incluye Dictamen e Informe a la Administración;</w:t>
      </w:r>
    </w:p>
    <w:p w:rsidR="0033211D" w:rsidRPr="00772D3D" w:rsidRDefault="0033211D" w:rsidP="00672B18">
      <w:pPr>
        <w:spacing w:after="0" w:line="360" w:lineRule="auto"/>
        <w:ind w:firstLine="851"/>
        <w:jc w:val="both"/>
        <w:rPr>
          <w:rFonts w:ascii="Arial" w:hAnsi="Arial" w:cs="Arial"/>
          <w:sz w:val="24"/>
          <w:szCs w:val="24"/>
          <w:lang w:val="es-ES"/>
        </w:rPr>
      </w:pPr>
      <w:r w:rsidRPr="00772D3D">
        <w:rPr>
          <w:rFonts w:ascii="Arial" w:hAnsi="Arial" w:cs="Arial"/>
          <w:b/>
          <w:sz w:val="24"/>
          <w:szCs w:val="24"/>
          <w:lang w:val="es-ES"/>
        </w:rPr>
        <w:t>ATENTO:</w:t>
      </w:r>
      <w:r w:rsidRPr="00772D3D">
        <w:rPr>
          <w:rFonts w:ascii="Arial" w:hAnsi="Arial" w:cs="Arial"/>
          <w:sz w:val="24"/>
          <w:szCs w:val="24"/>
          <w:lang w:val="es-ES"/>
        </w:rPr>
        <w:t xml:space="preserve"> a lo dispuesto por el Artículo 211 Literal C) de la Constitución de la República;</w:t>
      </w:r>
    </w:p>
    <w:p w:rsidR="00CA53DF" w:rsidRPr="00772D3D" w:rsidRDefault="00CA53DF" w:rsidP="00CA53DF">
      <w:pPr>
        <w:spacing w:after="0" w:line="360" w:lineRule="auto"/>
        <w:jc w:val="center"/>
        <w:rPr>
          <w:rFonts w:ascii="Arial" w:hAnsi="Arial" w:cs="Arial"/>
          <w:b/>
          <w:sz w:val="24"/>
          <w:szCs w:val="24"/>
          <w:lang w:val="es-ES"/>
        </w:rPr>
      </w:pPr>
      <w:r w:rsidRPr="00772D3D">
        <w:rPr>
          <w:rFonts w:ascii="Arial" w:hAnsi="Arial" w:cs="Arial"/>
          <w:b/>
          <w:sz w:val="24"/>
          <w:szCs w:val="24"/>
          <w:lang w:val="es-ES"/>
        </w:rPr>
        <w:t>EL TRIBUNAL ACUERDA</w:t>
      </w:r>
    </w:p>
    <w:p w:rsidR="00CA53DF" w:rsidRPr="00772D3D" w:rsidRDefault="00CA53DF" w:rsidP="001274D3">
      <w:pPr>
        <w:pStyle w:val="Prrafodelista"/>
        <w:numPr>
          <w:ilvl w:val="0"/>
          <w:numId w:val="2"/>
        </w:numPr>
        <w:spacing w:after="0" w:line="360" w:lineRule="auto"/>
        <w:ind w:left="284" w:hanging="284"/>
        <w:jc w:val="both"/>
        <w:rPr>
          <w:rFonts w:ascii="Arial" w:hAnsi="Arial" w:cs="Arial"/>
          <w:sz w:val="24"/>
          <w:szCs w:val="24"/>
          <w:lang w:val="es-ES"/>
        </w:rPr>
      </w:pPr>
      <w:r w:rsidRPr="00772D3D">
        <w:rPr>
          <w:rFonts w:ascii="Arial" w:hAnsi="Arial" w:cs="Arial"/>
          <w:sz w:val="24"/>
          <w:szCs w:val="24"/>
          <w:lang w:val="es-ES"/>
        </w:rPr>
        <w:t>Expedirse en los términos del Informe de Auditoría que se adjunta</w:t>
      </w:r>
      <w:r w:rsidR="001274D3" w:rsidRPr="00772D3D">
        <w:rPr>
          <w:rFonts w:ascii="Arial" w:hAnsi="Arial" w:cs="Arial"/>
          <w:sz w:val="24"/>
          <w:szCs w:val="24"/>
          <w:lang w:val="es-ES"/>
        </w:rPr>
        <w:t>;</w:t>
      </w:r>
    </w:p>
    <w:p w:rsidR="00CA53DF" w:rsidRPr="00772D3D" w:rsidRDefault="00CA53DF" w:rsidP="001274D3">
      <w:pPr>
        <w:pStyle w:val="Prrafodelista"/>
        <w:numPr>
          <w:ilvl w:val="0"/>
          <w:numId w:val="2"/>
        </w:numPr>
        <w:spacing w:after="0" w:line="360" w:lineRule="auto"/>
        <w:ind w:left="284" w:hanging="284"/>
        <w:jc w:val="both"/>
        <w:rPr>
          <w:rFonts w:ascii="Arial" w:hAnsi="Arial" w:cs="Arial"/>
          <w:sz w:val="24"/>
          <w:szCs w:val="24"/>
          <w:lang w:val="es-ES"/>
        </w:rPr>
      </w:pPr>
      <w:r w:rsidRPr="00772D3D">
        <w:rPr>
          <w:rFonts w:ascii="Arial" w:hAnsi="Arial" w:cs="Arial"/>
          <w:sz w:val="24"/>
          <w:szCs w:val="24"/>
          <w:lang w:val="es-ES"/>
        </w:rPr>
        <w:t>Comunic</w:t>
      </w:r>
      <w:r w:rsidR="008F7831" w:rsidRPr="00772D3D">
        <w:rPr>
          <w:rFonts w:ascii="Arial" w:hAnsi="Arial" w:cs="Arial"/>
          <w:sz w:val="24"/>
          <w:szCs w:val="24"/>
          <w:lang w:val="es-ES"/>
        </w:rPr>
        <w:t xml:space="preserve">ar la presente Resolución a la </w:t>
      </w:r>
      <w:r w:rsidR="00A52EC0" w:rsidRPr="00772D3D">
        <w:rPr>
          <w:rFonts w:ascii="Arial" w:hAnsi="Arial" w:cs="Arial"/>
          <w:sz w:val="24"/>
          <w:szCs w:val="24"/>
          <w:lang w:val="es-ES"/>
        </w:rPr>
        <w:t xml:space="preserve">Intendencia </w:t>
      </w:r>
      <w:r w:rsidRPr="00772D3D">
        <w:rPr>
          <w:rFonts w:ascii="Arial" w:hAnsi="Arial" w:cs="Arial"/>
          <w:sz w:val="24"/>
          <w:szCs w:val="24"/>
          <w:lang w:val="es-ES"/>
        </w:rPr>
        <w:t xml:space="preserve">de </w:t>
      </w:r>
      <w:r w:rsidR="00D22331" w:rsidRPr="00772D3D">
        <w:rPr>
          <w:rFonts w:ascii="Arial" w:hAnsi="Arial" w:cs="Arial"/>
          <w:sz w:val="24"/>
          <w:szCs w:val="24"/>
          <w:lang w:val="es-ES"/>
        </w:rPr>
        <w:t>Rocha</w:t>
      </w:r>
      <w:r w:rsidR="001274D3" w:rsidRPr="00772D3D">
        <w:rPr>
          <w:rFonts w:ascii="Arial" w:hAnsi="Arial" w:cs="Arial"/>
          <w:sz w:val="24"/>
          <w:szCs w:val="24"/>
          <w:lang w:val="es-ES"/>
        </w:rPr>
        <w:t>; y</w:t>
      </w:r>
    </w:p>
    <w:p w:rsidR="00CA53DF" w:rsidRPr="00772D3D" w:rsidRDefault="00CA53DF" w:rsidP="001274D3">
      <w:pPr>
        <w:pStyle w:val="Prrafodelista"/>
        <w:numPr>
          <w:ilvl w:val="0"/>
          <w:numId w:val="2"/>
        </w:numPr>
        <w:spacing w:after="0" w:line="360" w:lineRule="auto"/>
        <w:ind w:left="284" w:hanging="284"/>
        <w:jc w:val="both"/>
        <w:rPr>
          <w:rFonts w:ascii="Arial" w:hAnsi="Arial" w:cs="Arial"/>
          <w:sz w:val="24"/>
          <w:szCs w:val="24"/>
          <w:lang w:val="es-ES"/>
        </w:rPr>
      </w:pPr>
      <w:r w:rsidRPr="00772D3D">
        <w:rPr>
          <w:rFonts w:ascii="Arial" w:hAnsi="Arial" w:cs="Arial"/>
          <w:sz w:val="24"/>
          <w:szCs w:val="24"/>
          <w:lang w:val="es-ES"/>
        </w:rPr>
        <w:t>Dar cuenta a la Asamblea General.</w:t>
      </w:r>
    </w:p>
    <w:p w:rsidR="001274D3" w:rsidRPr="00772D3D" w:rsidRDefault="001274D3" w:rsidP="001274D3">
      <w:pPr>
        <w:spacing w:after="0" w:line="360" w:lineRule="auto"/>
        <w:ind w:left="284" w:hanging="284"/>
        <w:rPr>
          <w:rFonts w:ascii="Arial" w:hAnsi="Arial" w:cs="Arial"/>
          <w:sz w:val="24"/>
          <w:szCs w:val="24"/>
          <w:lang w:val="es-ES"/>
        </w:rPr>
      </w:pPr>
    </w:p>
    <w:p w:rsidR="004E017A" w:rsidRPr="00772D3D" w:rsidRDefault="004E017A">
      <w:pPr>
        <w:spacing w:after="0" w:line="360" w:lineRule="auto"/>
        <w:rPr>
          <w:rFonts w:ascii="Arial" w:hAnsi="Arial" w:cs="Arial"/>
          <w:b/>
          <w:sz w:val="24"/>
          <w:szCs w:val="24"/>
          <w:lang w:val="es-ES"/>
        </w:rPr>
      </w:pPr>
    </w:p>
    <w:p w:rsidR="00772D3D" w:rsidRPr="00672B18" w:rsidRDefault="00672B18">
      <w:pPr>
        <w:spacing w:after="0" w:line="360" w:lineRule="auto"/>
        <w:rPr>
          <w:rFonts w:ascii="Arial" w:hAnsi="Arial" w:cs="Arial"/>
          <w:sz w:val="24"/>
          <w:szCs w:val="24"/>
          <w:lang w:val="es-ES"/>
        </w:rPr>
      </w:pPr>
      <w:proofErr w:type="spellStart"/>
      <w:proofErr w:type="gramStart"/>
      <w:r w:rsidRPr="00672B18">
        <w:rPr>
          <w:rFonts w:ascii="Arial" w:hAnsi="Arial" w:cs="Arial"/>
          <w:sz w:val="24"/>
          <w:szCs w:val="24"/>
          <w:lang w:val="es-ES"/>
        </w:rPr>
        <w:t>aa</w:t>
      </w:r>
      <w:proofErr w:type="spellEnd"/>
      <w:proofErr w:type="gramEnd"/>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rsidP="007A57CE">
      <w:pPr>
        <w:pStyle w:val="Ttulo1"/>
        <w:jc w:val="center"/>
      </w:pPr>
      <w:bookmarkStart w:id="1" w:name="_Toc390872929"/>
      <w:r w:rsidRPr="00772D3D">
        <w:lastRenderedPageBreak/>
        <w:t>D</w:t>
      </w:r>
      <w:bookmarkEnd w:id="1"/>
      <w:r w:rsidRPr="00772D3D">
        <w:t>ICTAMEN</w:t>
      </w:r>
    </w:p>
    <w:p w:rsidR="00772D3D" w:rsidRPr="00772D3D" w:rsidRDefault="00772D3D" w:rsidP="00C35E3E">
      <w:pPr>
        <w:spacing w:line="360" w:lineRule="auto"/>
        <w:jc w:val="both"/>
        <w:rPr>
          <w:rFonts w:ascii="Arial" w:hAnsi="Arial" w:cs="Arial"/>
          <w:i/>
          <w:sz w:val="24"/>
          <w:szCs w:val="24"/>
          <w:lang w:eastAsia="es-UY"/>
        </w:rPr>
      </w:pPr>
    </w:p>
    <w:p w:rsidR="00772D3D" w:rsidRPr="00772D3D" w:rsidRDefault="00772D3D" w:rsidP="00C35E3E">
      <w:pPr>
        <w:spacing w:line="360" w:lineRule="auto"/>
        <w:rPr>
          <w:rFonts w:ascii="Arial" w:hAnsi="Arial" w:cs="Arial"/>
          <w:sz w:val="24"/>
          <w:szCs w:val="24"/>
        </w:rPr>
      </w:pPr>
      <w:r w:rsidRPr="00772D3D">
        <w:rPr>
          <w:rFonts w:ascii="Arial" w:hAnsi="Arial" w:cs="Arial"/>
          <w:b/>
          <w:sz w:val="24"/>
          <w:szCs w:val="24"/>
          <w:lang w:eastAsia="es-UY"/>
        </w:rPr>
        <w:t>Opinión sin salvedades</w:t>
      </w:r>
    </w:p>
    <w:p w:rsidR="00772D3D" w:rsidRPr="00772D3D" w:rsidRDefault="00772D3D" w:rsidP="00C35E3E">
      <w:pPr>
        <w:spacing w:line="360" w:lineRule="auto"/>
        <w:jc w:val="both"/>
        <w:rPr>
          <w:rFonts w:ascii="Arial" w:hAnsi="Arial" w:cs="Arial"/>
          <w:sz w:val="24"/>
          <w:szCs w:val="24"/>
          <w:lang w:val="es-MX"/>
        </w:rPr>
      </w:pPr>
      <w:r w:rsidRPr="00772D3D">
        <w:rPr>
          <w:rFonts w:ascii="Arial" w:hAnsi="Arial" w:cs="Arial"/>
          <w:sz w:val="24"/>
          <w:szCs w:val="24"/>
          <w:lang w:val="es-MX"/>
        </w:rPr>
        <w:t>El Tribunal de Cuentas ha auditado la Rendición de Cuentas  y el Balance de Ejecución Presupuestal de la Junta Departamental de Rocha, que comprende los estados de ejecución presupuestal con relación a los créditos, de evolución de las obligaciones presupuestales impagas, de fondos indisponibles y otros estados complementarios, por el ejerc</w:t>
      </w:r>
      <w:r w:rsidR="00672B18">
        <w:rPr>
          <w:rFonts w:ascii="Arial" w:hAnsi="Arial" w:cs="Arial"/>
          <w:sz w:val="24"/>
          <w:szCs w:val="24"/>
          <w:lang w:val="es-MX"/>
        </w:rPr>
        <w:t>icio finalizado el 31/12/2017.</w:t>
      </w:r>
    </w:p>
    <w:p w:rsidR="00772D3D" w:rsidRPr="00772D3D" w:rsidRDefault="00772D3D" w:rsidP="00C35E3E">
      <w:pPr>
        <w:spacing w:line="360" w:lineRule="auto"/>
        <w:jc w:val="both"/>
        <w:rPr>
          <w:rFonts w:ascii="Arial" w:hAnsi="Arial" w:cs="Arial"/>
          <w:sz w:val="24"/>
          <w:szCs w:val="24"/>
          <w:lang w:val="es-MX"/>
        </w:rPr>
      </w:pPr>
      <w:r w:rsidRPr="00772D3D">
        <w:rPr>
          <w:rFonts w:ascii="Arial" w:hAnsi="Arial" w:cs="Arial"/>
          <w:sz w:val="24"/>
          <w:szCs w:val="24"/>
          <w:lang w:val="es-MX"/>
        </w:rPr>
        <w:t>En opinión del Tribunal de Cuentas, los estados mencionados presentan razonablemente, en todos sus aspectos significativos, la ejecución presupuestal del ejercicio 2017, la evolución de las obligaciones presupuestales impagas y de los fondos indisponibles de acuerdo con las normas establecidas en el TOCAF y el instructivo vigente a la fecha de presentación de los mismos.</w:t>
      </w:r>
    </w:p>
    <w:p w:rsidR="00772D3D" w:rsidRPr="00772D3D" w:rsidRDefault="00772D3D" w:rsidP="00C35E3E">
      <w:pPr>
        <w:spacing w:line="360" w:lineRule="auto"/>
        <w:jc w:val="both"/>
        <w:rPr>
          <w:rFonts w:ascii="Arial" w:hAnsi="Arial" w:cs="Arial"/>
          <w:b/>
          <w:sz w:val="24"/>
          <w:szCs w:val="24"/>
        </w:rPr>
      </w:pPr>
      <w:r w:rsidRPr="00772D3D">
        <w:rPr>
          <w:rFonts w:ascii="Arial" w:hAnsi="Arial" w:cs="Arial"/>
          <w:b/>
          <w:sz w:val="24"/>
          <w:szCs w:val="24"/>
        </w:rPr>
        <w:t>Opinión respecto al cumplimiento de la normativa legal aplicable</w:t>
      </w:r>
    </w:p>
    <w:p w:rsidR="00772D3D" w:rsidRPr="00772D3D" w:rsidRDefault="00772D3D" w:rsidP="00C35E3E">
      <w:pPr>
        <w:spacing w:line="360" w:lineRule="auto"/>
        <w:jc w:val="both"/>
        <w:rPr>
          <w:rFonts w:ascii="Arial" w:hAnsi="Arial" w:cs="Arial"/>
          <w:sz w:val="24"/>
          <w:szCs w:val="24"/>
          <w:lang w:val="es-MX"/>
        </w:rPr>
      </w:pPr>
      <w:r w:rsidRPr="00772D3D">
        <w:rPr>
          <w:rFonts w:ascii="Arial" w:hAnsi="Arial" w:cs="Arial"/>
          <w:sz w:val="24"/>
          <w:szCs w:val="24"/>
          <w:lang w:val="es-MX"/>
        </w:rPr>
        <w:t xml:space="preserve">En el curso de la auditoría se han constatado </w:t>
      </w:r>
      <w:r w:rsidR="00672B18">
        <w:rPr>
          <w:rFonts w:ascii="Arial" w:hAnsi="Arial" w:cs="Arial"/>
          <w:sz w:val="24"/>
          <w:szCs w:val="24"/>
          <w:lang w:val="es-MX"/>
        </w:rPr>
        <w:t>los siguientes incumplimientos:</w:t>
      </w:r>
    </w:p>
    <w:p w:rsidR="00772D3D" w:rsidRPr="00772D3D" w:rsidRDefault="00772D3D" w:rsidP="00C35E3E">
      <w:pPr>
        <w:spacing w:line="360" w:lineRule="auto"/>
        <w:jc w:val="both"/>
        <w:rPr>
          <w:rFonts w:ascii="Arial" w:hAnsi="Arial" w:cs="Arial"/>
          <w:sz w:val="24"/>
          <w:szCs w:val="24"/>
          <w:lang w:val="es-MX"/>
        </w:rPr>
      </w:pPr>
      <w:r w:rsidRPr="00772D3D">
        <w:rPr>
          <w:rFonts w:ascii="Arial" w:hAnsi="Arial" w:cs="Arial"/>
          <w:sz w:val="24"/>
          <w:szCs w:val="24"/>
          <w:lang w:val="es-MX"/>
        </w:rPr>
        <w:t xml:space="preserve">Artículo 86 de la Constitución de la República, Artículo 295 de la Constitución de la República, </w:t>
      </w:r>
      <w:r w:rsidRPr="00772D3D">
        <w:rPr>
          <w:rFonts w:ascii="Arial" w:hAnsi="Arial" w:cs="Arial"/>
          <w:sz w:val="24"/>
          <w:szCs w:val="24"/>
        </w:rPr>
        <w:t>Resoluciones 42/07, 43/07, 80/11 y 81/11 de la Junta Departamental y Resolución del</w:t>
      </w:r>
      <w:r w:rsidRPr="00772D3D">
        <w:rPr>
          <w:rFonts w:ascii="Arial" w:hAnsi="Arial" w:cs="Arial"/>
          <w:bCs/>
          <w:sz w:val="24"/>
          <w:szCs w:val="24"/>
        </w:rPr>
        <w:t xml:space="preserve"> Tribunal de Cuentas de 22/12/10, Artículo 94 </w:t>
      </w:r>
      <w:r w:rsidRPr="00772D3D">
        <w:rPr>
          <w:rFonts w:ascii="Arial" w:hAnsi="Arial" w:cs="Arial"/>
          <w:sz w:val="24"/>
          <w:szCs w:val="24"/>
        </w:rPr>
        <w:t xml:space="preserve"> </w:t>
      </w:r>
      <w:r w:rsidRPr="00772D3D">
        <w:rPr>
          <w:rFonts w:ascii="Arial" w:hAnsi="Arial" w:cs="Arial"/>
          <w:sz w:val="24"/>
          <w:szCs w:val="24"/>
          <w:lang w:val="es-MX"/>
        </w:rPr>
        <w:t>TOCAF y Ordenanza Nº 89 del Tribunal de Cuentas, Artículos 90 y 154 del TOCAF, Artículos 84 y 97 del TOCAF y  Artículo 3 de la Ley 16.134.</w:t>
      </w:r>
    </w:p>
    <w:p w:rsidR="00772D3D" w:rsidRPr="00772D3D" w:rsidRDefault="00772D3D" w:rsidP="00C35E3E">
      <w:pPr>
        <w:spacing w:line="360" w:lineRule="auto"/>
        <w:jc w:val="both"/>
        <w:rPr>
          <w:rFonts w:ascii="Arial" w:hAnsi="Arial" w:cs="Arial"/>
          <w:b/>
          <w:sz w:val="24"/>
          <w:szCs w:val="24"/>
        </w:rPr>
      </w:pPr>
      <w:r w:rsidRPr="00772D3D">
        <w:rPr>
          <w:rFonts w:ascii="Arial" w:hAnsi="Arial" w:cs="Arial"/>
          <w:b/>
          <w:sz w:val="24"/>
          <w:szCs w:val="24"/>
        </w:rPr>
        <w:t>Bases para  la Opinión sin Salvedades</w:t>
      </w:r>
    </w:p>
    <w:p w:rsidR="00772D3D" w:rsidRPr="00772D3D" w:rsidRDefault="00772D3D" w:rsidP="00C35E3E">
      <w:pPr>
        <w:spacing w:line="360" w:lineRule="auto"/>
        <w:jc w:val="both"/>
        <w:rPr>
          <w:rFonts w:ascii="Arial" w:hAnsi="Arial" w:cs="Arial"/>
          <w:sz w:val="24"/>
          <w:szCs w:val="24"/>
          <w:lang w:val="es-MX"/>
        </w:rPr>
      </w:pPr>
      <w:r w:rsidRPr="00772D3D">
        <w:rPr>
          <w:rFonts w:ascii="Arial" w:hAnsi="Arial" w:cs="Arial"/>
          <w:sz w:val="24"/>
          <w:szCs w:val="24"/>
          <w:lang w:val="es-MX"/>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Junta Departamental de Rocha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772D3D" w:rsidRPr="00772D3D" w:rsidRDefault="00772D3D" w:rsidP="00C35E3E">
      <w:pPr>
        <w:spacing w:line="360" w:lineRule="auto"/>
        <w:jc w:val="both"/>
        <w:rPr>
          <w:rFonts w:ascii="Arial" w:hAnsi="Arial" w:cs="Arial"/>
          <w:b/>
          <w:sz w:val="24"/>
          <w:szCs w:val="24"/>
        </w:rPr>
      </w:pPr>
      <w:r w:rsidRPr="00772D3D">
        <w:rPr>
          <w:rFonts w:ascii="Arial" w:hAnsi="Arial" w:cs="Arial"/>
          <w:b/>
          <w:sz w:val="24"/>
          <w:szCs w:val="24"/>
        </w:rPr>
        <w:t>Responsabilidad de la Junta Departamental en relación con la Rendición de Cuentas y Balance de Ejecución Presupuestal</w:t>
      </w:r>
    </w:p>
    <w:p w:rsidR="00772D3D" w:rsidRPr="00772D3D" w:rsidRDefault="00772D3D" w:rsidP="00C35E3E">
      <w:pPr>
        <w:spacing w:line="360" w:lineRule="auto"/>
        <w:jc w:val="both"/>
        <w:rPr>
          <w:rFonts w:ascii="Arial" w:hAnsi="Arial" w:cs="Arial"/>
          <w:sz w:val="24"/>
          <w:szCs w:val="24"/>
          <w:lang w:val="es-MX"/>
        </w:rPr>
      </w:pPr>
      <w:r w:rsidRPr="00772D3D">
        <w:rPr>
          <w:rFonts w:ascii="Arial" w:hAnsi="Arial" w:cs="Arial"/>
          <w:sz w:val="24"/>
          <w:szCs w:val="24"/>
          <w:lang w:val="es-MX"/>
        </w:rPr>
        <w:t xml:space="preserve">La Junta Departamental de Rocha es responsable por la preparación y presentación razonable de su </w:t>
      </w:r>
      <w:r w:rsidRPr="00772D3D">
        <w:rPr>
          <w:rFonts w:ascii="Arial" w:hAnsi="Arial" w:cs="Arial"/>
          <w:sz w:val="24"/>
          <w:szCs w:val="24"/>
        </w:rPr>
        <w:t>Rendición de Cuentas y Balance de Ejecución Presupuestal</w:t>
      </w:r>
      <w:r w:rsidRPr="00772D3D">
        <w:rPr>
          <w:rFonts w:ascii="Arial" w:hAnsi="Arial" w:cs="Arial"/>
          <w:sz w:val="24"/>
          <w:szCs w:val="24"/>
          <w:lang w:val="es-MX"/>
        </w:rPr>
        <w:t xml:space="preserve"> de acuerdo con el instructivo del Tribunal de Cuentas vigente a la fecha de presentación de la misma y del control interno que la administración de la Junta Departamental consideró necesario para permitir la preparación de la </w:t>
      </w:r>
      <w:r w:rsidRPr="00772D3D">
        <w:rPr>
          <w:rFonts w:ascii="Arial" w:hAnsi="Arial" w:cs="Arial"/>
          <w:sz w:val="24"/>
          <w:szCs w:val="24"/>
        </w:rPr>
        <w:t>Rendición de Cuentas y Balance de Ejecución Presupuestal</w:t>
      </w:r>
      <w:r w:rsidRPr="00772D3D">
        <w:rPr>
          <w:rFonts w:ascii="Arial" w:hAnsi="Arial" w:cs="Arial"/>
          <w:sz w:val="24"/>
          <w:szCs w:val="24"/>
          <w:lang w:val="es-MX"/>
        </w:rPr>
        <w:t xml:space="preserve"> libres de errores significativos ya sea debido a fraude o error.</w:t>
      </w:r>
    </w:p>
    <w:p w:rsidR="00772D3D" w:rsidRPr="00772D3D" w:rsidRDefault="00772D3D" w:rsidP="00C35E3E">
      <w:pPr>
        <w:spacing w:line="360" w:lineRule="auto"/>
        <w:jc w:val="both"/>
        <w:rPr>
          <w:rFonts w:ascii="Arial" w:hAnsi="Arial" w:cs="Arial"/>
          <w:sz w:val="24"/>
          <w:szCs w:val="24"/>
          <w:lang w:val="es-MX"/>
        </w:rPr>
      </w:pPr>
      <w:r w:rsidRPr="00772D3D">
        <w:rPr>
          <w:rFonts w:ascii="Arial" w:hAnsi="Arial" w:cs="Arial"/>
          <w:sz w:val="24"/>
          <w:szCs w:val="24"/>
          <w:lang w:val="es-MX"/>
        </w:rPr>
        <w:t>La Junta Departamental de Rocha es responsable de supervisar el proceso de preparación de la</w:t>
      </w:r>
      <w:r w:rsidRPr="00772D3D">
        <w:rPr>
          <w:rFonts w:ascii="Arial" w:hAnsi="Arial" w:cs="Arial"/>
          <w:sz w:val="24"/>
          <w:szCs w:val="24"/>
        </w:rPr>
        <w:t xml:space="preserve"> Rendición de Cuentas y Balance de Ejecución Presupuestal</w:t>
      </w:r>
      <w:r w:rsidR="00D529EE">
        <w:rPr>
          <w:rFonts w:ascii="Arial" w:hAnsi="Arial" w:cs="Arial"/>
          <w:sz w:val="24"/>
          <w:szCs w:val="24"/>
          <w:lang w:val="es-MX"/>
        </w:rPr>
        <w:t>.</w:t>
      </w:r>
    </w:p>
    <w:p w:rsidR="00772D3D" w:rsidRPr="00772D3D" w:rsidRDefault="00772D3D" w:rsidP="00C35E3E">
      <w:pPr>
        <w:spacing w:line="360" w:lineRule="auto"/>
        <w:jc w:val="both"/>
        <w:rPr>
          <w:rFonts w:ascii="Arial" w:hAnsi="Arial" w:cs="Arial"/>
          <w:b/>
          <w:sz w:val="24"/>
          <w:szCs w:val="24"/>
        </w:rPr>
      </w:pPr>
      <w:r w:rsidRPr="00772D3D">
        <w:rPr>
          <w:rFonts w:ascii="Arial" w:hAnsi="Arial" w:cs="Arial"/>
          <w:b/>
          <w:sz w:val="24"/>
          <w:szCs w:val="24"/>
        </w:rPr>
        <w:t xml:space="preserve">Responsabilidad del Tribunal de Cuentas por la auditoría de los estados </w:t>
      </w:r>
      <w:proofErr w:type="gramStart"/>
      <w:r w:rsidRPr="00772D3D">
        <w:rPr>
          <w:rFonts w:ascii="Arial" w:hAnsi="Arial" w:cs="Arial"/>
          <w:b/>
          <w:sz w:val="24"/>
          <w:szCs w:val="24"/>
        </w:rPr>
        <w:t>financieros</w:t>
      </w:r>
      <w:proofErr w:type="gramEnd"/>
    </w:p>
    <w:p w:rsidR="00772D3D" w:rsidRPr="00772D3D" w:rsidRDefault="00772D3D" w:rsidP="00C35E3E">
      <w:pPr>
        <w:spacing w:line="360" w:lineRule="auto"/>
        <w:jc w:val="both"/>
        <w:rPr>
          <w:rFonts w:ascii="Arial" w:hAnsi="Arial" w:cs="Arial"/>
          <w:sz w:val="24"/>
          <w:szCs w:val="24"/>
          <w:lang w:val="es-MX"/>
        </w:rPr>
      </w:pPr>
      <w:r w:rsidRPr="00772D3D">
        <w:rPr>
          <w:rFonts w:ascii="Arial" w:hAnsi="Arial" w:cs="Arial"/>
          <w:sz w:val="24"/>
          <w:szCs w:val="24"/>
          <w:lang w:val="es-MX"/>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772D3D" w:rsidRPr="00772D3D" w:rsidRDefault="00772D3D" w:rsidP="00C35E3E">
      <w:pPr>
        <w:spacing w:line="360" w:lineRule="auto"/>
        <w:jc w:val="both"/>
        <w:rPr>
          <w:rFonts w:ascii="Arial" w:hAnsi="Arial" w:cs="Arial"/>
          <w:sz w:val="24"/>
          <w:szCs w:val="24"/>
          <w:lang w:val="es-MX"/>
        </w:rPr>
      </w:pPr>
      <w:r w:rsidRPr="00772D3D">
        <w:rPr>
          <w:rFonts w:ascii="Arial" w:hAnsi="Arial" w:cs="Arial"/>
          <w:sz w:val="24"/>
          <w:szCs w:val="24"/>
          <w:lang w:val="es-MX"/>
        </w:rPr>
        <w:t>Como parte de una auditoría de acuerdo con las ISSAI referidas en la sección Bases para la Opinión, el Tribunal de Cuentas aplica su juicio profesional y mantiene el escepticismo profesional durante el proceso de auditoría. Asimismo:</w:t>
      </w:r>
    </w:p>
    <w:p w:rsidR="00772D3D" w:rsidRPr="00772D3D" w:rsidRDefault="00772D3D" w:rsidP="00672B18">
      <w:pPr>
        <w:numPr>
          <w:ilvl w:val="0"/>
          <w:numId w:val="3"/>
        </w:numPr>
        <w:spacing w:after="0" w:line="360" w:lineRule="auto"/>
        <w:ind w:left="0" w:hanging="357"/>
        <w:contextualSpacing/>
        <w:jc w:val="both"/>
        <w:rPr>
          <w:rFonts w:ascii="Arial" w:hAnsi="Arial" w:cs="Arial"/>
          <w:sz w:val="24"/>
          <w:szCs w:val="24"/>
        </w:rPr>
      </w:pPr>
      <w:r w:rsidRPr="00772D3D">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672B18">
        <w:rPr>
          <w:rFonts w:ascii="Arial" w:hAnsi="Arial" w:cs="Arial"/>
          <w:sz w:val="24"/>
          <w:szCs w:val="24"/>
        </w:rPr>
        <w:t>artamientos de control interno.</w:t>
      </w:r>
    </w:p>
    <w:p w:rsidR="00772D3D" w:rsidRPr="00772D3D" w:rsidRDefault="00772D3D" w:rsidP="00672B18">
      <w:pPr>
        <w:numPr>
          <w:ilvl w:val="0"/>
          <w:numId w:val="3"/>
        </w:numPr>
        <w:spacing w:after="0" w:line="360" w:lineRule="auto"/>
        <w:ind w:left="0" w:hanging="357"/>
        <w:contextualSpacing/>
        <w:jc w:val="both"/>
        <w:rPr>
          <w:rFonts w:ascii="Arial" w:hAnsi="Arial" w:cs="Arial"/>
          <w:sz w:val="24"/>
          <w:szCs w:val="24"/>
        </w:rPr>
      </w:pPr>
      <w:r w:rsidRPr="00772D3D">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772D3D" w:rsidRPr="00772D3D" w:rsidRDefault="00772D3D" w:rsidP="00672B18">
      <w:pPr>
        <w:numPr>
          <w:ilvl w:val="0"/>
          <w:numId w:val="3"/>
        </w:numPr>
        <w:spacing w:after="0" w:line="360" w:lineRule="auto"/>
        <w:ind w:left="0" w:hanging="357"/>
        <w:contextualSpacing/>
        <w:jc w:val="both"/>
        <w:rPr>
          <w:rFonts w:ascii="Arial" w:hAnsi="Arial" w:cs="Arial"/>
          <w:sz w:val="24"/>
          <w:szCs w:val="24"/>
        </w:rPr>
      </w:pPr>
      <w:r w:rsidRPr="00772D3D">
        <w:rPr>
          <w:rFonts w:ascii="Arial" w:hAnsi="Arial" w:cs="Arial"/>
          <w:sz w:val="24"/>
          <w:szCs w:val="24"/>
        </w:rPr>
        <w:t>Evalúa la presentación general, la estructura y contenido de los estados, incluyendo las revelaciones y si los estados representan las transacciones y eventos subyacentes de un modo que se logre una representación fiel de los mismos.</w:t>
      </w:r>
    </w:p>
    <w:p w:rsidR="00772D3D" w:rsidRPr="00772D3D" w:rsidRDefault="00772D3D" w:rsidP="00C35E3E">
      <w:pPr>
        <w:spacing w:line="360" w:lineRule="auto"/>
        <w:contextualSpacing/>
        <w:jc w:val="both"/>
        <w:rPr>
          <w:rFonts w:ascii="Arial" w:hAnsi="Arial" w:cs="Arial"/>
          <w:sz w:val="24"/>
          <w:szCs w:val="24"/>
        </w:rPr>
      </w:pPr>
    </w:p>
    <w:p w:rsidR="00772D3D" w:rsidRPr="00772D3D" w:rsidRDefault="00772D3D" w:rsidP="00C35E3E">
      <w:pPr>
        <w:spacing w:line="360" w:lineRule="auto"/>
        <w:contextualSpacing/>
        <w:jc w:val="both"/>
        <w:rPr>
          <w:rFonts w:ascii="Arial" w:hAnsi="Arial" w:cs="Arial"/>
          <w:sz w:val="24"/>
          <w:szCs w:val="24"/>
        </w:rPr>
      </w:pPr>
      <w:r w:rsidRPr="00772D3D">
        <w:rPr>
          <w:rFonts w:ascii="Arial" w:hAnsi="Arial" w:cs="Arial"/>
          <w:sz w:val="24"/>
          <w:szCs w:val="24"/>
        </w:rPr>
        <w:t>El Tribunal de Cuentas se comunicó con la Junta Departamental en relación al alcance y la oportunidad de los procedimientos de auditoría, y a los hallazgos significativos de auditoría incluid</w:t>
      </w:r>
      <w:r w:rsidR="00672B18">
        <w:rPr>
          <w:rFonts w:ascii="Arial" w:hAnsi="Arial" w:cs="Arial"/>
          <w:sz w:val="24"/>
          <w:szCs w:val="24"/>
        </w:rPr>
        <w:t>os.</w:t>
      </w:r>
    </w:p>
    <w:p w:rsidR="00772D3D" w:rsidRPr="00772D3D" w:rsidRDefault="00772D3D" w:rsidP="00C35E3E">
      <w:pPr>
        <w:spacing w:line="360" w:lineRule="auto"/>
        <w:jc w:val="both"/>
        <w:rPr>
          <w:rFonts w:ascii="Arial" w:hAnsi="Arial" w:cs="Arial"/>
          <w:sz w:val="24"/>
          <w:szCs w:val="24"/>
          <w:highlight w:val="green"/>
        </w:rPr>
      </w:pPr>
    </w:p>
    <w:p w:rsidR="00772D3D" w:rsidRPr="00772D3D" w:rsidRDefault="00772D3D" w:rsidP="00C35E3E">
      <w:pPr>
        <w:spacing w:line="360" w:lineRule="auto"/>
        <w:jc w:val="both"/>
        <w:rPr>
          <w:rFonts w:ascii="Arial" w:hAnsi="Arial" w:cs="Arial"/>
          <w:sz w:val="24"/>
          <w:szCs w:val="24"/>
          <w:highlight w:val="green"/>
        </w:rPr>
      </w:pPr>
    </w:p>
    <w:p w:rsidR="00772D3D" w:rsidRPr="00772D3D" w:rsidRDefault="00772D3D" w:rsidP="00C35E3E">
      <w:pPr>
        <w:spacing w:line="360" w:lineRule="auto"/>
        <w:jc w:val="both"/>
        <w:rPr>
          <w:rFonts w:ascii="Arial" w:hAnsi="Arial" w:cs="Arial"/>
          <w:b/>
          <w:sz w:val="24"/>
          <w:szCs w:val="24"/>
        </w:rPr>
      </w:pPr>
      <w:r w:rsidRPr="00772D3D">
        <w:rPr>
          <w:rFonts w:ascii="Arial" w:hAnsi="Arial" w:cs="Arial"/>
          <w:b/>
          <w:sz w:val="24"/>
          <w:szCs w:val="24"/>
        </w:rPr>
        <w:t>Informe de cumplimiento de la normativa vigente</w:t>
      </w:r>
    </w:p>
    <w:p w:rsidR="00772D3D" w:rsidRPr="00772D3D" w:rsidRDefault="00772D3D" w:rsidP="00C35E3E">
      <w:pPr>
        <w:spacing w:line="360" w:lineRule="auto"/>
        <w:jc w:val="both"/>
        <w:rPr>
          <w:rFonts w:ascii="Arial" w:hAnsi="Arial" w:cs="Arial"/>
          <w:sz w:val="24"/>
          <w:szCs w:val="24"/>
        </w:rPr>
      </w:pPr>
      <w:r w:rsidRPr="00772D3D">
        <w:rPr>
          <w:rFonts w:ascii="Arial" w:hAnsi="Arial" w:cs="Arial"/>
          <w:sz w:val="24"/>
          <w:szCs w:val="24"/>
        </w:rPr>
        <w:t>Respecto a los incumplimientos mencionados en el párrafo Opinión respecto al cumplimiento de la normativa legal aplicable co</w:t>
      </w:r>
      <w:r w:rsidR="00672B18">
        <w:rPr>
          <w:rFonts w:ascii="Arial" w:hAnsi="Arial" w:cs="Arial"/>
          <w:sz w:val="24"/>
          <w:szCs w:val="24"/>
        </w:rPr>
        <w:t>rresponde señalar lo siguiente:</w:t>
      </w:r>
    </w:p>
    <w:p w:rsidR="00772D3D" w:rsidRPr="00772D3D" w:rsidRDefault="00772D3D" w:rsidP="00C35E3E">
      <w:pPr>
        <w:spacing w:line="360" w:lineRule="auto"/>
        <w:jc w:val="both"/>
        <w:rPr>
          <w:rFonts w:ascii="Arial" w:hAnsi="Arial" w:cs="Arial"/>
          <w:sz w:val="24"/>
          <w:szCs w:val="24"/>
        </w:rPr>
      </w:pPr>
      <w:r w:rsidRPr="00772D3D">
        <w:rPr>
          <w:rFonts w:ascii="Arial" w:hAnsi="Arial" w:cs="Arial"/>
          <w:b/>
          <w:sz w:val="24"/>
          <w:szCs w:val="24"/>
        </w:rPr>
        <w:t xml:space="preserve">1.- Artículo 86 de la Constitución de la República: </w:t>
      </w:r>
      <w:r w:rsidRPr="00772D3D">
        <w:rPr>
          <w:rFonts w:ascii="Arial" w:hAnsi="Arial" w:cs="Arial"/>
          <w:sz w:val="24"/>
          <w:szCs w:val="24"/>
        </w:rPr>
        <w:t>Se pagaron compensaciones de sueldos por conceptos de “Asignación de Funciones” y por “Diferencia de Grado” no previstas en el presupuesto vigente, lo que fue observado por la Contadora Delegada.</w:t>
      </w:r>
    </w:p>
    <w:p w:rsidR="00772D3D" w:rsidRPr="00772D3D" w:rsidRDefault="00772D3D" w:rsidP="00C35E3E">
      <w:pPr>
        <w:pStyle w:val="Textoindependiente"/>
        <w:rPr>
          <w:rFonts w:cs="Arial"/>
          <w:b/>
        </w:rPr>
      </w:pPr>
    </w:p>
    <w:p w:rsidR="00772D3D" w:rsidRPr="00772D3D" w:rsidRDefault="00772D3D" w:rsidP="00C35E3E">
      <w:pPr>
        <w:pStyle w:val="Textoindependiente"/>
        <w:rPr>
          <w:rFonts w:cs="Arial"/>
        </w:rPr>
      </w:pPr>
      <w:r w:rsidRPr="00772D3D">
        <w:rPr>
          <w:rFonts w:cs="Arial"/>
          <w:b/>
        </w:rPr>
        <w:t>2.- Artículo 295 de la Constitución de la República y Resoluciones 42/07, 43/07, 80/11 y 81/11 de la Junta y Resolución del</w:t>
      </w:r>
      <w:r w:rsidRPr="00772D3D">
        <w:rPr>
          <w:rFonts w:cs="Arial"/>
          <w:b/>
          <w:bCs/>
        </w:rPr>
        <w:t xml:space="preserve"> Tribunal de Cuentas de 22/12/10:</w:t>
      </w:r>
      <w:r w:rsidRPr="00772D3D">
        <w:rPr>
          <w:rFonts w:cs="Arial"/>
        </w:rPr>
        <w:t xml:space="preserve"> Durante el ejercicio 2017 se abonaron partidas compensatorias de gastos por viáticos y traslados a los Señores Ediles, sin verificarse el cumplimiento total de lo dispuesto por estas normas, lo que fuera observado por la Contadora Delegada.</w:t>
      </w:r>
    </w:p>
    <w:p w:rsidR="00772D3D" w:rsidRPr="00772D3D" w:rsidRDefault="00772D3D" w:rsidP="00C35E3E">
      <w:pPr>
        <w:spacing w:line="360" w:lineRule="auto"/>
        <w:jc w:val="both"/>
        <w:rPr>
          <w:rFonts w:ascii="Arial" w:hAnsi="Arial" w:cs="Arial"/>
          <w:sz w:val="24"/>
          <w:szCs w:val="24"/>
        </w:rPr>
      </w:pPr>
    </w:p>
    <w:p w:rsidR="00772D3D" w:rsidRPr="00772D3D" w:rsidRDefault="00772D3D" w:rsidP="00C35E3E">
      <w:pPr>
        <w:spacing w:line="360" w:lineRule="auto"/>
        <w:jc w:val="both"/>
        <w:rPr>
          <w:rFonts w:ascii="Arial" w:hAnsi="Arial" w:cs="Arial"/>
          <w:sz w:val="24"/>
          <w:szCs w:val="24"/>
        </w:rPr>
      </w:pPr>
      <w:r w:rsidRPr="00772D3D">
        <w:rPr>
          <w:rFonts w:ascii="Arial" w:hAnsi="Arial" w:cs="Arial"/>
          <w:b/>
          <w:sz w:val="24"/>
          <w:szCs w:val="24"/>
        </w:rPr>
        <w:t xml:space="preserve">3.- </w:t>
      </w:r>
      <w:r w:rsidRPr="00772D3D">
        <w:rPr>
          <w:rFonts w:ascii="Arial" w:hAnsi="Arial" w:cs="Arial"/>
          <w:b/>
          <w:bCs/>
          <w:sz w:val="24"/>
          <w:szCs w:val="24"/>
        </w:rPr>
        <w:t xml:space="preserve">Artículo 94 del TOCAF y Ordenanza N° 89 del Tribunal de Cuentas: </w:t>
      </w:r>
      <w:r w:rsidRPr="00772D3D">
        <w:rPr>
          <w:rFonts w:ascii="Arial" w:hAnsi="Arial" w:cs="Arial"/>
          <w:sz w:val="24"/>
          <w:szCs w:val="24"/>
        </w:rPr>
        <w:t>No se ha dado cumplimiento a lo establecido en la Ordenanza de este Tribunal al no presentarse los estados contables exigidos por la mencionada norma.</w:t>
      </w:r>
    </w:p>
    <w:p w:rsidR="00772D3D" w:rsidRPr="00772D3D" w:rsidRDefault="00772D3D" w:rsidP="00C35E3E">
      <w:pPr>
        <w:pStyle w:val="Textoindependiente"/>
        <w:rPr>
          <w:rFonts w:cs="Arial"/>
          <w:b/>
        </w:rPr>
      </w:pPr>
    </w:p>
    <w:p w:rsidR="00772D3D" w:rsidRPr="00772D3D" w:rsidRDefault="00772D3D" w:rsidP="00C35E3E">
      <w:pPr>
        <w:pStyle w:val="Textoindependiente"/>
        <w:rPr>
          <w:rFonts w:cs="Arial"/>
        </w:rPr>
      </w:pPr>
      <w:r w:rsidRPr="00772D3D">
        <w:rPr>
          <w:rFonts w:cs="Arial"/>
          <w:b/>
        </w:rPr>
        <w:t xml:space="preserve">4.- </w:t>
      </w:r>
      <w:r w:rsidRPr="00772D3D">
        <w:rPr>
          <w:rFonts w:cs="Arial"/>
          <w:b/>
          <w:bCs/>
        </w:rPr>
        <w:t>Artículos 90 y 154 del TOCAF:</w:t>
      </w:r>
      <w:r w:rsidRPr="00772D3D">
        <w:rPr>
          <w:rFonts w:cs="Arial"/>
        </w:rPr>
        <w:t xml:space="preserve"> La Junta Departamental no ha contratado fianza o póliza de seguros respecto de los funcionarios que manejan o custodian f</w:t>
      </w:r>
      <w:r w:rsidR="00672B18">
        <w:rPr>
          <w:rFonts w:cs="Arial"/>
        </w:rPr>
        <w:t>ondos o valores.</w:t>
      </w:r>
    </w:p>
    <w:p w:rsidR="00772D3D" w:rsidRPr="00772D3D" w:rsidRDefault="00772D3D" w:rsidP="00C35E3E">
      <w:pPr>
        <w:pStyle w:val="Textoindependiente"/>
        <w:rPr>
          <w:rFonts w:cs="Arial"/>
          <w:b/>
        </w:rPr>
      </w:pPr>
    </w:p>
    <w:p w:rsidR="00772D3D" w:rsidRPr="00772D3D" w:rsidRDefault="00772D3D" w:rsidP="00C35E3E">
      <w:pPr>
        <w:pStyle w:val="Textoindependiente"/>
        <w:rPr>
          <w:rFonts w:cs="Arial"/>
        </w:rPr>
      </w:pPr>
      <w:r w:rsidRPr="00772D3D">
        <w:rPr>
          <w:rFonts w:cs="Arial"/>
          <w:b/>
        </w:rPr>
        <w:t>5.- Artículos 84 y 97 del TOCAF:</w:t>
      </w:r>
      <w:r w:rsidRPr="00772D3D">
        <w:rPr>
          <w:rFonts w:cs="Arial"/>
        </w:rPr>
        <w:t xml:space="preserve"> No existe un inventario actualizado y valuado al 31/12/2017 de los bienes de uso de la Junta.</w:t>
      </w:r>
    </w:p>
    <w:p w:rsidR="00772D3D" w:rsidRPr="00772D3D" w:rsidRDefault="00772D3D" w:rsidP="00C35E3E">
      <w:pPr>
        <w:spacing w:line="360" w:lineRule="auto"/>
        <w:jc w:val="both"/>
        <w:rPr>
          <w:rFonts w:ascii="Arial" w:hAnsi="Arial" w:cs="Arial"/>
          <w:b/>
          <w:sz w:val="24"/>
          <w:szCs w:val="24"/>
        </w:rPr>
      </w:pPr>
    </w:p>
    <w:p w:rsidR="00772D3D" w:rsidRPr="00772D3D" w:rsidRDefault="00772D3D" w:rsidP="00C35E3E">
      <w:pPr>
        <w:spacing w:line="360" w:lineRule="auto"/>
        <w:jc w:val="both"/>
        <w:rPr>
          <w:rFonts w:ascii="Arial" w:hAnsi="Arial" w:cs="Arial"/>
          <w:sz w:val="24"/>
          <w:szCs w:val="24"/>
        </w:rPr>
      </w:pPr>
      <w:r w:rsidRPr="00772D3D">
        <w:rPr>
          <w:rFonts w:ascii="Arial" w:hAnsi="Arial" w:cs="Arial"/>
          <w:b/>
          <w:sz w:val="24"/>
          <w:szCs w:val="24"/>
        </w:rPr>
        <w:t xml:space="preserve">6.- Artículo 3 de la Ley 16.134: </w:t>
      </w:r>
      <w:r w:rsidRPr="00772D3D">
        <w:rPr>
          <w:rFonts w:ascii="Arial" w:hAnsi="Arial" w:cs="Arial"/>
          <w:sz w:val="24"/>
          <w:szCs w:val="24"/>
        </w:rPr>
        <w:t>La Junta Departamental no tiene contratado póliza por accidente de trabajo en el Banco de Seguro del Estado para el personal que realiza trabajo manual de riesgo.</w:t>
      </w:r>
    </w:p>
    <w:p w:rsidR="00772D3D" w:rsidRPr="00772D3D" w:rsidRDefault="00772D3D" w:rsidP="00C35E3E">
      <w:pPr>
        <w:pStyle w:val="Encabezado"/>
        <w:tabs>
          <w:tab w:val="left" w:pos="360"/>
        </w:tabs>
        <w:spacing w:line="360" w:lineRule="auto"/>
        <w:jc w:val="both"/>
        <w:rPr>
          <w:rFonts w:cs="Arial"/>
          <w:b/>
          <w:bCs/>
        </w:rPr>
      </w:pPr>
      <w:r w:rsidRPr="00772D3D">
        <w:rPr>
          <w:rFonts w:cs="Arial"/>
        </w:rPr>
        <w:t>Además, durante el ejercicio la Contadora Delegada observó gastos que fueron reiterados por el Ordenador competente por incumplimiento de la siguientes normas: Artículo 19 de la Ley 9.515, Artículo 14 de la Ley 19210, Artículo 5 Del Decreto 263/15, Artículo 9 del Decreto 199/07, Decreto 388/92, Resolución de la DGI Nº 688/92 y Resolución Nro.15/09 de la Junta Departamental.</w:t>
      </w:r>
    </w:p>
    <w:p w:rsidR="00772D3D" w:rsidRPr="00772D3D" w:rsidRDefault="00772D3D" w:rsidP="00C35E3E">
      <w:pPr>
        <w:pStyle w:val="Textoindependiente3"/>
        <w:spacing w:after="0" w:line="360" w:lineRule="auto"/>
        <w:jc w:val="right"/>
        <w:rPr>
          <w:rFonts w:cs="Arial"/>
          <w:spacing w:val="-3"/>
          <w:sz w:val="24"/>
          <w:szCs w:val="24"/>
          <w:lang w:val="es-ES_tradnl"/>
        </w:rPr>
      </w:pPr>
      <w:r w:rsidRPr="00772D3D">
        <w:rPr>
          <w:rFonts w:cs="Arial"/>
          <w:spacing w:val="-3"/>
          <w:sz w:val="24"/>
          <w:szCs w:val="24"/>
          <w:lang w:val="es-ES_tradnl"/>
        </w:rPr>
        <w:t xml:space="preserve">Montevideo, </w:t>
      </w:r>
      <w:bookmarkStart w:id="2" w:name="_Toc37740557"/>
      <w:bookmarkStart w:id="3" w:name="_Toc37740809"/>
      <w:r w:rsidRPr="00772D3D">
        <w:rPr>
          <w:rFonts w:cs="Arial"/>
          <w:spacing w:val="-3"/>
          <w:sz w:val="24"/>
          <w:szCs w:val="24"/>
          <w:lang w:val="es-ES_tradnl"/>
        </w:rPr>
        <w:t>22 de agosto de 2018</w:t>
      </w:r>
      <w:bookmarkEnd w:id="2"/>
      <w:bookmarkEnd w:id="3"/>
    </w:p>
    <w:p w:rsidR="00772D3D" w:rsidRPr="00772D3D" w:rsidRDefault="00772D3D" w:rsidP="00C35E3E">
      <w:pPr>
        <w:pStyle w:val="Textoindependiente3"/>
        <w:spacing w:after="0" w:line="360" w:lineRule="auto"/>
        <w:jc w:val="right"/>
        <w:rPr>
          <w:rFonts w:cs="Arial"/>
          <w:sz w:val="24"/>
          <w:szCs w:val="24"/>
        </w:rPr>
      </w:pPr>
    </w:p>
    <w:p w:rsidR="00772D3D" w:rsidRPr="00772D3D" w:rsidRDefault="00772D3D" w:rsidP="00C35E3E">
      <w:pPr>
        <w:pStyle w:val="Textoindependiente3"/>
        <w:spacing w:after="0" w:line="360" w:lineRule="auto"/>
        <w:rPr>
          <w:rFonts w:cs="Arial"/>
          <w:b/>
          <w:color w:val="000000"/>
          <w:sz w:val="24"/>
          <w:szCs w:val="24"/>
        </w:rPr>
      </w:pPr>
      <w:proofErr w:type="spellStart"/>
      <w:proofErr w:type="gramStart"/>
      <w:r w:rsidRPr="00772D3D">
        <w:rPr>
          <w:rFonts w:cs="Arial"/>
          <w:sz w:val="24"/>
          <w:szCs w:val="24"/>
        </w:rPr>
        <w:t>aa</w:t>
      </w:r>
      <w:proofErr w:type="spellEnd"/>
      <w:proofErr w:type="gramEnd"/>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pPr>
        <w:spacing w:after="0" w:line="360" w:lineRule="auto"/>
        <w:rPr>
          <w:rFonts w:ascii="Arial" w:hAnsi="Arial" w:cs="Arial"/>
          <w:b/>
          <w:sz w:val="24"/>
          <w:szCs w:val="24"/>
          <w:lang w:val="es-ES"/>
        </w:rPr>
      </w:pPr>
    </w:p>
    <w:p w:rsidR="00772D3D" w:rsidRPr="00772D3D" w:rsidRDefault="00772D3D" w:rsidP="00CF714A">
      <w:pPr>
        <w:spacing w:line="360" w:lineRule="auto"/>
        <w:jc w:val="center"/>
        <w:rPr>
          <w:rFonts w:ascii="Arial" w:hAnsi="Arial" w:cs="Arial"/>
          <w:b/>
          <w:bCs/>
          <w:sz w:val="24"/>
          <w:szCs w:val="24"/>
          <w:lang w:val="es-ES_tradnl"/>
        </w:rPr>
      </w:pPr>
      <w:bookmarkStart w:id="4" w:name="_Toc390872931"/>
      <w:r w:rsidRPr="00772D3D">
        <w:rPr>
          <w:rFonts w:ascii="Arial" w:hAnsi="Arial" w:cs="Arial"/>
          <w:b/>
          <w:color w:val="000000"/>
          <w:sz w:val="24"/>
          <w:szCs w:val="24"/>
        </w:rPr>
        <w:t>INFORME A LA ADMINISTRACIÓN</w:t>
      </w:r>
      <w:bookmarkEnd w:id="4"/>
    </w:p>
    <w:p w:rsidR="00772D3D" w:rsidRPr="00772D3D" w:rsidRDefault="00772D3D" w:rsidP="00CF714A">
      <w:pPr>
        <w:spacing w:line="360" w:lineRule="auto"/>
        <w:jc w:val="center"/>
        <w:rPr>
          <w:rFonts w:ascii="Arial" w:hAnsi="Arial" w:cs="Arial"/>
          <w:b/>
          <w:sz w:val="24"/>
          <w:szCs w:val="24"/>
        </w:rPr>
      </w:pPr>
    </w:p>
    <w:p w:rsidR="00772D3D" w:rsidRPr="00772D3D" w:rsidRDefault="00772D3D" w:rsidP="00CF714A">
      <w:pPr>
        <w:suppressAutoHyphens/>
        <w:spacing w:line="360" w:lineRule="auto"/>
        <w:jc w:val="both"/>
        <w:rPr>
          <w:rFonts w:ascii="Arial" w:hAnsi="Arial" w:cs="Arial"/>
          <w:kern w:val="1"/>
          <w:sz w:val="24"/>
          <w:szCs w:val="24"/>
          <w:lang w:eastAsia="ar-SA"/>
        </w:rPr>
      </w:pPr>
      <w:r w:rsidRPr="00772D3D">
        <w:rPr>
          <w:rFonts w:ascii="Arial" w:hAnsi="Arial" w:cs="Arial"/>
          <w:kern w:val="1"/>
          <w:sz w:val="24"/>
          <w:szCs w:val="24"/>
          <w:lang w:eastAsia="ar-SA"/>
        </w:rPr>
        <w:t>El Tribunal de Cuentas ha examinado la Rendición de Cuentas y Balance de Ejecución Presupuestal de la Junta Departamental de Rocha por el ejercicio finalizado al 31/12/2017 y ha emitido su correspondiente Dictamen.</w:t>
      </w:r>
    </w:p>
    <w:p w:rsidR="00772D3D" w:rsidRPr="00772D3D" w:rsidRDefault="00772D3D" w:rsidP="00CF714A">
      <w:pPr>
        <w:spacing w:line="360" w:lineRule="auto"/>
        <w:jc w:val="both"/>
        <w:rPr>
          <w:rFonts w:ascii="Arial" w:hAnsi="Arial" w:cs="Arial"/>
          <w:sz w:val="24"/>
          <w:szCs w:val="24"/>
        </w:rPr>
      </w:pPr>
      <w:r w:rsidRPr="00772D3D">
        <w:rPr>
          <w:rFonts w:ascii="Arial" w:hAnsi="Arial" w:cs="Arial"/>
          <w:sz w:val="24"/>
          <w:szCs w:val="24"/>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772D3D" w:rsidRPr="00772D3D" w:rsidRDefault="00772D3D" w:rsidP="00CF714A">
      <w:pPr>
        <w:spacing w:line="360" w:lineRule="auto"/>
        <w:jc w:val="both"/>
        <w:rPr>
          <w:rFonts w:ascii="Arial" w:hAnsi="Arial" w:cs="Arial"/>
          <w:sz w:val="24"/>
          <w:szCs w:val="24"/>
        </w:rPr>
      </w:pPr>
      <w:r w:rsidRPr="00772D3D">
        <w:rPr>
          <w:rFonts w:ascii="Arial" w:hAnsi="Arial" w:cs="Arial"/>
          <w:sz w:val="24"/>
          <w:szCs w:val="24"/>
        </w:rPr>
        <w:t xml:space="preserve">También se agregan las principales recomendaciones que </w:t>
      </w:r>
      <w:proofErr w:type="gramStart"/>
      <w:r w:rsidRPr="00772D3D">
        <w:rPr>
          <w:rFonts w:ascii="Arial" w:hAnsi="Arial" w:cs="Arial"/>
          <w:sz w:val="24"/>
          <w:szCs w:val="24"/>
        </w:rPr>
        <w:t>deberá</w:t>
      </w:r>
      <w:proofErr w:type="gramEnd"/>
      <w:r w:rsidRPr="00772D3D">
        <w:rPr>
          <w:rFonts w:ascii="Arial" w:hAnsi="Arial" w:cs="Arial"/>
          <w:sz w:val="24"/>
          <w:szCs w:val="24"/>
        </w:rPr>
        <w:t xml:space="preserve"> atender el Organismo y una evaluación del cumplimiento de las recomendaciones presentadas en el informe de auditoría del ejercicio anterior.</w:t>
      </w:r>
    </w:p>
    <w:p w:rsidR="00772D3D" w:rsidRPr="00772D3D" w:rsidRDefault="00772D3D" w:rsidP="00772D3D">
      <w:pPr>
        <w:numPr>
          <w:ilvl w:val="0"/>
          <w:numId w:val="4"/>
        </w:numPr>
        <w:spacing w:after="0" w:line="360" w:lineRule="auto"/>
        <w:ind w:left="0" w:hanging="284"/>
        <w:contextualSpacing/>
        <w:jc w:val="both"/>
        <w:rPr>
          <w:rFonts w:ascii="Arial" w:hAnsi="Arial" w:cs="Arial"/>
          <w:b/>
          <w:sz w:val="24"/>
          <w:szCs w:val="24"/>
        </w:rPr>
      </w:pPr>
      <w:r w:rsidRPr="00772D3D">
        <w:rPr>
          <w:rFonts w:ascii="Arial" w:hAnsi="Arial" w:cs="Arial"/>
          <w:b/>
          <w:sz w:val="24"/>
          <w:szCs w:val="24"/>
        </w:rPr>
        <w:t>Presentación de los Estado</w:t>
      </w:r>
      <w:r w:rsidR="00672B18">
        <w:rPr>
          <w:rFonts w:ascii="Arial" w:hAnsi="Arial" w:cs="Arial"/>
          <w:b/>
          <w:sz w:val="24"/>
          <w:szCs w:val="24"/>
        </w:rPr>
        <w:t>s</w:t>
      </w:r>
    </w:p>
    <w:p w:rsidR="00772D3D" w:rsidRPr="00772D3D" w:rsidRDefault="00772D3D" w:rsidP="00CF714A">
      <w:pPr>
        <w:spacing w:line="360" w:lineRule="auto"/>
        <w:jc w:val="both"/>
        <w:rPr>
          <w:rFonts w:ascii="Arial" w:hAnsi="Arial" w:cs="Arial"/>
          <w:spacing w:val="-3"/>
          <w:sz w:val="24"/>
          <w:szCs w:val="24"/>
          <w:lang w:val="es-ES_tradnl"/>
        </w:rPr>
      </w:pPr>
      <w:r w:rsidRPr="00772D3D">
        <w:rPr>
          <w:rFonts w:ascii="Arial" w:hAnsi="Arial" w:cs="Arial"/>
          <w:bCs/>
          <w:sz w:val="24"/>
          <w:szCs w:val="24"/>
        </w:rPr>
        <w:t xml:space="preserve">La Rendición de Cuentas y Balance de Ejecución Presupuestal de </w:t>
      </w:r>
      <w:r w:rsidRPr="00772D3D">
        <w:rPr>
          <w:rFonts w:ascii="Arial" w:hAnsi="Arial" w:cs="Arial"/>
          <w:sz w:val="24"/>
          <w:szCs w:val="24"/>
        </w:rPr>
        <w:t xml:space="preserve">la Junta Departamental de Rocha </w:t>
      </w:r>
      <w:r w:rsidRPr="00772D3D">
        <w:rPr>
          <w:rFonts w:ascii="Arial" w:hAnsi="Arial" w:cs="Arial"/>
          <w:bCs/>
          <w:sz w:val="24"/>
          <w:szCs w:val="24"/>
        </w:rPr>
        <w:t xml:space="preserve">correspondientes al ejercicio finalizado el </w:t>
      </w:r>
      <w:r w:rsidRPr="00772D3D">
        <w:rPr>
          <w:rFonts w:ascii="Arial" w:hAnsi="Arial" w:cs="Arial"/>
          <w:spacing w:val="-12"/>
          <w:sz w:val="24"/>
          <w:szCs w:val="24"/>
        </w:rPr>
        <w:t>31/12/2017</w:t>
      </w:r>
      <w:r w:rsidRPr="00772D3D">
        <w:rPr>
          <w:rFonts w:ascii="Arial" w:hAnsi="Arial" w:cs="Arial"/>
          <w:bCs/>
          <w:sz w:val="24"/>
          <w:szCs w:val="24"/>
        </w:rPr>
        <w:t xml:space="preserve">, fueron aprobados por Resolución de la Junta Departamental Nº 120/2018 del 12/06/2018 </w:t>
      </w:r>
      <w:r w:rsidRPr="00772D3D">
        <w:rPr>
          <w:rFonts w:ascii="Arial" w:hAnsi="Arial" w:cs="Arial"/>
          <w:spacing w:val="-3"/>
          <w:sz w:val="24"/>
          <w:szCs w:val="24"/>
          <w:lang w:val="es-ES_tradnl"/>
        </w:rPr>
        <w:t>y remitidos el 18/06/2018 para su examen a este Tribunal.</w:t>
      </w:r>
    </w:p>
    <w:p w:rsidR="00772D3D" w:rsidRPr="00772D3D" w:rsidRDefault="00772D3D" w:rsidP="00CF714A">
      <w:pPr>
        <w:spacing w:line="360" w:lineRule="auto"/>
        <w:jc w:val="both"/>
        <w:rPr>
          <w:rFonts w:ascii="Arial" w:hAnsi="Arial" w:cs="Arial"/>
          <w:spacing w:val="-3"/>
          <w:sz w:val="24"/>
          <w:szCs w:val="24"/>
          <w:lang w:val="es-ES_tradnl"/>
        </w:rPr>
      </w:pPr>
      <w:r w:rsidRPr="00772D3D">
        <w:rPr>
          <w:rFonts w:ascii="Arial" w:hAnsi="Arial" w:cs="Arial"/>
          <w:spacing w:val="-3"/>
          <w:sz w:val="24"/>
          <w:szCs w:val="24"/>
          <w:lang w:val="es-ES_tradnl"/>
        </w:rPr>
        <w:t xml:space="preserve">Dichos estados se presentan de acuerdo a lo  establecido en </w:t>
      </w:r>
      <w:r w:rsidRPr="00772D3D">
        <w:rPr>
          <w:rFonts w:ascii="Arial" w:hAnsi="Arial" w:cs="Arial"/>
          <w:sz w:val="24"/>
          <w:szCs w:val="24"/>
          <w:lang w:val="es-MX"/>
        </w:rPr>
        <w:t>Resolución de este Tribunal vigente a la fecha de presentación de los mismos.</w:t>
      </w:r>
    </w:p>
    <w:p w:rsidR="00772D3D" w:rsidRDefault="00772D3D" w:rsidP="00CF714A">
      <w:pPr>
        <w:spacing w:line="360" w:lineRule="auto"/>
        <w:jc w:val="both"/>
        <w:rPr>
          <w:rFonts w:ascii="Arial" w:hAnsi="Arial" w:cs="Arial"/>
          <w:color w:val="000000"/>
          <w:sz w:val="24"/>
          <w:szCs w:val="24"/>
          <w:lang w:eastAsia="zh-CN"/>
        </w:rPr>
      </w:pPr>
      <w:r w:rsidRPr="00772D3D">
        <w:rPr>
          <w:rFonts w:ascii="Arial" w:hAnsi="Arial" w:cs="Arial"/>
          <w:kern w:val="1"/>
          <w:sz w:val="24"/>
          <w:szCs w:val="24"/>
          <w:lang w:eastAsia="ar-SA"/>
        </w:rPr>
        <w:t>En base a los estados incluidos en la Rendición de Cuentas</w:t>
      </w:r>
      <w:r w:rsidRPr="00772D3D">
        <w:rPr>
          <w:rFonts w:ascii="Arial" w:hAnsi="Arial" w:cs="Arial"/>
          <w:color w:val="000000"/>
          <w:sz w:val="24"/>
          <w:szCs w:val="24"/>
          <w:lang w:eastAsia="zh-CN"/>
        </w:rPr>
        <w:t>, se presenta el siguiente resumen de la situación en materia de fondos de la Junta Departamental con relación a la Intendencia, en pesos uruguayos al 31/12/2017:</w:t>
      </w:r>
    </w:p>
    <w:p w:rsidR="00672B18" w:rsidRDefault="00672B18" w:rsidP="00CF714A">
      <w:pPr>
        <w:spacing w:line="360" w:lineRule="auto"/>
        <w:jc w:val="both"/>
        <w:rPr>
          <w:rFonts w:ascii="Arial" w:hAnsi="Arial" w:cs="Arial"/>
          <w:color w:val="000000"/>
          <w:sz w:val="24"/>
          <w:szCs w:val="24"/>
          <w:lang w:eastAsia="zh-CN"/>
        </w:rPr>
      </w:pPr>
    </w:p>
    <w:p w:rsidR="00672B18" w:rsidRPr="00772D3D" w:rsidRDefault="00672B18" w:rsidP="00CF714A">
      <w:pPr>
        <w:spacing w:line="360" w:lineRule="auto"/>
        <w:jc w:val="both"/>
        <w:rPr>
          <w:rFonts w:ascii="Arial" w:hAnsi="Arial" w:cs="Arial"/>
          <w:color w:val="000000"/>
          <w:sz w:val="24"/>
          <w:szCs w:val="24"/>
          <w:lang w:eastAsia="zh-CN"/>
        </w:rPr>
      </w:pPr>
    </w:p>
    <w:p w:rsidR="00772D3D" w:rsidRPr="00772D3D" w:rsidRDefault="00772D3D" w:rsidP="00CF714A">
      <w:pPr>
        <w:spacing w:line="360" w:lineRule="auto"/>
        <w:jc w:val="both"/>
        <w:rPr>
          <w:rFonts w:ascii="Arial" w:hAnsi="Arial" w:cs="Arial"/>
          <w:color w:val="000000"/>
          <w:sz w:val="24"/>
          <w:szCs w:val="24"/>
          <w:lang w:eastAsia="zh-CN"/>
        </w:rPr>
      </w:pPr>
      <w:r w:rsidRPr="00772D3D">
        <w:rPr>
          <w:rFonts w:ascii="Arial" w:hAnsi="Arial" w:cs="Arial"/>
          <w:color w:val="000000"/>
          <w:sz w:val="24"/>
          <w:szCs w:val="24"/>
          <w:lang w:eastAsia="zh-CN"/>
        </w:rPr>
        <w:t>Disponibilidades</w:t>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t>2.972.981</w:t>
      </w:r>
    </w:p>
    <w:p w:rsidR="00772D3D" w:rsidRPr="00772D3D" w:rsidRDefault="00772D3D" w:rsidP="00CF714A">
      <w:pPr>
        <w:spacing w:line="360" w:lineRule="auto"/>
        <w:jc w:val="both"/>
        <w:rPr>
          <w:rFonts w:ascii="Arial" w:hAnsi="Arial" w:cs="Arial"/>
          <w:color w:val="000000"/>
          <w:sz w:val="24"/>
          <w:szCs w:val="24"/>
          <w:lang w:eastAsia="zh-CN"/>
        </w:rPr>
      </w:pPr>
      <w:r w:rsidRPr="00772D3D">
        <w:rPr>
          <w:rFonts w:ascii="Arial" w:hAnsi="Arial" w:cs="Arial"/>
          <w:color w:val="000000"/>
          <w:sz w:val="24"/>
          <w:szCs w:val="24"/>
          <w:lang w:eastAsia="zh-CN"/>
        </w:rPr>
        <w:t>Menos:</w:t>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p>
    <w:p w:rsidR="00772D3D" w:rsidRPr="00772D3D" w:rsidRDefault="00772D3D" w:rsidP="00CF714A">
      <w:pPr>
        <w:spacing w:line="360" w:lineRule="auto"/>
        <w:jc w:val="both"/>
        <w:rPr>
          <w:rFonts w:ascii="Arial" w:hAnsi="Arial" w:cs="Arial"/>
          <w:color w:val="000000"/>
          <w:sz w:val="24"/>
          <w:szCs w:val="24"/>
          <w:lang w:eastAsia="zh-CN"/>
        </w:rPr>
      </w:pPr>
      <w:r w:rsidRPr="00772D3D">
        <w:rPr>
          <w:rFonts w:ascii="Arial" w:hAnsi="Arial" w:cs="Arial"/>
          <w:color w:val="000000"/>
          <w:sz w:val="24"/>
          <w:szCs w:val="24"/>
          <w:lang w:eastAsia="zh-CN"/>
        </w:rPr>
        <w:t xml:space="preserve">Obligaciones </w:t>
      </w:r>
      <w:proofErr w:type="spellStart"/>
      <w:r w:rsidRPr="00772D3D">
        <w:rPr>
          <w:rFonts w:ascii="Arial" w:hAnsi="Arial" w:cs="Arial"/>
          <w:color w:val="000000"/>
          <w:sz w:val="24"/>
          <w:szCs w:val="24"/>
          <w:lang w:eastAsia="zh-CN"/>
        </w:rPr>
        <w:t>Ptales</w:t>
      </w:r>
      <w:proofErr w:type="spellEnd"/>
      <w:r w:rsidRPr="00772D3D">
        <w:rPr>
          <w:rFonts w:ascii="Arial" w:hAnsi="Arial" w:cs="Arial"/>
          <w:color w:val="000000"/>
          <w:sz w:val="24"/>
          <w:szCs w:val="24"/>
          <w:lang w:eastAsia="zh-CN"/>
        </w:rPr>
        <w:t>. Impagas</w:t>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t>7.716.394</w:t>
      </w:r>
    </w:p>
    <w:p w:rsidR="00772D3D" w:rsidRPr="00772D3D" w:rsidRDefault="00772D3D" w:rsidP="00CF714A">
      <w:pPr>
        <w:spacing w:line="360" w:lineRule="auto"/>
        <w:jc w:val="both"/>
        <w:rPr>
          <w:rFonts w:ascii="Arial" w:hAnsi="Arial" w:cs="Arial"/>
          <w:color w:val="000000"/>
          <w:sz w:val="24"/>
          <w:szCs w:val="24"/>
          <w:lang w:eastAsia="zh-CN"/>
        </w:rPr>
      </w:pPr>
      <w:r w:rsidRPr="00772D3D">
        <w:rPr>
          <w:rFonts w:ascii="Arial" w:hAnsi="Arial" w:cs="Arial"/>
          <w:color w:val="000000"/>
          <w:sz w:val="24"/>
          <w:szCs w:val="24"/>
          <w:lang w:eastAsia="zh-CN"/>
        </w:rPr>
        <w:t>Indisponibles</w:t>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t xml:space="preserve">   </w:t>
      </w:r>
      <w:r w:rsidRPr="00772D3D">
        <w:rPr>
          <w:rFonts w:ascii="Arial" w:hAnsi="Arial" w:cs="Arial"/>
          <w:color w:val="000000"/>
          <w:sz w:val="24"/>
          <w:szCs w:val="24"/>
          <w:lang w:eastAsia="zh-CN"/>
        </w:rPr>
        <w:tab/>
        <w:t xml:space="preserve">   764.054</w:t>
      </w:r>
    </w:p>
    <w:p w:rsidR="00772D3D" w:rsidRPr="00772D3D" w:rsidRDefault="00772D3D" w:rsidP="00CF714A">
      <w:pPr>
        <w:spacing w:line="360" w:lineRule="auto"/>
        <w:jc w:val="both"/>
        <w:rPr>
          <w:rFonts w:ascii="Arial" w:hAnsi="Arial" w:cs="Arial"/>
          <w:color w:val="000000"/>
          <w:sz w:val="24"/>
          <w:szCs w:val="24"/>
          <w:lang w:eastAsia="zh-CN"/>
        </w:rPr>
      </w:pPr>
      <w:proofErr w:type="spellStart"/>
      <w:r w:rsidRPr="00772D3D">
        <w:rPr>
          <w:rFonts w:ascii="Arial" w:hAnsi="Arial" w:cs="Arial"/>
          <w:color w:val="000000"/>
          <w:sz w:val="24"/>
          <w:szCs w:val="24"/>
          <w:lang w:eastAsia="zh-CN"/>
        </w:rPr>
        <w:t>Extrapresupuesto</w:t>
      </w:r>
      <w:proofErr w:type="spellEnd"/>
      <w:r w:rsidRPr="00772D3D">
        <w:rPr>
          <w:rFonts w:ascii="Arial" w:hAnsi="Arial" w:cs="Arial"/>
          <w:color w:val="000000"/>
          <w:sz w:val="24"/>
          <w:szCs w:val="24"/>
          <w:lang w:eastAsia="zh-CN"/>
        </w:rPr>
        <w:t xml:space="preserve"> a Pagar</w:t>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t xml:space="preserve">       </w:t>
      </w:r>
      <w:r w:rsidRPr="00772D3D">
        <w:rPr>
          <w:rFonts w:ascii="Arial" w:hAnsi="Arial" w:cs="Arial"/>
          <w:color w:val="000000"/>
          <w:sz w:val="24"/>
          <w:szCs w:val="24"/>
          <w:u w:val="single"/>
          <w:lang w:eastAsia="zh-CN"/>
        </w:rPr>
        <w:tab/>
        <w:t xml:space="preserve">       4.597</w:t>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r>
      <w:r w:rsidRPr="00772D3D">
        <w:rPr>
          <w:rFonts w:ascii="Arial" w:hAnsi="Arial" w:cs="Arial"/>
          <w:color w:val="000000"/>
          <w:sz w:val="24"/>
          <w:szCs w:val="24"/>
          <w:u w:val="single"/>
          <w:lang w:eastAsia="zh-CN"/>
        </w:rPr>
        <w:t>(8:485.045)</w:t>
      </w:r>
    </w:p>
    <w:p w:rsidR="00772D3D" w:rsidRPr="00772D3D" w:rsidRDefault="00772D3D" w:rsidP="00CF714A">
      <w:pPr>
        <w:spacing w:line="360" w:lineRule="auto"/>
        <w:jc w:val="both"/>
        <w:rPr>
          <w:rFonts w:ascii="Arial" w:hAnsi="Arial" w:cs="Arial"/>
          <w:color w:val="000000"/>
          <w:sz w:val="24"/>
          <w:szCs w:val="24"/>
          <w:lang w:eastAsia="zh-CN"/>
        </w:rPr>
      </w:pPr>
      <w:r w:rsidRPr="00772D3D">
        <w:rPr>
          <w:rFonts w:ascii="Arial" w:hAnsi="Arial" w:cs="Arial"/>
          <w:color w:val="000000"/>
          <w:sz w:val="24"/>
          <w:szCs w:val="24"/>
          <w:lang w:eastAsia="zh-CN"/>
        </w:rPr>
        <w:t xml:space="preserve">Saldo adeudado por la Intendencia a la Junta </w:t>
      </w:r>
      <w:proofErr w:type="spellStart"/>
      <w:r w:rsidRPr="00772D3D">
        <w:rPr>
          <w:rFonts w:ascii="Arial" w:hAnsi="Arial" w:cs="Arial"/>
          <w:color w:val="000000"/>
          <w:sz w:val="24"/>
          <w:szCs w:val="24"/>
          <w:lang w:eastAsia="zh-CN"/>
        </w:rPr>
        <w:t>Deptal</w:t>
      </w:r>
      <w:proofErr w:type="spellEnd"/>
      <w:r w:rsidRPr="00772D3D">
        <w:rPr>
          <w:rFonts w:ascii="Arial" w:hAnsi="Arial" w:cs="Arial"/>
          <w:color w:val="000000"/>
          <w:sz w:val="24"/>
          <w:szCs w:val="24"/>
          <w:lang w:eastAsia="zh-CN"/>
        </w:rPr>
        <w:t>.</w:t>
      </w:r>
      <w:r w:rsidRPr="00772D3D">
        <w:rPr>
          <w:rFonts w:ascii="Arial" w:hAnsi="Arial" w:cs="Arial"/>
          <w:color w:val="000000"/>
          <w:sz w:val="24"/>
          <w:szCs w:val="24"/>
          <w:lang w:eastAsia="zh-CN"/>
        </w:rPr>
        <w:tab/>
      </w:r>
      <w:r w:rsidRPr="00772D3D">
        <w:rPr>
          <w:rFonts w:ascii="Arial" w:hAnsi="Arial" w:cs="Arial"/>
          <w:color w:val="000000"/>
          <w:sz w:val="24"/>
          <w:szCs w:val="24"/>
          <w:lang w:eastAsia="zh-CN"/>
        </w:rPr>
        <w:tab/>
        <w:t xml:space="preserve"> </w:t>
      </w:r>
      <w:r w:rsidRPr="00772D3D">
        <w:rPr>
          <w:rFonts w:ascii="Arial" w:hAnsi="Arial" w:cs="Arial"/>
          <w:color w:val="000000"/>
          <w:sz w:val="24"/>
          <w:szCs w:val="24"/>
          <w:lang w:eastAsia="zh-CN"/>
        </w:rPr>
        <w:tab/>
        <w:t>5.512.065</w:t>
      </w:r>
      <w:r w:rsidRPr="00772D3D">
        <w:rPr>
          <w:rFonts w:ascii="Arial" w:hAnsi="Arial" w:cs="Arial"/>
          <w:color w:val="000000"/>
          <w:sz w:val="24"/>
          <w:szCs w:val="24"/>
          <w:lang w:eastAsia="zh-CN"/>
        </w:rPr>
        <w:tab/>
      </w:r>
    </w:p>
    <w:p w:rsidR="001B7CAB" w:rsidRDefault="001B7CAB" w:rsidP="00CF714A">
      <w:pPr>
        <w:pStyle w:val="Ttulo2"/>
        <w:spacing w:before="0" w:line="360" w:lineRule="auto"/>
        <w:rPr>
          <w:rFonts w:ascii="Arial" w:hAnsi="Arial" w:cs="Arial"/>
          <w:color w:val="auto"/>
          <w:sz w:val="24"/>
          <w:szCs w:val="24"/>
        </w:rPr>
      </w:pPr>
      <w:bookmarkStart w:id="5" w:name="_Toc241982469"/>
      <w:bookmarkStart w:id="6" w:name="_Toc304209379"/>
    </w:p>
    <w:p w:rsidR="00772D3D" w:rsidRPr="00772D3D" w:rsidRDefault="00772D3D" w:rsidP="00CF714A">
      <w:pPr>
        <w:pStyle w:val="Ttulo2"/>
        <w:spacing w:before="0" w:line="360" w:lineRule="auto"/>
        <w:rPr>
          <w:rFonts w:ascii="Arial" w:hAnsi="Arial" w:cs="Arial"/>
          <w:color w:val="auto"/>
          <w:sz w:val="24"/>
          <w:szCs w:val="24"/>
        </w:rPr>
      </w:pPr>
      <w:r w:rsidRPr="00772D3D">
        <w:rPr>
          <w:rFonts w:ascii="Arial" w:hAnsi="Arial" w:cs="Arial"/>
          <w:color w:val="auto"/>
          <w:sz w:val="24"/>
          <w:szCs w:val="24"/>
        </w:rPr>
        <w:t>2. Constataciones que no afectan la opinión de los estados contables</w:t>
      </w:r>
    </w:p>
    <w:p w:rsidR="00772D3D" w:rsidRPr="00772D3D" w:rsidRDefault="00772D3D" w:rsidP="00CF714A">
      <w:pPr>
        <w:pStyle w:val="Ttulo2"/>
        <w:spacing w:before="0" w:line="360" w:lineRule="auto"/>
        <w:rPr>
          <w:rFonts w:ascii="Arial" w:hAnsi="Arial" w:cs="Arial"/>
          <w:color w:val="auto"/>
          <w:sz w:val="24"/>
          <w:szCs w:val="24"/>
        </w:rPr>
      </w:pPr>
      <w:r w:rsidRPr="00772D3D">
        <w:rPr>
          <w:rFonts w:ascii="Arial" w:hAnsi="Arial" w:cs="Arial"/>
          <w:color w:val="auto"/>
          <w:sz w:val="24"/>
          <w:szCs w:val="24"/>
        </w:rPr>
        <w:t>Saldos de las cuentas bancarias</w:t>
      </w:r>
    </w:p>
    <w:p w:rsidR="00772D3D" w:rsidRDefault="00772D3D" w:rsidP="00CF714A">
      <w:pPr>
        <w:pStyle w:val="Textoindependiente"/>
        <w:rPr>
          <w:rFonts w:cs="Arial"/>
        </w:rPr>
      </w:pPr>
      <w:r w:rsidRPr="00772D3D">
        <w:rPr>
          <w:rFonts w:cs="Arial"/>
        </w:rPr>
        <w:t>La contabilidad no discrimina  entre el saldo bancario y el importe de los fondos que se  mantienen en caja. Por este motivo en el arqueo de caja se incluye el saldo de la cuenta bancaria.</w:t>
      </w:r>
    </w:p>
    <w:p w:rsidR="001B7CAB" w:rsidRPr="00772D3D" w:rsidRDefault="001B7CAB" w:rsidP="00CF714A">
      <w:pPr>
        <w:pStyle w:val="Textoindependiente"/>
        <w:rPr>
          <w:rFonts w:cs="Arial"/>
        </w:rPr>
      </w:pPr>
    </w:p>
    <w:p w:rsidR="00772D3D" w:rsidRPr="00772D3D" w:rsidRDefault="00772D3D" w:rsidP="00CF714A">
      <w:pPr>
        <w:spacing w:line="360" w:lineRule="auto"/>
        <w:rPr>
          <w:rFonts w:ascii="Arial" w:hAnsi="Arial" w:cs="Arial"/>
          <w:b/>
          <w:sz w:val="24"/>
          <w:szCs w:val="24"/>
        </w:rPr>
      </w:pPr>
      <w:bookmarkStart w:id="7" w:name="_Toc426380159"/>
      <w:r w:rsidRPr="00772D3D">
        <w:rPr>
          <w:rFonts w:ascii="Arial" w:hAnsi="Arial" w:cs="Arial"/>
          <w:b/>
          <w:sz w:val="24"/>
          <w:szCs w:val="24"/>
        </w:rPr>
        <w:t>3. Evaluación del control interno</w:t>
      </w:r>
    </w:p>
    <w:p w:rsidR="00772D3D" w:rsidRPr="00772D3D" w:rsidRDefault="00772D3D" w:rsidP="00CF714A">
      <w:pPr>
        <w:pStyle w:val="Textoindependiente"/>
        <w:rPr>
          <w:rFonts w:cs="Arial"/>
          <w:bCs/>
        </w:rPr>
      </w:pPr>
      <w:r w:rsidRPr="00772D3D">
        <w:rPr>
          <w:rFonts w:cs="Arial"/>
          <w:bCs/>
        </w:rPr>
        <w:t xml:space="preserve">En el examen de los aspectos de control interno relevantes para la preparación y presentación razonable de </w:t>
      </w:r>
      <w:r w:rsidRPr="00772D3D">
        <w:rPr>
          <w:rFonts w:cs="Arial"/>
        </w:rPr>
        <w:t xml:space="preserve">la Rendición de Cuentas y Balance de Ejecución Presupuestal no se constataron debilidades </w:t>
      </w:r>
      <w:r w:rsidRPr="00772D3D">
        <w:rPr>
          <w:rFonts w:cs="Arial"/>
          <w:bCs/>
        </w:rPr>
        <w:t>en relación a las actividades de control e información financiera y se constataron incumplimiento de normas legales.</w:t>
      </w:r>
    </w:p>
    <w:p w:rsidR="00D529EE" w:rsidRPr="00772D3D" w:rsidRDefault="00D529EE" w:rsidP="00CF714A">
      <w:pPr>
        <w:spacing w:line="360" w:lineRule="auto"/>
        <w:rPr>
          <w:rFonts w:ascii="Arial" w:hAnsi="Arial" w:cs="Arial"/>
          <w:sz w:val="24"/>
          <w:szCs w:val="24"/>
        </w:rPr>
      </w:pPr>
      <w:bookmarkStart w:id="8" w:name="_Toc76280781"/>
      <w:bookmarkStart w:id="9" w:name="_Toc422141167"/>
      <w:bookmarkStart w:id="10" w:name="_Toc71366624"/>
      <w:bookmarkEnd w:id="5"/>
      <w:bookmarkEnd w:id="6"/>
      <w:bookmarkEnd w:id="7"/>
    </w:p>
    <w:p w:rsidR="00772D3D" w:rsidRPr="00772D3D" w:rsidRDefault="00772D3D" w:rsidP="00CF714A">
      <w:pPr>
        <w:pStyle w:val="Ttulo2"/>
        <w:spacing w:before="0" w:line="360" w:lineRule="auto"/>
        <w:rPr>
          <w:rFonts w:ascii="Arial" w:hAnsi="Arial" w:cs="Arial"/>
          <w:color w:val="auto"/>
          <w:sz w:val="24"/>
          <w:szCs w:val="24"/>
        </w:rPr>
      </w:pPr>
      <w:r w:rsidRPr="00772D3D">
        <w:rPr>
          <w:rFonts w:ascii="Arial" w:hAnsi="Arial" w:cs="Arial"/>
          <w:color w:val="auto"/>
          <w:sz w:val="24"/>
          <w:szCs w:val="24"/>
        </w:rPr>
        <w:t>4. Recomendaciones</w:t>
      </w:r>
      <w:bookmarkStart w:id="11" w:name="_Toc76280782"/>
      <w:bookmarkEnd w:id="8"/>
      <w:bookmarkEnd w:id="9"/>
    </w:p>
    <w:p w:rsidR="00772D3D" w:rsidRPr="00772D3D" w:rsidRDefault="00772D3D" w:rsidP="00CF714A">
      <w:pPr>
        <w:pStyle w:val="Ttulo2"/>
        <w:spacing w:before="0" w:line="360" w:lineRule="auto"/>
        <w:rPr>
          <w:rFonts w:ascii="Arial" w:hAnsi="Arial" w:cs="Arial"/>
          <w:color w:val="auto"/>
          <w:sz w:val="24"/>
          <w:szCs w:val="24"/>
        </w:rPr>
      </w:pPr>
      <w:bookmarkStart w:id="12" w:name="_Toc422141168"/>
      <w:bookmarkStart w:id="13" w:name="_Toc45437519"/>
      <w:bookmarkStart w:id="14" w:name="_Toc76280784"/>
      <w:bookmarkEnd w:id="11"/>
      <w:r w:rsidRPr="00772D3D">
        <w:rPr>
          <w:rFonts w:ascii="Arial" w:hAnsi="Arial" w:cs="Arial"/>
          <w:color w:val="auto"/>
          <w:sz w:val="24"/>
          <w:szCs w:val="24"/>
        </w:rPr>
        <w:t>4.1 Recomenda</w:t>
      </w:r>
      <w:r w:rsidR="00672B18">
        <w:rPr>
          <w:rFonts w:ascii="Arial" w:hAnsi="Arial" w:cs="Arial"/>
          <w:color w:val="auto"/>
          <w:sz w:val="24"/>
          <w:szCs w:val="24"/>
        </w:rPr>
        <w:t>ciones de ejercicios anteriores</w:t>
      </w:r>
    </w:p>
    <w:p w:rsidR="00772D3D" w:rsidRPr="00772D3D" w:rsidRDefault="00772D3D" w:rsidP="00CF714A">
      <w:pPr>
        <w:spacing w:line="360" w:lineRule="auto"/>
        <w:rPr>
          <w:rFonts w:ascii="Arial" w:hAnsi="Arial" w:cs="Arial"/>
          <w:b/>
          <w:sz w:val="24"/>
          <w:szCs w:val="24"/>
        </w:rPr>
      </w:pPr>
      <w:r w:rsidRPr="00772D3D">
        <w:rPr>
          <w:rFonts w:ascii="Arial" w:hAnsi="Arial" w:cs="Arial"/>
          <w:b/>
          <w:sz w:val="24"/>
          <w:szCs w:val="24"/>
        </w:rPr>
        <w:t>4.1.1 Cumplidas</w:t>
      </w:r>
    </w:p>
    <w:p w:rsidR="00772D3D" w:rsidRPr="00772D3D" w:rsidRDefault="00772D3D" w:rsidP="00CF714A">
      <w:pPr>
        <w:pStyle w:val="Ttulo2"/>
        <w:spacing w:before="0" w:line="360" w:lineRule="auto"/>
        <w:rPr>
          <w:rFonts w:ascii="Arial" w:hAnsi="Arial" w:cs="Arial"/>
          <w:color w:val="auto"/>
          <w:sz w:val="24"/>
          <w:szCs w:val="24"/>
        </w:rPr>
      </w:pPr>
      <w:r w:rsidRPr="00772D3D">
        <w:rPr>
          <w:rFonts w:ascii="Arial" w:hAnsi="Arial" w:cs="Arial"/>
          <w:color w:val="auto"/>
          <w:sz w:val="24"/>
          <w:szCs w:val="24"/>
        </w:rPr>
        <w:t>Pago de sueldos (Artículo 34 de la Ley 19.210 y Decreto Nº 429/004)</w:t>
      </w:r>
    </w:p>
    <w:p w:rsidR="00772D3D" w:rsidRPr="00772D3D" w:rsidRDefault="00772D3D" w:rsidP="00CF714A">
      <w:pPr>
        <w:pStyle w:val="Ttulo2"/>
        <w:spacing w:before="0" w:line="360" w:lineRule="auto"/>
        <w:rPr>
          <w:rFonts w:ascii="Arial" w:hAnsi="Arial" w:cs="Arial"/>
          <w:b w:val="0"/>
          <w:color w:val="auto"/>
          <w:sz w:val="24"/>
          <w:szCs w:val="24"/>
        </w:rPr>
      </w:pPr>
      <w:r w:rsidRPr="00772D3D">
        <w:rPr>
          <w:rFonts w:ascii="Arial" w:hAnsi="Arial" w:cs="Arial"/>
          <w:b w:val="0"/>
          <w:color w:val="auto"/>
          <w:sz w:val="24"/>
          <w:szCs w:val="24"/>
        </w:rPr>
        <w:t>Los descuentos realizados a los sueldos respetaron el monto líquido mínimo establecido por ley y se tuvo en cuenta las prioridades de descuentos de las retenciones sobre retribuciones salariales.</w:t>
      </w:r>
    </w:p>
    <w:p w:rsidR="00772D3D" w:rsidRPr="00772D3D" w:rsidRDefault="00772D3D" w:rsidP="00CF714A">
      <w:pPr>
        <w:spacing w:line="360" w:lineRule="auto"/>
        <w:rPr>
          <w:rFonts w:ascii="Arial" w:hAnsi="Arial" w:cs="Arial"/>
          <w:b/>
          <w:sz w:val="24"/>
          <w:szCs w:val="24"/>
        </w:rPr>
      </w:pPr>
      <w:r w:rsidRPr="00772D3D">
        <w:rPr>
          <w:rFonts w:ascii="Arial" w:hAnsi="Arial" w:cs="Arial"/>
          <w:b/>
          <w:sz w:val="24"/>
          <w:szCs w:val="24"/>
        </w:rPr>
        <w:t xml:space="preserve">4.1.2 No </w:t>
      </w:r>
      <w:proofErr w:type="gramStart"/>
      <w:r w:rsidRPr="00772D3D">
        <w:rPr>
          <w:rFonts w:ascii="Arial" w:hAnsi="Arial" w:cs="Arial"/>
          <w:b/>
          <w:sz w:val="24"/>
          <w:szCs w:val="24"/>
        </w:rPr>
        <w:t>cumplidas</w:t>
      </w:r>
      <w:proofErr w:type="gramEnd"/>
    </w:p>
    <w:p w:rsidR="00772D3D" w:rsidRPr="00772D3D" w:rsidRDefault="00772D3D" w:rsidP="00CF714A">
      <w:pPr>
        <w:pStyle w:val="Ttulo2"/>
        <w:spacing w:before="0" w:line="360" w:lineRule="auto"/>
        <w:rPr>
          <w:rFonts w:ascii="Arial" w:hAnsi="Arial" w:cs="Arial"/>
          <w:color w:val="auto"/>
          <w:sz w:val="24"/>
          <w:szCs w:val="24"/>
        </w:rPr>
      </w:pPr>
      <w:bookmarkStart w:id="15" w:name="_Toc70925387"/>
      <w:bookmarkStart w:id="16" w:name="_Toc422141169"/>
      <w:bookmarkEnd w:id="12"/>
      <w:r w:rsidRPr="00772D3D">
        <w:rPr>
          <w:rFonts w:ascii="Arial" w:hAnsi="Arial" w:cs="Arial"/>
          <w:color w:val="auto"/>
          <w:sz w:val="24"/>
          <w:szCs w:val="24"/>
        </w:rPr>
        <w:t>4.1.2.1 Saldos de las cuentas bancarias</w:t>
      </w:r>
      <w:bookmarkEnd w:id="15"/>
      <w:bookmarkEnd w:id="16"/>
    </w:p>
    <w:p w:rsidR="00772D3D" w:rsidRPr="00772D3D" w:rsidRDefault="00772D3D" w:rsidP="00CF714A">
      <w:pPr>
        <w:pStyle w:val="Ttulo2"/>
        <w:spacing w:before="0" w:line="360" w:lineRule="auto"/>
        <w:rPr>
          <w:rFonts w:ascii="Arial" w:hAnsi="Arial" w:cs="Arial"/>
          <w:b w:val="0"/>
          <w:color w:val="auto"/>
          <w:sz w:val="24"/>
          <w:szCs w:val="24"/>
        </w:rPr>
      </w:pPr>
      <w:r w:rsidRPr="00772D3D">
        <w:rPr>
          <w:rFonts w:ascii="Arial" w:hAnsi="Arial" w:cs="Arial"/>
          <w:b w:val="0"/>
          <w:color w:val="auto"/>
          <w:sz w:val="24"/>
          <w:szCs w:val="24"/>
        </w:rPr>
        <w:t>La Junta deberá modificar su registración a fin de presentar los saldos de caja y bancos, correctamente identificados.</w:t>
      </w:r>
    </w:p>
    <w:p w:rsidR="00772D3D" w:rsidRPr="00772D3D" w:rsidRDefault="00772D3D" w:rsidP="00CF714A">
      <w:pPr>
        <w:pStyle w:val="Ttulo2"/>
        <w:spacing w:before="0" w:line="360" w:lineRule="auto"/>
        <w:rPr>
          <w:rFonts w:ascii="Arial" w:hAnsi="Arial" w:cs="Arial"/>
          <w:color w:val="auto"/>
          <w:sz w:val="24"/>
          <w:szCs w:val="24"/>
        </w:rPr>
      </w:pPr>
      <w:bookmarkStart w:id="17" w:name="_Toc44746595"/>
      <w:bookmarkStart w:id="18" w:name="_Toc54505179"/>
      <w:bookmarkStart w:id="19" w:name="_Toc422141170"/>
      <w:bookmarkStart w:id="20" w:name="_Toc45437517"/>
      <w:bookmarkStart w:id="21" w:name="_Toc76280787"/>
      <w:bookmarkEnd w:id="13"/>
      <w:bookmarkEnd w:id="14"/>
      <w:r w:rsidRPr="00772D3D">
        <w:rPr>
          <w:rFonts w:ascii="Arial" w:hAnsi="Arial" w:cs="Arial"/>
          <w:color w:val="auto"/>
          <w:sz w:val="24"/>
          <w:szCs w:val="24"/>
        </w:rPr>
        <w:t xml:space="preserve">4.1.2.2 </w:t>
      </w:r>
      <w:bookmarkEnd w:id="17"/>
      <w:bookmarkEnd w:id="18"/>
      <w:r w:rsidRPr="00772D3D">
        <w:rPr>
          <w:rFonts w:ascii="Arial" w:hAnsi="Arial" w:cs="Arial"/>
          <w:color w:val="auto"/>
          <w:sz w:val="24"/>
          <w:szCs w:val="24"/>
        </w:rPr>
        <w:t>Gestión patrimonial</w:t>
      </w:r>
      <w:bookmarkEnd w:id="19"/>
    </w:p>
    <w:p w:rsidR="00772D3D" w:rsidRPr="00772D3D" w:rsidRDefault="00772D3D" w:rsidP="00CF714A">
      <w:pPr>
        <w:pStyle w:val="Textoindependiente"/>
        <w:rPr>
          <w:rFonts w:cs="Arial"/>
        </w:rPr>
      </w:pPr>
      <w:bookmarkStart w:id="22" w:name="_Toc78193778"/>
      <w:r w:rsidRPr="00772D3D">
        <w:rPr>
          <w:rFonts w:cs="Arial"/>
        </w:rPr>
        <w:t>De acuerdo a lo establecido en el art. 94 del TOCAF, la Corporación deberá implementar un sistema que permita conocer la gestión patrimonial aplicando lo dispuesto por la Ordenanza 89.</w:t>
      </w:r>
      <w:bookmarkEnd w:id="22"/>
    </w:p>
    <w:p w:rsidR="00772D3D" w:rsidRPr="00772D3D" w:rsidRDefault="00772D3D" w:rsidP="00CF714A">
      <w:pPr>
        <w:pStyle w:val="Ttulo2"/>
        <w:spacing w:before="0" w:line="360" w:lineRule="auto"/>
        <w:rPr>
          <w:rFonts w:ascii="Arial" w:hAnsi="Arial" w:cs="Arial"/>
          <w:color w:val="auto"/>
          <w:sz w:val="24"/>
          <w:szCs w:val="24"/>
        </w:rPr>
      </w:pPr>
      <w:bookmarkStart w:id="23" w:name="_Toc70925392"/>
      <w:bookmarkStart w:id="24" w:name="_Toc422141171"/>
      <w:bookmarkEnd w:id="20"/>
      <w:bookmarkEnd w:id="21"/>
      <w:r w:rsidRPr="00772D3D">
        <w:rPr>
          <w:rFonts w:ascii="Arial" w:hAnsi="Arial" w:cs="Arial"/>
          <w:color w:val="auto"/>
          <w:sz w:val="24"/>
          <w:szCs w:val="24"/>
        </w:rPr>
        <w:t>4.1.2.3 Inventario de Bienes de Uso</w:t>
      </w:r>
      <w:bookmarkEnd w:id="23"/>
      <w:bookmarkEnd w:id="24"/>
    </w:p>
    <w:p w:rsidR="00772D3D" w:rsidRPr="00772D3D" w:rsidRDefault="00772D3D" w:rsidP="00CF714A">
      <w:pPr>
        <w:pStyle w:val="Textoindependiente"/>
        <w:rPr>
          <w:rFonts w:cs="Arial"/>
        </w:rPr>
      </w:pPr>
      <w:r w:rsidRPr="00772D3D">
        <w:rPr>
          <w:rFonts w:cs="Arial"/>
        </w:rPr>
        <w:t>De acuerdo a lo dispuesto por los Artículos 84 y 97 del TOCAF, la Junta deberá implementar los procedimientos contables que permitan verificar las existencias de bienes de uso, los movimientos de los mismos y todos los registros que prevé la Ordenanza Nº 89 a efectos de reflejar su correcta valuación.</w:t>
      </w:r>
    </w:p>
    <w:p w:rsidR="00772D3D" w:rsidRPr="00772D3D" w:rsidRDefault="00772D3D" w:rsidP="00CF714A">
      <w:pPr>
        <w:pStyle w:val="Ttulo2"/>
        <w:spacing w:before="0" w:line="360" w:lineRule="auto"/>
        <w:rPr>
          <w:rFonts w:ascii="Arial" w:hAnsi="Arial" w:cs="Arial"/>
          <w:color w:val="auto"/>
          <w:sz w:val="24"/>
          <w:szCs w:val="24"/>
        </w:rPr>
      </w:pPr>
      <w:bookmarkStart w:id="25" w:name="_Toc422141172"/>
      <w:r w:rsidRPr="00772D3D">
        <w:rPr>
          <w:rFonts w:ascii="Arial" w:hAnsi="Arial" w:cs="Arial"/>
          <w:color w:val="auto"/>
          <w:sz w:val="24"/>
          <w:szCs w:val="24"/>
        </w:rPr>
        <w:t>4.1.2.4  Reintegro de gastos de los Ediles</w:t>
      </w:r>
      <w:bookmarkEnd w:id="25"/>
    </w:p>
    <w:p w:rsidR="00772D3D" w:rsidRPr="00772D3D" w:rsidRDefault="00772D3D" w:rsidP="00CF714A">
      <w:pPr>
        <w:pStyle w:val="Ttulo2"/>
        <w:spacing w:before="0" w:line="360" w:lineRule="auto"/>
        <w:jc w:val="both"/>
        <w:rPr>
          <w:rFonts w:ascii="Arial" w:hAnsi="Arial" w:cs="Arial"/>
          <w:b w:val="0"/>
          <w:color w:val="auto"/>
          <w:sz w:val="24"/>
          <w:szCs w:val="24"/>
        </w:rPr>
      </w:pPr>
      <w:r w:rsidRPr="00772D3D">
        <w:rPr>
          <w:rFonts w:ascii="Arial" w:hAnsi="Arial" w:cs="Arial"/>
          <w:b w:val="0"/>
          <w:color w:val="auto"/>
          <w:sz w:val="24"/>
          <w:szCs w:val="24"/>
        </w:rPr>
        <w:t>La Junta deberá implementar los procedimientos para que las rendiciones</w:t>
      </w:r>
      <w:r w:rsidRPr="00772D3D">
        <w:rPr>
          <w:rFonts w:ascii="Arial" w:hAnsi="Arial" w:cs="Arial"/>
          <w:b w:val="0"/>
          <w:bCs w:val="0"/>
          <w:color w:val="auto"/>
          <w:sz w:val="24"/>
          <w:szCs w:val="24"/>
        </w:rPr>
        <w:t xml:space="preserve"> de gastos de los Señores Ediles se realicen de acuerdo </w:t>
      </w:r>
      <w:r w:rsidRPr="00772D3D">
        <w:rPr>
          <w:rFonts w:ascii="Arial" w:hAnsi="Arial" w:cs="Arial"/>
          <w:b w:val="0"/>
          <w:color w:val="auto"/>
          <w:sz w:val="24"/>
          <w:szCs w:val="24"/>
        </w:rPr>
        <w:t>con lo dispuesto en las Resoluciones 42/07, 43/07,  80/11 y 81/11.</w:t>
      </w:r>
    </w:p>
    <w:p w:rsidR="00772D3D" w:rsidRPr="00772D3D" w:rsidRDefault="00772D3D" w:rsidP="00CF714A">
      <w:pPr>
        <w:keepNext/>
        <w:keepLines/>
        <w:spacing w:line="360" w:lineRule="auto"/>
        <w:outlineLvl w:val="1"/>
        <w:rPr>
          <w:rFonts w:ascii="Arial" w:hAnsi="Arial" w:cs="Arial"/>
          <w:b/>
          <w:bCs/>
          <w:sz w:val="24"/>
          <w:szCs w:val="24"/>
        </w:rPr>
      </w:pPr>
      <w:r w:rsidRPr="00772D3D">
        <w:rPr>
          <w:rFonts w:ascii="Arial" w:hAnsi="Arial" w:cs="Arial"/>
          <w:b/>
          <w:bCs/>
          <w:sz w:val="24"/>
          <w:szCs w:val="24"/>
        </w:rPr>
        <w:t>4.1.2.5 Seguro de Accidentes del Trabajo</w:t>
      </w:r>
    </w:p>
    <w:p w:rsidR="00772D3D" w:rsidRDefault="00772D3D" w:rsidP="00CF714A">
      <w:pPr>
        <w:spacing w:line="360" w:lineRule="auto"/>
        <w:jc w:val="both"/>
        <w:rPr>
          <w:rFonts w:ascii="Arial" w:hAnsi="Arial" w:cs="Arial"/>
          <w:bCs/>
          <w:sz w:val="24"/>
          <w:szCs w:val="24"/>
        </w:rPr>
      </w:pPr>
      <w:r w:rsidRPr="00772D3D">
        <w:rPr>
          <w:rFonts w:ascii="Arial" w:hAnsi="Arial" w:cs="Arial"/>
          <w:bCs/>
          <w:sz w:val="24"/>
          <w:szCs w:val="24"/>
        </w:rPr>
        <w:t>La Junta deberá contratar la póliza por accidentes de trabajo para el personal que realiza trabajo manual de riesgo.</w:t>
      </w:r>
    </w:p>
    <w:p w:rsidR="00672B18" w:rsidRPr="00772D3D" w:rsidRDefault="00672B18" w:rsidP="00CF714A">
      <w:pPr>
        <w:spacing w:line="360" w:lineRule="auto"/>
        <w:jc w:val="both"/>
        <w:rPr>
          <w:rFonts w:ascii="Arial" w:hAnsi="Arial" w:cs="Arial"/>
          <w:bCs/>
          <w:sz w:val="24"/>
          <w:szCs w:val="24"/>
        </w:rPr>
      </w:pPr>
    </w:p>
    <w:p w:rsidR="00772D3D" w:rsidRPr="00772D3D" w:rsidRDefault="00772D3D" w:rsidP="00CF714A">
      <w:pPr>
        <w:pStyle w:val="Ttulo2"/>
        <w:keepNext w:val="0"/>
        <w:keepLines w:val="0"/>
        <w:spacing w:before="0" w:line="360" w:lineRule="auto"/>
        <w:jc w:val="both"/>
        <w:rPr>
          <w:rFonts w:ascii="Arial" w:hAnsi="Arial" w:cs="Arial"/>
          <w:color w:val="auto"/>
          <w:sz w:val="24"/>
          <w:szCs w:val="24"/>
        </w:rPr>
      </w:pPr>
      <w:bookmarkStart w:id="26" w:name="_Toc422141173"/>
      <w:r w:rsidRPr="00772D3D">
        <w:rPr>
          <w:rFonts w:ascii="Arial" w:hAnsi="Arial" w:cs="Arial"/>
          <w:color w:val="auto"/>
          <w:sz w:val="24"/>
          <w:szCs w:val="24"/>
        </w:rPr>
        <w:t>4.2 Recomendaciones del ejercicio</w:t>
      </w:r>
      <w:bookmarkEnd w:id="26"/>
    </w:p>
    <w:p w:rsidR="00772D3D" w:rsidRPr="00772D3D" w:rsidRDefault="00772D3D" w:rsidP="00CF714A">
      <w:pPr>
        <w:pStyle w:val="Textoindependiente"/>
        <w:rPr>
          <w:rFonts w:cs="Arial"/>
        </w:rPr>
      </w:pPr>
      <w:r w:rsidRPr="00772D3D">
        <w:rPr>
          <w:rFonts w:cs="Arial"/>
        </w:rPr>
        <w:t>Se reiteran las recomendaciones señaladas en ejercicios anteriores y se agregan las siguientes:</w:t>
      </w:r>
    </w:p>
    <w:p w:rsidR="00772D3D" w:rsidRPr="00772D3D" w:rsidRDefault="00772D3D" w:rsidP="00CF714A">
      <w:pPr>
        <w:spacing w:line="360" w:lineRule="auto"/>
        <w:jc w:val="both"/>
        <w:rPr>
          <w:rFonts w:ascii="Arial" w:hAnsi="Arial" w:cs="Arial"/>
          <w:b/>
          <w:sz w:val="24"/>
          <w:szCs w:val="24"/>
        </w:rPr>
      </w:pPr>
      <w:r w:rsidRPr="00772D3D">
        <w:rPr>
          <w:rFonts w:ascii="Arial" w:hAnsi="Arial" w:cs="Arial"/>
          <w:b/>
          <w:sz w:val="24"/>
          <w:szCs w:val="24"/>
        </w:rPr>
        <w:t xml:space="preserve">4.2.1 Compensaciones de sueldos </w:t>
      </w:r>
      <w:r w:rsidR="00D529EE">
        <w:rPr>
          <w:rFonts w:ascii="Arial" w:hAnsi="Arial" w:cs="Arial"/>
          <w:b/>
          <w:sz w:val="24"/>
          <w:szCs w:val="24"/>
        </w:rPr>
        <w:t>no previstas en el presupuesto:</w:t>
      </w:r>
    </w:p>
    <w:p w:rsidR="00772D3D" w:rsidRPr="00772D3D" w:rsidRDefault="00772D3D" w:rsidP="00CF714A">
      <w:pPr>
        <w:spacing w:line="360" w:lineRule="auto"/>
        <w:jc w:val="both"/>
        <w:rPr>
          <w:rFonts w:ascii="Arial" w:hAnsi="Arial" w:cs="Arial"/>
          <w:sz w:val="24"/>
          <w:szCs w:val="24"/>
        </w:rPr>
      </w:pPr>
      <w:r w:rsidRPr="00772D3D">
        <w:rPr>
          <w:rFonts w:ascii="Arial" w:hAnsi="Arial" w:cs="Arial"/>
          <w:sz w:val="24"/>
          <w:szCs w:val="24"/>
        </w:rPr>
        <w:t>Al liquidarse y abonarse a los funcionarios partidas de carácter salarial, se debe tener en cuenta lo establecido en el Artículo 86 de la Constitución de la República, en cuanto a que las mismas deben estar avaladas por una norma presupuestal. En particular, se pagaron compensaciones de sueldos por conceptos de “Asignación de Funciones” y por “Diferencia de Grado” no previ</w:t>
      </w:r>
      <w:r w:rsidR="00672B18">
        <w:rPr>
          <w:rFonts w:ascii="Arial" w:hAnsi="Arial" w:cs="Arial"/>
          <w:sz w:val="24"/>
          <w:szCs w:val="24"/>
        </w:rPr>
        <w:t>stas en el presupuesto vigente.</w:t>
      </w:r>
    </w:p>
    <w:p w:rsidR="00772D3D" w:rsidRDefault="00772D3D" w:rsidP="00CF714A">
      <w:pPr>
        <w:pStyle w:val="Textoindependiente"/>
        <w:rPr>
          <w:rFonts w:cs="Arial"/>
        </w:rPr>
      </w:pPr>
      <w:r w:rsidRPr="00772D3D">
        <w:rPr>
          <w:rFonts w:cs="Arial"/>
          <w:b/>
        </w:rPr>
        <w:t>4.2.2- Funcionarios que manejan fondos</w:t>
      </w:r>
      <w:r w:rsidRPr="00772D3D">
        <w:rPr>
          <w:rFonts w:cs="Arial"/>
          <w:b/>
          <w:bCs/>
        </w:rPr>
        <w:t>:</w:t>
      </w:r>
      <w:r w:rsidRPr="00772D3D">
        <w:rPr>
          <w:rFonts w:cs="Arial"/>
        </w:rPr>
        <w:t xml:space="preserve"> La Junta Departamental deberá contratar fianza o póliza de seguros respecto de los funcionarios que manejan o custodian fondos o valores, de acuerdo a lo establecido en los </w:t>
      </w:r>
      <w:r w:rsidRPr="00772D3D">
        <w:rPr>
          <w:rFonts w:cs="Arial"/>
          <w:bCs/>
        </w:rPr>
        <w:t>Artículos 90 y 154 del TOCAF</w:t>
      </w:r>
      <w:r w:rsidRPr="00772D3D">
        <w:rPr>
          <w:rFonts w:cs="Arial"/>
        </w:rPr>
        <w:t>.</w:t>
      </w:r>
      <w:bookmarkEnd w:id="10"/>
    </w:p>
    <w:p w:rsidR="00672B18" w:rsidRDefault="00672B18" w:rsidP="00CF714A">
      <w:pPr>
        <w:pStyle w:val="Textoindependiente"/>
        <w:rPr>
          <w:rFonts w:cs="Arial"/>
        </w:rPr>
      </w:pPr>
    </w:p>
    <w:p w:rsidR="00672B18" w:rsidRPr="00772D3D" w:rsidRDefault="00672B18" w:rsidP="00CF714A">
      <w:pPr>
        <w:pStyle w:val="Textoindependiente"/>
        <w:rPr>
          <w:rFonts w:cs="Arial"/>
          <w:b/>
        </w:rPr>
      </w:pPr>
    </w:p>
    <w:p w:rsidR="00772D3D" w:rsidRPr="00672B18" w:rsidRDefault="00672B18">
      <w:pPr>
        <w:spacing w:after="0" w:line="360" w:lineRule="auto"/>
        <w:rPr>
          <w:rFonts w:ascii="Arial" w:hAnsi="Arial" w:cs="Arial"/>
          <w:sz w:val="24"/>
          <w:szCs w:val="24"/>
          <w:lang w:val="es-ES"/>
        </w:rPr>
      </w:pPr>
      <w:proofErr w:type="spellStart"/>
      <w:proofErr w:type="gramStart"/>
      <w:r w:rsidRPr="00672B18">
        <w:rPr>
          <w:rFonts w:ascii="Arial" w:hAnsi="Arial" w:cs="Arial"/>
          <w:sz w:val="24"/>
          <w:szCs w:val="24"/>
          <w:lang w:val="es-ES"/>
        </w:rPr>
        <w:t>aa</w:t>
      </w:r>
      <w:proofErr w:type="spellEnd"/>
      <w:proofErr w:type="gramEnd"/>
    </w:p>
    <w:sectPr w:rsidR="00772D3D" w:rsidRPr="00672B18" w:rsidSect="00DB136F">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00D"/>
    <w:multiLevelType w:val="hybridMultilevel"/>
    <w:tmpl w:val="E2C8B2D2"/>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13695426"/>
    <w:multiLevelType w:val="hybridMultilevel"/>
    <w:tmpl w:val="B98A5228"/>
    <w:lvl w:ilvl="0" w:tplc="1E1A3590">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
    <w:nsid w:val="64A84019"/>
    <w:multiLevelType w:val="hybridMultilevel"/>
    <w:tmpl w:val="D562B6CA"/>
    <w:lvl w:ilvl="0" w:tplc="DF3CAEE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7A"/>
    <w:rsid w:val="00080F21"/>
    <w:rsid w:val="001274D3"/>
    <w:rsid w:val="001B7CAB"/>
    <w:rsid w:val="002066AF"/>
    <w:rsid w:val="00277F92"/>
    <w:rsid w:val="002F69C6"/>
    <w:rsid w:val="00312EF5"/>
    <w:rsid w:val="0033211D"/>
    <w:rsid w:val="00385933"/>
    <w:rsid w:val="003B337B"/>
    <w:rsid w:val="00414A4C"/>
    <w:rsid w:val="004E017A"/>
    <w:rsid w:val="0052632E"/>
    <w:rsid w:val="00527884"/>
    <w:rsid w:val="00532777"/>
    <w:rsid w:val="005D6B7A"/>
    <w:rsid w:val="006650A9"/>
    <w:rsid w:val="00672B18"/>
    <w:rsid w:val="00690999"/>
    <w:rsid w:val="006A4B16"/>
    <w:rsid w:val="006A71A6"/>
    <w:rsid w:val="006C362A"/>
    <w:rsid w:val="00772D3D"/>
    <w:rsid w:val="007E7489"/>
    <w:rsid w:val="008C6FE9"/>
    <w:rsid w:val="008F7831"/>
    <w:rsid w:val="009734D5"/>
    <w:rsid w:val="00995888"/>
    <w:rsid w:val="00A52EC0"/>
    <w:rsid w:val="00AE072A"/>
    <w:rsid w:val="00C17C0F"/>
    <w:rsid w:val="00C50CFE"/>
    <w:rsid w:val="00C9376F"/>
    <w:rsid w:val="00CA53DF"/>
    <w:rsid w:val="00CF09E9"/>
    <w:rsid w:val="00D22331"/>
    <w:rsid w:val="00D529EE"/>
    <w:rsid w:val="00DB136F"/>
    <w:rsid w:val="00E20400"/>
    <w:rsid w:val="00FA10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72D3D"/>
    <w:pPr>
      <w:keepNext/>
      <w:spacing w:after="0" w:line="360" w:lineRule="auto"/>
      <w:outlineLvl w:val="0"/>
    </w:pPr>
    <w:rPr>
      <w:rFonts w:ascii="Arial" w:eastAsia="Times New Roman" w:hAnsi="Arial" w:cs="Arial"/>
      <w:b/>
      <w:bCs/>
      <w:color w:val="000000"/>
      <w:sz w:val="24"/>
      <w:szCs w:val="24"/>
      <w:lang w:val="es-ES" w:eastAsia="es-ES"/>
    </w:rPr>
  </w:style>
  <w:style w:type="paragraph" w:styleId="Ttulo2">
    <w:name w:val="heading 2"/>
    <w:basedOn w:val="Normal"/>
    <w:next w:val="Normal"/>
    <w:link w:val="Ttulo2Car"/>
    <w:unhideWhenUsed/>
    <w:qFormat/>
    <w:rsid w:val="00772D3D"/>
    <w:pPr>
      <w:keepNext/>
      <w:keepLines/>
      <w:spacing w:before="200" w:after="0" w:line="240" w:lineRule="auto"/>
      <w:outlineLvl w:val="1"/>
    </w:pPr>
    <w:rPr>
      <w:rFonts w:ascii="Cambria" w:eastAsia="Times New Roman" w:hAnsi="Cambria" w:cs="Times New Roman"/>
      <w:b/>
      <w:bCs/>
      <w:color w:val="4F81BD"/>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character" w:customStyle="1" w:styleId="Ttulo1Car">
    <w:name w:val="Título 1 Car"/>
    <w:basedOn w:val="Fuentedeprrafopredeter"/>
    <w:link w:val="Ttulo1"/>
    <w:rsid w:val="00772D3D"/>
    <w:rPr>
      <w:rFonts w:ascii="Arial" w:eastAsia="Times New Roman" w:hAnsi="Arial" w:cs="Arial"/>
      <w:b/>
      <w:bCs/>
      <w:color w:val="000000"/>
      <w:sz w:val="24"/>
      <w:szCs w:val="24"/>
      <w:lang w:val="es-ES" w:eastAsia="es-ES"/>
    </w:rPr>
  </w:style>
  <w:style w:type="paragraph" w:styleId="Textoindependiente">
    <w:name w:val="Body Text"/>
    <w:basedOn w:val="Normal"/>
    <w:link w:val="TextoindependienteCar"/>
    <w:semiHidden/>
    <w:rsid w:val="00772D3D"/>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772D3D"/>
    <w:rPr>
      <w:rFonts w:ascii="Arial" w:eastAsia="Times New Roman" w:hAnsi="Arial" w:cs="Times New Roman"/>
      <w:sz w:val="24"/>
      <w:szCs w:val="24"/>
      <w:lang w:val="es-ES" w:eastAsia="es-ES"/>
    </w:rPr>
  </w:style>
  <w:style w:type="paragraph" w:styleId="Encabezado">
    <w:name w:val="header"/>
    <w:basedOn w:val="Normal"/>
    <w:link w:val="EncabezadoCar"/>
    <w:semiHidden/>
    <w:rsid w:val="00772D3D"/>
    <w:pPr>
      <w:tabs>
        <w:tab w:val="center" w:pos="4252"/>
        <w:tab w:val="right" w:pos="8504"/>
      </w:tabs>
      <w:suppressAutoHyphens/>
      <w:spacing w:after="0" w:line="240" w:lineRule="auto"/>
    </w:pPr>
    <w:rPr>
      <w:rFonts w:ascii="Arial" w:eastAsia="Times New Roman" w:hAnsi="Arial" w:cs="Times New Roman"/>
      <w:sz w:val="24"/>
      <w:szCs w:val="24"/>
      <w:lang w:val="es-ES" w:eastAsia="ar-SA"/>
    </w:rPr>
  </w:style>
  <w:style w:type="character" w:customStyle="1" w:styleId="EncabezadoCar">
    <w:name w:val="Encabezado Car"/>
    <w:basedOn w:val="Fuentedeprrafopredeter"/>
    <w:link w:val="Encabezado"/>
    <w:semiHidden/>
    <w:rsid w:val="00772D3D"/>
    <w:rPr>
      <w:rFonts w:ascii="Arial" w:eastAsia="Times New Roman" w:hAnsi="Arial" w:cs="Times New Roman"/>
      <w:sz w:val="24"/>
      <w:szCs w:val="24"/>
      <w:lang w:val="es-ES" w:eastAsia="ar-SA"/>
    </w:rPr>
  </w:style>
  <w:style w:type="paragraph" w:styleId="Textoindependiente3">
    <w:name w:val="Body Text 3"/>
    <w:basedOn w:val="Normal"/>
    <w:link w:val="Textoindependiente3Car"/>
    <w:unhideWhenUsed/>
    <w:rsid w:val="00772D3D"/>
    <w:pPr>
      <w:spacing w:after="120" w:line="240" w:lineRule="auto"/>
    </w:pPr>
    <w:rPr>
      <w:rFonts w:ascii="Arial" w:eastAsia="Times New Roman" w:hAnsi="Arial" w:cs="Times New Roman"/>
      <w:sz w:val="16"/>
      <w:szCs w:val="16"/>
      <w:lang w:val="es-ES" w:eastAsia="es-ES"/>
    </w:rPr>
  </w:style>
  <w:style w:type="character" w:customStyle="1" w:styleId="Textoindependiente3Car">
    <w:name w:val="Texto independiente 3 Car"/>
    <w:basedOn w:val="Fuentedeprrafopredeter"/>
    <w:link w:val="Textoindependiente3"/>
    <w:rsid w:val="00772D3D"/>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772D3D"/>
    <w:rPr>
      <w:rFonts w:ascii="Cambria" w:eastAsia="Times New Roman" w:hAnsi="Cambria" w:cs="Times New Roman"/>
      <w:b/>
      <w:bCs/>
      <w:color w:val="4F81BD"/>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772D3D"/>
    <w:pPr>
      <w:keepNext/>
      <w:spacing w:after="0" w:line="360" w:lineRule="auto"/>
      <w:outlineLvl w:val="0"/>
    </w:pPr>
    <w:rPr>
      <w:rFonts w:ascii="Arial" w:eastAsia="Times New Roman" w:hAnsi="Arial" w:cs="Arial"/>
      <w:b/>
      <w:bCs/>
      <w:color w:val="000000"/>
      <w:sz w:val="24"/>
      <w:szCs w:val="24"/>
      <w:lang w:val="es-ES" w:eastAsia="es-ES"/>
    </w:rPr>
  </w:style>
  <w:style w:type="paragraph" w:styleId="Ttulo2">
    <w:name w:val="heading 2"/>
    <w:basedOn w:val="Normal"/>
    <w:next w:val="Normal"/>
    <w:link w:val="Ttulo2Car"/>
    <w:unhideWhenUsed/>
    <w:qFormat/>
    <w:rsid w:val="00772D3D"/>
    <w:pPr>
      <w:keepNext/>
      <w:keepLines/>
      <w:spacing w:before="200" w:after="0" w:line="240" w:lineRule="auto"/>
      <w:outlineLvl w:val="1"/>
    </w:pPr>
    <w:rPr>
      <w:rFonts w:ascii="Cambria" w:eastAsia="Times New Roman" w:hAnsi="Cambria" w:cs="Times New Roman"/>
      <w:b/>
      <w:bCs/>
      <w:color w:val="4F81BD"/>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DF"/>
    <w:pPr>
      <w:ind w:left="720"/>
      <w:contextualSpacing/>
    </w:pPr>
  </w:style>
  <w:style w:type="character" w:customStyle="1" w:styleId="Ttulo1Car">
    <w:name w:val="Título 1 Car"/>
    <w:basedOn w:val="Fuentedeprrafopredeter"/>
    <w:link w:val="Ttulo1"/>
    <w:rsid w:val="00772D3D"/>
    <w:rPr>
      <w:rFonts w:ascii="Arial" w:eastAsia="Times New Roman" w:hAnsi="Arial" w:cs="Arial"/>
      <w:b/>
      <w:bCs/>
      <w:color w:val="000000"/>
      <w:sz w:val="24"/>
      <w:szCs w:val="24"/>
      <w:lang w:val="es-ES" w:eastAsia="es-ES"/>
    </w:rPr>
  </w:style>
  <w:style w:type="paragraph" w:styleId="Textoindependiente">
    <w:name w:val="Body Text"/>
    <w:basedOn w:val="Normal"/>
    <w:link w:val="TextoindependienteCar"/>
    <w:semiHidden/>
    <w:rsid w:val="00772D3D"/>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772D3D"/>
    <w:rPr>
      <w:rFonts w:ascii="Arial" w:eastAsia="Times New Roman" w:hAnsi="Arial" w:cs="Times New Roman"/>
      <w:sz w:val="24"/>
      <w:szCs w:val="24"/>
      <w:lang w:val="es-ES" w:eastAsia="es-ES"/>
    </w:rPr>
  </w:style>
  <w:style w:type="paragraph" w:styleId="Encabezado">
    <w:name w:val="header"/>
    <w:basedOn w:val="Normal"/>
    <w:link w:val="EncabezadoCar"/>
    <w:semiHidden/>
    <w:rsid w:val="00772D3D"/>
    <w:pPr>
      <w:tabs>
        <w:tab w:val="center" w:pos="4252"/>
        <w:tab w:val="right" w:pos="8504"/>
      </w:tabs>
      <w:suppressAutoHyphens/>
      <w:spacing w:after="0" w:line="240" w:lineRule="auto"/>
    </w:pPr>
    <w:rPr>
      <w:rFonts w:ascii="Arial" w:eastAsia="Times New Roman" w:hAnsi="Arial" w:cs="Times New Roman"/>
      <w:sz w:val="24"/>
      <w:szCs w:val="24"/>
      <w:lang w:val="es-ES" w:eastAsia="ar-SA"/>
    </w:rPr>
  </w:style>
  <w:style w:type="character" w:customStyle="1" w:styleId="EncabezadoCar">
    <w:name w:val="Encabezado Car"/>
    <w:basedOn w:val="Fuentedeprrafopredeter"/>
    <w:link w:val="Encabezado"/>
    <w:semiHidden/>
    <w:rsid w:val="00772D3D"/>
    <w:rPr>
      <w:rFonts w:ascii="Arial" w:eastAsia="Times New Roman" w:hAnsi="Arial" w:cs="Times New Roman"/>
      <w:sz w:val="24"/>
      <w:szCs w:val="24"/>
      <w:lang w:val="es-ES" w:eastAsia="ar-SA"/>
    </w:rPr>
  </w:style>
  <w:style w:type="paragraph" w:styleId="Textoindependiente3">
    <w:name w:val="Body Text 3"/>
    <w:basedOn w:val="Normal"/>
    <w:link w:val="Textoindependiente3Car"/>
    <w:unhideWhenUsed/>
    <w:rsid w:val="00772D3D"/>
    <w:pPr>
      <w:spacing w:after="120" w:line="240" w:lineRule="auto"/>
    </w:pPr>
    <w:rPr>
      <w:rFonts w:ascii="Arial" w:eastAsia="Times New Roman" w:hAnsi="Arial" w:cs="Times New Roman"/>
      <w:sz w:val="16"/>
      <w:szCs w:val="16"/>
      <w:lang w:val="es-ES" w:eastAsia="es-ES"/>
    </w:rPr>
  </w:style>
  <w:style w:type="character" w:customStyle="1" w:styleId="Textoindependiente3Car">
    <w:name w:val="Texto independiente 3 Car"/>
    <w:basedOn w:val="Fuentedeprrafopredeter"/>
    <w:link w:val="Textoindependiente3"/>
    <w:rsid w:val="00772D3D"/>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772D3D"/>
    <w:rPr>
      <w:rFonts w:ascii="Cambria" w:eastAsia="Times New Roman" w:hAnsi="Cambria" w:cs="Times New Roman"/>
      <w:b/>
      <w:bCs/>
      <w:color w:val="4F81BD"/>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1971</Words>
  <Characters>10844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12495209</dc:creator>
  <cp:lastModifiedBy>Tribunal1</cp:lastModifiedBy>
  <cp:revision>8</cp:revision>
  <cp:lastPrinted>2018-09-19T15:48:00Z</cp:lastPrinted>
  <dcterms:created xsi:type="dcterms:W3CDTF">2018-09-19T15:49:00Z</dcterms:created>
  <dcterms:modified xsi:type="dcterms:W3CDTF">2018-10-24T17:37:00Z</dcterms:modified>
</cp:coreProperties>
</file>