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04" w:rsidRPr="00786EEB" w:rsidRDefault="00CB1304"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2767/18</w:t>
      </w:r>
    </w:p>
    <w:p w:rsidR="00CB1304" w:rsidRDefault="00CB1304" w:rsidP="00786EEB">
      <w:pPr>
        <w:tabs>
          <w:tab w:val="center" w:pos="4253"/>
        </w:tabs>
        <w:suppressAutoHyphens/>
        <w:jc w:val="right"/>
        <w:rPr>
          <w:rFonts w:cs="Arial"/>
          <w:b/>
          <w:lang w:val="es-ES_tradnl"/>
        </w:rPr>
      </w:pPr>
    </w:p>
    <w:p w:rsidR="00CB1304" w:rsidRPr="00762B34" w:rsidRDefault="00CB1304">
      <w:pPr>
        <w:tabs>
          <w:tab w:val="center" w:pos="4253"/>
        </w:tabs>
        <w:suppressAutoHyphens/>
        <w:jc w:val="center"/>
        <w:rPr>
          <w:rFonts w:cs="Arial"/>
          <w:b/>
          <w:lang w:val="es-ES_tradnl"/>
        </w:rPr>
      </w:pPr>
      <w:r w:rsidRPr="00762B34">
        <w:rPr>
          <w:rFonts w:cs="Arial"/>
          <w:b/>
          <w:lang w:val="es-ES_tradnl"/>
        </w:rPr>
        <w:t>RESOLUCION ADOPTADA POR EL</w:t>
      </w:r>
    </w:p>
    <w:p w:rsidR="00CB1304" w:rsidRPr="00762B34" w:rsidRDefault="00CB1304">
      <w:pPr>
        <w:tabs>
          <w:tab w:val="left" w:pos="-720"/>
        </w:tabs>
        <w:suppressAutoHyphens/>
        <w:jc w:val="center"/>
        <w:rPr>
          <w:rFonts w:cs="Arial"/>
          <w:b/>
          <w:lang w:val="es-ES_tradnl"/>
        </w:rPr>
      </w:pPr>
    </w:p>
    <w:p w:rsidR="00CB1304" w:rsidRPr="00762B34" w:rsidRDefault="00CB1304">
      <w:pPr>
        <w:tabs>
          <w:tab w:val="center" w:pos="4253"/>
        </w:tabs>
        <w:suppressAutoHyphens/>
        <w:jc w:val="center"/>
        <w:rPr>
          <w:rFonts w:cs="Arial"/>
          <w:b/>
          <w:lang w:val="es-ES_tradnl"/>
        </w:rPr>
      </w:pPr>
      <w:r w:rsidRPr="00762B34">
        <w:rPr>
          <w:rFonts w:cs="Arial"/>
          <w:b/>
          <w:lang w:val="es-ES_tradnl"/>
        </w:rPr>
        <w:t>TRIBUNAL DE CUENTAS</w:t>
      </w:r>
    </w:p>
    <w:p w:rsidR="00CB1304" w:rsidRPr="00762B34" w:rsidRDefault="00CB1304">
      <w:pPr>
        <w:tabs>
          <w:tab w:val="left" w:pos="-720"/>
        </w:tabs>
        <w:suppressAutoHyphens/>
        <w:jc w:val="center"/>
        <w:rPr>
          <w:rFonts w:cs="Arial"/>
          <w:b/>
          <w:lang w:val="es-ES_tradnl"/>
        </w:rPr>
      </w:pPr>
    </w:p>
    <w:p w:rsidR="00CB1304" w:rsidRPr="00762B34" w:rsidRDefault="00CB1304">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29 DE AGOSTO </w:t>
      </w:r>
      <w:r>
        <w:rPr>
          <w:rFonts w:ascii="Helvetica" w:hAnsi="Helvetica"/>
          <w:b/>
          <w:lang w:val="es-ES_tradnl"/>
        </w:rPr>
        <w:t>DE 2018</w:t>
      </w:r>
    </w:p>
    <w:p w:rsidR="00CB1304" w:rsidRPr="00762B34" w:rsidRDefault="00CB1304">
      <w:pPr>
        <w:tabs>
          <w:tab w:val="center" w:pos="4253"/>
        </w:tabs>
        <w:suppressAutoHyphens/>
        <w:jc w:val="center"/>
        <w:rPr>
          <w:rFonts w:cs="Arial"/>
          <w:b/>
          <w:lang w:val="es-ES_tradnl"/>
        </w:rPr>
      </w:pPr>
    </w:p>
    <w:p w:rsidR="00CB1304" w:rsidRPr="00393B55" w:rsidRDefault="00CB1304">
      <w:pPr>
        <w:tabs>
          <w:tab w:val="center" w:pos="4253"/>
        </w:tabs>
        <w:suppressAutoHyphens/>
        <w:jc w:val="center"/>
        <w:rPr>
          <w:rFonts w:cs="Arial"/>
          <w:b/>
          <w:lang w:val="es-UY"/>
        </w:rPr>
      </w:pPr>
      <w:r w:rsidRPr="00393B55">
        <w:rPr>
          <w:rFonts w:cs="Arial"/>
          <w:b/>
          <w:lang w:val="es-UY"/>
        </w:rPr>
        <w:t xml:space="preserve">(E. E. Nº 2018-17-1-0004901, </w:t>
      </w:r>
      <w:proofErr w:type="spellStart"/>
      <w:r w:rsidRPr="00393B55">
        <w:rPr>
          <w:rFonts w:cs="Arial"/>
          <w:b/>
          <w:lang w:val="es-UY"/>
        </w:rPr>
        <w:t>Ent</w:t>
      </w:r>
      <w:proofErr w:type="spellEnd"/>
      <w:r w:rsidRPr="00393B55">
        <w:rPr>
          <w:rFonts w:cs="Arial"/>
          <w:b/>
          <w:lang w:val="es-UY"/>
        </w:rPr>
        <w:t>. N° 3807/18)</w:t>
      </w:r>
    </w:p>
    <w:p w:rsidR="00CB1304" w:rsidRPr="00393B55" w:rsidRDefault="00CB1304">
      <w:pPr>
        <w:tabs>
          <w:tab w:val="center" w:pos="4253"/>
        </w:tabs>
        <w:suppressAutoHyphens/>
        <w:jc w:val="center"/>
        <w:rPr>
          <w:rFonts w:cs="Arial"/>
          <w:b/>
          <w:lang w:val="es-UY"/>
        </w:rPr>
      </w:pPr>
    </w:p>
    <w:p w:rsidR="00CB1304" w:rsidRPr="00393B55" w:rsidRDefault="00CB1304">
      <w:pPr>
        <w:tabs>
          <w:tab w:val="center" w:pos="4253"/>
        </w:tabs>
        <w:suppressAutoHyphens/>
        <w:jc w:val="center"/>
        <w:rPr>
          <w:rFonts w:ascii="Helvetica" w:hAnsi="Helvetica"/>
          <w:b/>
          <w:lang w:val="es-UY"/>
        </w:rPr>
      </w:pPr>
    </w:p>
    <w:p w:rsidR="00CB1304" w:rsidRPr="00CB1304" w:rsidRDefault="00CB1304" w:rsidP="00CB1304">
      <w:pPr>
        <w:rPr>
          <w:lang w:val="es-MX"/>
        </w:rPr>
      </w:pPr>
    </w:p>
    <w:p w:rsidR="00012CCE" w:rsidRPr="00A95A68" w:rsidRDefault="00012CCE" w:rsidP="00012CCE">
      <w:pPr>
        <w:pStyle w:val="Ttulo2"/>
        <w:spacing w:line="360" w:lineRule="auto"/>
        <w:ind w:firstLine="851"/>
        <w:rPr>
          <w:rFonts w:ascii="Arial" w:hAnsi="Arial" w:cs="Arial"/>
        </w:rPr>
      </w:pPr>
      <w:r w:rsidRPr="00A95A68">
        <w:rPr>
          <w:rFonts w:ascii="Arial" w:hAnsi="Arial" w:cs="Arial"/>
          <w:b/>
        </w:rPr>
        <w:t>VISTO:</w:t>
      </w:r>
      <w:r w:rsidRPr="00A95A68">
        <w:rPr>
          <w:rFonts w:ascii="Arial" w:hAnsi="Arial" w:cs="Arial"/>
        </w:rPr>
        <w:t xml:space="preserve"> que este Tribunal ha examinado el Proyecto de Presupuesto de Recursos, Operativo, de Operaciones Financieras y de Inversiones para el Ejercicio 2019, remitido por el Banco de la República Oriental del Uruguay</w:t>
      </w:r>
      <w:r>
        <w:rPr>
          <w:rFonts w:ascii="Arial" w:hAnsi="Arial" w:cs="Arial"/>
        </w:rPr>
        <w:t xml:space="preserve"> (BROU)</w:t>
      </w:r>
      <w:r w:rsidRPr="00A95A68">
        <w:rPr>
          <w:rFonts w:ascii="Arial" w:hAnsi="Arial" w:cs="Arial"/>
        </w:rPr>
        <w:t>;</w:t>
      </w:r>
    </w:p>
    <w:p w:rsidR="00012CCE" w:rsidRPr="00A95A68" w:rsidRDefault="00012CCE" w:rsidP="00012CCE">
      <w:pPr>
        <w:spacing w:line="360" w:lineRule="auto"/>
        <w:ind w:firstLine="851"/>
        <w:jc w:val="both"/>
        <w:rPr>
          <w:rFonts w:cs="Arial"/>
        </w:rPr>
      </w:pPr>
      <w:r w:rsidRPr="00A95A68">
        <w:rPr>
          <w:rFonts w:cs="Arial"/>
          <w:b/>
        </w:rPr>
        <w:t>CONSIDERANDO:</w:t>
      </w:r>
      <w:r>
        <w:rPr>
          <w:rFonts w:cs="Arial"/>
        </w:rPr>
        <w:t xml:space="preserve"> que las conclusiones y evidencias </w:t>
      </w:r>
      <w:r w:rsidRPr="00A95A68">
        <w:rPr>
          <w:rFonts w:cs="Arial"/>
        </w:rPr>
        <w:t>obtenidas son las que se expresan en el Dictamen que se adjunta;</w:t>
      </w:r>
    </w:p>
    <w:p w:rsidR="00012CCE" w:rsidRPr="00A95A68" w:rsidRDefault="00012CCE" w:rsidP="00012CCE">
      <w:pPr>
        <w:spacing w:line="360" w:lineRule="auto"/>
        <w:ind w:firstLine="851"/>
        <w:jc w:val="both"/>
        <w:rPr>
          <w:rFonts w:cs="Arial"/>
        </w:rPr>
      </w:pPr>
      <w:r w:rsidRPr="00A95A68">
        <w:rPr>
          <w:rFonts w:cs="Arial"/>
          <w:b/>
        </w:rPr>
        <w:t>ATENTO:</w:t>
      </w:r>
      <w:r w:rsidRPr="00A95A68">
        <w:rPr>
          <w:rFonts w:cs="Arial"/>
        </w:rPr>
        <w:t xml:space="preserve"> a lo dispuesto por los Artículos 211 Literal A) y 221 de la Constitución de la República;</w:t>
      </w:r>
    </w:p>
    <w:p w:rsidR="00012CCE" w:rsidRPr="00A95A68" w:rsidRDefault="00012CCE" w:rsidP="00012CCE">
      <w:pPr>
        <w:pStyle w:val="Ttulo3"/>
        <w:spacing w:line="360" w:lineRule="auto"/>
        <w:rPr>
          <w:rFonts w:ascii="Arial" w:hAnsi="Arial" w:cs="Arial"/>
        </w:rPr>
      </w:pPr>
      <w:r w:rsidRPr="00A95A68">
        <w:rPr>
          <w:rFonts w:ascii="Arial" w:hAnsi="Arial" w:cs="Arial"/>
        </w:rPr>
        <w:t>EL TRIBUNAL ACUERDA</w:t>
      </w:r>
    </w:p>
    <w:p w:rsidR="00012CCE" w:rsidRPr="00A95A68" w:rsidRDefault="00012CCE" w:rsidP="00012CCE">
      <w:pPr>
        <w:numPr>
          <w:ilvl w:val="0"/>
          <w:numId w:val="1"/>
        </w:numPr>
        <w:spacing w:line="360" w:lineRule="auto"/>
        <w:ind w:left="284" w:hanging="284"/>
        <w:jc w:val="both"/>
        <w:rPr>
          <w:rFonts w:cs="Arial"/>
        </w:rPr>
      </w:pPr>
      <w:r>
        <w:rPr>
          <w:rFonts w:cs="Arial"/>
        </w:rPr>
        <w:t>Emitir su pronunciamiento respecto al Proyecto de P</w:t>
      </w:r>
      <w:r w:rsidRPr="00A95A68">
        <w:rPr>
          <w:rFonts w:cs="Arial"/>
        </w:rPr>
        <w:t xml:space="preserve">resupuesto de Recursos, Operativo, de Operaciones Financieras y de Inversiones </w:t>
      </w:r>
      <w:r>
        <w:rPr>
          <w:rFonts w:cs="Arial"/>
        </w:rPr>
        <w:t>del BROU, correspondiente al Ejercicio 2019, en los términos del Dictamen que se adjunta</w:t>
      </w:r>
      <w:r w:rsidRPr="00A95A68">
        <w:rPr>
          <w:rFonts w:cs="Arial"/>
        </w:rPr>
        <w:t>;</w:t>
      </w:r>
    </w:p>
    <w:p w:rsidR="00012CCE" w:rsidRPr="006D62E7" w:rsidRDefault="00012CCE" w:rsidP="00012CCE">
      <w:pPr>
        <w:numPr>
          <w:ilvl w:val="0"/>
          <w:numId w:val="1"/>
        </w:numPr>
        <w:autoSpaceDE w:val="0"/>
        <w:autoSpaceDN w:val="0"/>
        <w:adjustRightInd w:val="0"/>
        <w:spacing w:line="360" w:lineRule="auto"/>
        <w:ind w:left="284" w:hanging="284"/>
        <w:jc w:val="both"/>
        <w:rPr>
          <w:rFonts w:cs="Arial"/>
          <w:szCs w:val="24"/>
        </w:rPr>
      </w:pPr>
      <w:r w:rsidRPr="006D62E7">
        <w:rPr>
          <w:rFonts w:cs="Arial"/>
          <w:szCs w:val="24"/>
        </w:rPr>
        <w:t xml:space="preserve">Téngase presente lo </w:t>
      </w:r>
      <w:r>
        <w:rPr>
          <w:rFonts w:cs="Arial"/>
          <w:szCs w:val="24"/>
        </w:rPr>
        <w:t xml:space="preserve">señalado en los numerales 2.5) </w:t>
      </w:r>
      <w:r w:rsidRPr="006D62E7">
        <w:rPr>
          <w:rFonts w:cs="Arial"/>
          <w:szCs w:val="24"/>
        </w:rPr>
        <w:t xml:space="preserve"> a 2.14);</w:t>
      </w:r>
      <w:r>
        <w:rPr>
          <w:rFonts w:cs="Arial"/>
          <w:szCs w:val="24"/>
        </w:rPr>
        <w:t xml:space="preserve"> y</w:t>
      </w:r>
    </w:p>
    <w:p w:rsidR="00012CCE" w:rsidRDefault="00012CCE" w:rsidP="00012CCE">
      <w:pPr>
        <w:numPr>
          <w:ilvl w:val="0"/>
          <w:numId w:val="1"/>
        </w:numPr>
        <w:spacing w:line="360" w:lineRule="auto"/>
        <w:ind w:left="284" w:hanging="284"/>
        <w:jc w:val="both"/>
        <w:rPr>
          <w:rFonts w:cs="Arial"/>
        </w:rPr>
      </w:pPr>
      <w:r w:rsidRPr="00A95A68">
        <w:rPr>
          <w:rFonts w:cs="Arial"/>
        </w:rPr>
        <w:t>Comunicar al Ministerio de Economía y Finanzas, al Organismo y a la Oficina de Planeamiento y Presupuesto.</w:t>
      </w:r>
    </w:p>
    <w:p w:rsidR="00012CCE" w:rsidRDefault="00012CCE" w:rsidP="00012CCE">
      <w:pPr>
        <w:spacing w:line="360" w:lineRule="auto"/>
        <w:rPr>
          <w:rFonts w:cs="Arial"/>
        </w:rPr>
      </w:pPr>
    </w:p>
    <w:p w:rsidR="00CB1304" w:rsidRDefault="00CB1304" w:rsidP="00012CCE">
      <w:pPr>
        <w:spacing w:line="360" w:lineRule="auto"/>
        <w:rPr>
          <w:rFonts w:cs="Arial"/>
        </w:rPr>
      </w:pPr>
    </w:p>
    <w:p w:rsidR="00CB1304" w:rsidRDefault="00CB1304" w:rsidP="00012CCE">
      <w:pPr>
        <w:spacing w:line="360" w:lineRule="auto"/>
        <w:rPr>
          <w:rFonts w:cs="Arial"/>
        </w:rPr>
      </w:pPr>
      <w:proofErr w:type="spellStart"/>
      <w:proofErr w:type="gramStart"/>
      <w:r>
        <w:rPr>
          <w:rFonts w:cs="Arial"/>
        </w:rPr>
        <w:t>aa</w:t>
      </w:r>
      <w:proofErr w:type="spellEnd"/>
      <w:proofErr w:type="gramEnd"/>
    </w:p>
    <w:p w:rsidR="009B6709" w:rsidRDefault="009B6709" w:rsidP="00012CCE">
      <w:pPr>
        <w:spacing w:line="360" w:lineRule="auto"/>
        <w:rPr>
          <w:rFonts w:cs="Arial"/>
        </w:rPr>
      </w:pPr>
    </w:p>
    <w:p w:rsidR="009B6709" w:rsidRPr="00A95A68" w:rsidRDefault="009B6709" w:rsidP="00CD26E5">
      <w:pPr>
        <w:pStyle w:val="Ttulo"/>
        <w:rPr>
          <w:rFonts w:ascii="Arial" w:hAnsi="Arial" w:cs="Arial"/>
        </w:rPr>
      </w:pPr>
      <w:r w:rsidRPr="00A95A68">
        <w:rPr>
          <w:rFonts w:ascii="Arial" w:hAnsi="Arial" w:cs="Arial"/>
        </w:rPr>
        <w:lastRenderedPageBreak/>
        <w:t>DICTAMEN</w:t>
      </w:r>
    </w:p>
    <w:p w:rsidR="009B6709" w:rsidRDefault="009B6709" w:rsidP="002B1167">
      <w:pPr>
        <w:rPr>
          <w:rFonts w:cs="Arial"/>
          <w:b/>
          <w:lang w:val="es-MX"/>
        </w:rPr>
      </w:pPr>
    </w:p>
    <w:p w:rsidR="009B6709" w:rsidRPr="00A95A68" w:rsidRDefault="009B6709" w:rsidP="002B1167">
      <w:pPr>
        <w:rPr>
          <w:rFonts w:cs="Arial"/>
          <w:b/>
          <w:lang w:val="es-MX"/>
        </w:rPr>
      </w:pPr>
    </w:p>
    <w:p w:rsidR="009B6709" w:rsidRDefault="009B6709" w:rsidP="001B4402">
      <w:pPr>
        <w:spacing w:line="360" w:lineRule="auto"/>
        <w:jc w:val="both"/>
        <w:rPr>
          <w:rFonts w:cs="Arial"/>
          <w:lang w:val="es-MX"/>
        </w:rPr>
      </w:pPr>
      <w:r w:rsidRPr="00A95A68">
        <w:rPr>
          <w:rFonts w:cs="Arial"/>
          <w:lang w:val="es-MX"/>
        </w:rPr>
        <w:t>El Tribunal de Cuentas ha examinado el Proyecto de Presupues</w:t>
      </w:r>
      <w:r>
        <w:rPr>
          <w:rFonts w:cs="Arial"/>
          <w:lang w:val="es-MX"/>
        </w:rPr>
        <w:t>to para el e</w:t>
      </w:r>
      <w:r w:rsidRPr="00A95A68">
        <w:rPr>
          <w:rFonts w:cs="Arial"/>
          <w:lang w:val="es-MX"/>
        </w:rPr>
        <w:t>jercicio 2019 del Banco de la República Oriental del Uruguay (BROU). Toda la información incluida en el referido Proyecto y los supuestos sobre los que se basa son responsabilidad del Directorio del BROU. La responsabilidad del Tribunal de Cuentas es expresar una opinión sobre dicho Proyecto de Presupuesto, de acuerdo con lo dispuesto por los Artículos 211</w:t>
      </w:r>
      <w:r w:rsidRPr="00A95A68">
        <w:rPr>
          <w:rFonts w:cs="Arial"/>
          <w:lang w:val="es-UY"/>
        </w:rPr>
        <w:t xml:space="preserve"> Literal</w:t>
      </w:r>
      <w:r w:rsidRPr="00A95A68">
        <w:rPr>
          <w:rFonts w:cs="Arial"/>
          <w:lang w:val="es-MX"/>
        </w:rPr>
        <w:t xml:space="preserve"> A) y 221 de la Constitución de la República, y establecer, en caso que corresponda, los hallazgos constatados con relación al cumplimiento de las normas constitucionales, legales y reglamentarias que resulten aplicables.</w:t>
      </w:r>
    </w:p>
    <w:p w:rsidR="009B6709" w:rsidRPr="00A95A68" w:rsidRDefault="009B6709" w:rsidP="001B4402">
      <w:pPr>
        <w:spacing w:line="360" w:lineRule="auto"/>
        <w:jc w:val="both"/>
        <w:rPr>
          <w:rFonts w:cs="Arial"/>
          <w:b/>
          <w:bCs/>
        </w:rPr>
      </w:pPr>
    </w:p>
    <w:p w:rsidR="009B6709" w:rsidRPr="00A95A68" w:rsidRDefault="009B6709" w:rsidP="00EE0A41">
      <w:pPr>
        <w:spacing w:line="360" w:lineRule="auto"/>
        <w:jc w:val="both"/>
        <w:rPr>
          <w:rFonts w:cs="Arial"/>
          <w:b/>
          <w:bCs/>
        </w:rPr>
      </w:pPr>
      <w:r>
        <w:rPr>
          <w:rFonts w:cs="Arial"/>
          <w:b/>
          <w:bCs/>
        </w:rPr>
        <w:t xml:space="preserve">1) </w:t>
      </w:r>
      <w:r w:rsidRPr="00A95A68">
        <w:rPr>
          <w:rFonts w:cs="Arial"/>
          <w:b/>
          <w:bCs/>
        </w:rPr>
        <w:t xml:space="preserve">ANÁLISIS DE </w:t>
      </w:r>
      <w:r>
        <w:rPr>
          <w:rFonts w:cs="Arial"/>
          <w:b/>
          <w:bCs/>
        </w:rPr>
        <w:t xml:space="preserve">RECURSOS </w:t>
      </w:r>
      <w:r w:rsidRPr="00A95A68">
        <w:rPr>
          <w:rFonts w:cs="Arial"/>
          <w:b/>
          <w:bCs/>
        </w:rPr>
        <w:t>PROYECTADOS, ASIGNACIONES PRESUPUESTALES Y RESULTADO PRESUPUESTAL</w:t>
      </w:r>
    </w:p>
    <w:p w:rsidR="009B6709" w:rsidRPr="0089139A" w:rsidRDefault="009B6709" w:rsidP="009B6709">
      <w:pPr>
        <w:numPr>
          <w:ilvl w:val="1"/>
          <w:numId w:val="2"/>
        </w:numPr>
        <w:spacing w:line="360" w:lineRule="auto"/>
        <w:jc w:val="both"/>
        <w:rPr>
          <w:rFonts w:cs="Arial"/>
          <w:b/>
        </w:rPr>
      </w:pPr>
      <w:r>
        <w:rPr>
          <w:rFonts w:cs="Arial"/>
          <w:b/>
        </w:rPr>
        <w:t>RECURSOS PROYECTADOS</w:t>
      </w:r>
    </w:p>
    <w:tbl>
      <w:tblPr>
        <w:tblW w:w="73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5"/>
        <w:gridCol w:w="3035"/>
      </w:tblGrid>
      <w:tr w:rsidR="009B6709" w:rsidRPr="00712DBD" w:rsidTr="00A94099">
        <w:trPr>
          <w:trHeight w:val="295"/>
        </w:trPr>
        <w:tc>
          <w:tcPr>
            <w:tcW w:w="4295" w:type="dxa"/>
            <w:shd w:val="clear" w:color="auto" w:fill="auto"/>
            <w:noWrap/>
            <w:vAlign w:val="bottom"/>
            <w:hideMark/>
          </w:tcPr>
          <w:p w:rsidR="009B6709" w:rsidRPr="00F539CE" w:rsidRDefault="009B6709" w:rsidP="00A94099">
            <w:pPr>
              <w:spacing w:line="276" w:lineRule="auto"/>
              <w:jc w:val="center"/>
              <w:rPr>
                <w:rFonts w:cs="Arial"/>
                <w:color w:val="000000"/>
                <w:szCs w:val="24"/>
                <w:lang w:val="es-UY" w:eastAsia="es-UY"/>
              </w:rPr>
            </w:pPr>
            <w:r>
              <w:rPr>
                <w:rFonts w:cs="Arial"/>
                <w:color w:val="000000"/>
                <w:szCs w:val="24"/>
                <w:lang w:val="es-UY" w:eastAsia="es-UY"/>
              </w:rPr>
              <w:t>Denominación</w:t>
            </w:r>
          </w:p>
        </w:tc>
        <w:tc>
          <w:tcPr>
            <w:tcW w:w="3035" w:type="dxa"/>
            <w:shd w:val="clear" w:color="auto" w:fill="auto"/>
            <w:noWrap/>
            <w:vAlign w:val="bottom"/>
            <w:hideMark/>
          </w:tcPr>
          <w:p w:rsidR="009B6709" w:rsidRPr="00712DBD" w:rsidRDefault="009B6709" w:rsidP="00A94099">
            <w:pPr>
              <w:spacing w:line="276" w:lineRule="auto"/>
              <w:jc w:val="center"/>
              <w:rPr>
                <w:rFonts w:cs="Arial"/>
                <w:color w:val="000000"/>
                <w:szCs w:val="24"/>
                <w:lang w:val="es-UY" w:eastAsia="es-UY"/>
              </w:rPr>
            </w:pPr>
            <w:r w:rsidRPr="00712DBD">
              <w:rPr>
                <w:rFonts w:cs="Arial"/>
                <w:color w:val="000000"/>
                <w:szCs w:val="24"/>
                <w:lang w:val="es-UY" w:eastAsia="es-UY"/>
              </w:rPr>
              <w:t>Importe en $</w:t>
            </w:r>
          </w:p>
        </w:tc>
      </w:tr>
      <w:tr w:rsidR="009B6709" w:rsidRPr="00AC6436" w:rsidTr="00A94099">
        <w:trPr>
          <w:trHeight w:val="295"/>
        </w:trPr>
        <w:tc>
          <w:tcPr>
            <w:tcW w:w="4295" w:type="dxa"/>
            <w:shd w:val="clear" w:color="auto" w:fill="auto"/>
            <w:noWrap/>
            <w:vAlign w:val="bottom"/>
          </w:tcPr>
          <w:p w:rsidR="009B6709" w:rsidRPr="00AC6436" w:rsidRDefault="009B6709" w:rsidP="00A94099">
            <w:pPr>
              <w:spacing w:line="276" w:lineRule="auto"/>
              <w:rPr>
                <w:rFonts w:cs="Arial"/>
                <w:b/>
                <w:color w:val="000000"/>
                <w:szCs w:val="24"/>
                <w:lang w:val="es-UY" w:eastAsia="es-UY"/>
              </w:rPr>
            </w:pPr>
            <w:r w:rsidRPr="00AC6436">
              <w:rPr>
                <w:rFonts w:cs="Arial"/>
                <w:b/>
                <w:color w:val="000000"/>
                <w:szCs w:val="24"/>
                <w:lang w:val="es-UY" w:eastAsia="es-UY"/>
              </w:rPr>
              <w:t>Recursos Propios</w:t>
            </w:r>
          </w:p>
        </w:tc>
        <w:tc>
          <w:tcPr>
            <w:tcW w:w="3035" w:type="dxa"/>
            <w:shd w:val="clear" w:color="auto" w:fill="auto"/>
            <w:noWrap/>
            <w:vAlign w:val="bottom"/>
          </w:tcPr>
          <w:p w:rsidR="009B6709" w:rsidRPr="00AC6436" w:rsidRDefault="009B6709" w:rsidP="00A94099">
            <w:pPr>
              <w:spacing w:line="276" w:lineRule="auto"/>
              <w:jc w:val="right"/>
              <w:rPr>
                <w:rFonts w:cs="Arial"/>
                <w:b/>
                <w:color w:val="000000"/>
                <w:szCs w:val="24"/>
                <w:lang w:val="es-UY" w:eastAsia="es-UY"/>
              </w:rPr>
            </w:pPr>
            <w:r w:rsidRPr="004336BF">
              <w:rPr>
                <w:rFonts w:cs="Arial"/>
                <w:b/>
                <w:color w:val="000000"/>
                <w:szCs w:val="24"/>
                <w:lang w:val="es-UY" w:eastAsia="es-UY"/>
              </w:rPr>
              <w:t>32</w:t>
            </w:r>
            <w:r>
              <w:rPr>
                <w:rFonts w:cs="Arial"/>
                <w:b/>
                <w:color w:val="000000"/>
                <w:szCs w:val="24"/>
                <w:lang w:val="es-UY" w:eastAsia="es-UY"/>
              </w:rPr>
              <w:t>.</w:t>
            </w:r>
            <w:r w:rsidRPr="004336BF">
              <w:rPr>
                <w:rFonts w:cs="Arial"/>
                <w:b/>
                <w:color w:val="000000"/>
                <w:szCs w:val="24"/>
                <w:lang w:val="es-UY" w:eastAsia="es-UY"/>
              </w:rPr>
              <w:t>450</w:t>
            </w:r>
            <w:r>
              <w:rPr>
                <w:rFonts w:cs="Arial"/>
                <w:b/>
                <w:color w:val="000000"/>
                <w:szCs w:val="24"/>
                <w:lang w:val="es-UY" w:eastAsia="es-UY"/>
              </w:rPr>
              <w:t>:</w:t>
            </w:r>
            <w:r w:rsidRPr="004336BF">
              <w:rPr>
                <w:rFonts w:cs="Arial"/>
                <w:b/>
                <w:color w:val="000000"/>
                <w:szCs w:val="24"/>
                <w:lang w:val="es-UY" w:eastAsia="es-UY"/>
              </w:rPr>
              <w:t>938</w:t>
            </w:r>
            <w:r>
              <w:rPr>
                <w:rFonts w:cs="Arial"/>
                <w:b/>
                <w:color w:val="000000"/>
                <w:szCs w:val="24"/>
                <w:lang w:val="es-UY" w:eastAsia="es-UY"/>
              </w:rPr>
              <w:t>.</w:t>
            </w:r>
            <w:r w:rsidRPr="004336BF">
              <w:rPr>
                <w:rFonts w:cs="Arial"/>
                <w:b/>
                <w:color w:val="000000"/>
                <w:szCs w:val="24"/>
                <w:lang w:val="es-UY" w:eastAsia="es-UY"/>
              </w:rPr>
              <w:t>069</w:t>
            </w:r>
          </w:p>
        </w:tc>
      </w:tr>
      <w:tr w:rsidR="009B6709" w:rsidRPr="00520C85" w:rsidTr="00A94099">
        <w:trPr>
          <w:trHeight w:val="295"/>
        </w:trPr>
        <w:tc>
          <w:tcPr>
            <w:tcW w:w="4295" w:type="dxa"/>
            <w:shd w:val="clear" w:color="auto" w:fill="auto"/>
            <w:noWrap/>
            <w:vAlign w:val="bottom"/>
          </w:tcPr>
          <w:p w:rsidR="009B6709" w:rsidRPr="00F539CE" w:rsidRDefault="009B6709" w:rsidP="00A94099">
            <w:pPr>
              <w:spacing w:line="276" w:lineRule="auto"/>
              <w:rPr>
                <w:rFonts w:cs="Arial"/>
                <w:color w:val="000000"/>
                <w:szCs w:val="24"/>
                <w:lang w:val="es-UY" w:eastAsia="es-UY"/>
              </w:rPr>
            </w:pPr>
            <w:r>
              <w:rPr>
                <w:rFonts w:cs="Arial"/>
                <w:color w:val="000000"/>
                <w:szCs w:val="24"/>
                <w:lang w:val="es-UY" w:eastAsia="es-UY"/>
              </w:rPr>
              <w:t>Ingresos Financieros</w:t>
            </w:r>
          </w:p>
        </w:tc>
        <w:tc>
          <w:tcPr>
            <w:tcW w:w="3035" w:type="dxa"/>
            <w:shd w:val="clear" w:color="auto" w:fill="auto"/>
            <w:noWrap/>
            <w:vAlign w:val="bottom"/>
            <w:hideMark/>
          </w:tcPr>
          <w:p w:rsidR="009B6709" w:rsidRPr="00520C85" w:rsidRDefault="009B6709" w:rsidP="00A94099">
            <w:pPr>
              <w:spacing w:line="276" w:lineRule="auto"/>
              <w:jc w:val="right"/>
              <w:rPr>
                <w:rFonts w:cs="Arial"/>
                <w:color w:val="000000"/>
                <w:szCs w:val="24"/>
                <w:lang w:val="es-UY" w:eastAsia="es-UY"/>
              </w:rPr>
            </w:pPr>
            <w:r w:rsidRPr="00747D2F">
              <w:rPr>
                <w:rFonts w:cs="Arial"/>
                <w:color w:val="000000"/>
                <w:szCs w:val="24"/>
                <w:lang w:val="es-UY" w:eastAsia="es-UY"/>
              </w:rPr>
              <w:t>26.970.758.963</w:t>
            </w:r>
          </w:p>
        </w:tc>
      </w:tr>
      <w:tr w:rsidR="009B6709" w:rsidRPr="00C03A28" w:rsidTr="00A94099">
        <w:trPr>
          <w:trHeight w:val="295"/>
        </w:trPr>
        <w:tc>
          <w:tcPr>
            <w:tcW w:w="4295" w:type="dxa"/>
            <w:shd w:val="clear" w:color="auto" w:fill="auto"/>
            <w:noWrap/>
            <w:vAlign w:val="bottom"/>
          </w:tcPr>
          <w:p w:rsidR="009B6709" w:rsidRPr="00F539CE" w:rsidRDefault="009B6709" w:rsidP="00A94099">
            <w:pPr>
              <w:spacing w:line="276" w:lineRule="auto"/>
              <w:rPr>
                <w:rFonts w:cs="Arial"/>
                <w:color w:val="000000"/>
                <w:szCs w:val="24"/>
                <w:lang w:val="es-UY" w:eastAsia="es-UY"/>
              </w:rPr>
            </w:pPr>
            <w:r>
              <w:rPr>
                <w:rFonts w:cs="Arial"/>
                <w:color w:val="000000"/>
                <w:szCs w:val="24"/>
                <w:lang w:val="es-UY" w:eastAsia="es-UY"/>
              </w:rPr>
              <w:t>Resultados por Servicios</w:t>
            </w:r>
          </w:p>
        </w:tc>
        <w:tc>
          <w:tcPr>
            <w:tcW w:w="3035" w:type="dxa"/>
            <w:shd w:val="clear" w:color="auto" w:fill="auto"/>
            <w:noWrap/>
            <w:vAlign w:val="bottom"/>
            <w:hideMark/>
          </w:tcPr>
          <w:p w:rsidR="009B6709" w:rsidRPr="00C03A28" w:rsidRDefault="009B6709" w:rsidP="00A94099">
            <w:pPr>
              <w:spacing w:line="276" w:lineRule="auto"/>
              <w:jc w:val="right"/>
              <w:rPr>
                <w:rFonts w:cs="Arial"/>
                <w:color w:val="000000"/>
                <w:szCs w:val="24"/>
                <w:lang w:val="es-UY" w:eastAsia="es-UY"/>
              </w:rPr>
            </w:pPr>
            <w:r w:rsidRPr="00C03A28">
              <w:rPr>
                <w:rFonts w:cs="Arial"/>
                <w:color w:val="000000"/>
                <w:szCs w:val="24"/>
                <w:lang w:val="es-UY" w:eastAsia="es-UY"/>
              </w:rPr>
              <w:t xml:space="preserve">4.071.835.294 </w:t>
            </w:r>
          </w:p>
        </w:tc>
      </w:tr>
      <w:tr w:rsidR="009B6709" w:rsidRPr="00747D2F" w:rsidTr="00A94099">
        <w:trPr>
          <w:trHeight w:val="295"/>
        </w:trPr>
        <w:tc>
          <w:tcPr>
            <w:tcW w:w="4295" w:type="dxa"/>
            <w:shd w:val="clear" w:color="auto" w:fill="auto"/>
            <w:noWrap/>
            <w:vAlign w:val="bottom"/>
          </w:tcPr>
          <w:p w:rsidR="009B6709" w:rsidRPr="00F539CE" w:rsidRDefault="009B6709" w:rsidP="00A94099">
            <w:pPr>
              <w:spacing w:line="276" w:lineRule="auto"/>
              <w:rPr>
                <w:rFonts w:cs="Arial"/>
                <w:color w:val="000000"/>
                <w:szCs w:val="24"/>
                <w:lang w:val="es-UY" w:eastAsia="es-UY"/>
              </w:rPr>
            </w:pPr>
            <w:r>
              <w:rPr>
                <w:rFonts w:cs="Arial"/>
                <w:color w:val="000000"/>
                <w:szCs w:val="24"/>
                <w:lang w:val="es-UY" w:eastAsia="es-UY"/>
              </w:rPr>
              <w:t>Diferencia de Cambio Operativa</w:t>
            </w:r>
          </w:p>
        </w:tc>
        <w:tc>
          <w:tcPr>
            <w:tcW w:w="3035" w:type="dxa"/>
            <w:shd w:val="clear" w:color="auto" w:fill="auto"/>
            <w:noWrap/>
            <w:vAlign w:val="bottom"/>
          </w:tcPr>
          <w:p w:rsidR="009B6709" w:rsidRPr="00747D2F" w:rsidRDefault="009B6709" w:rsidP="00A94099">
            <w:pPr>
              <w:spacing w:line="276" w:lineRule="auto"/>
              <w:jc w:val="right"/>
              <w:rPr>
                <w:rFonts w:cs="Arial"/>
                <w:color w:val="000000"/>
                <w:szCs w:val="24"/>
                <w:lang w:val="es-UY" w:eastAsia="es-UY"/>
              </w:rPr>
            </w:pPr>
            <w:r w:rsidRPr="00747D2F">
              <w:rPr>
                <w:rFonts w:cs="Arial"/>
                <w:color w:val="000000"/>
                <w:szCs w:val="24"/>
                <w:lang w:val="es-UY" w:eastAsia="es-UY"/>
              </w:rPr>
              <w:t>1.228.459.807</w:t>
            </w:r>
          </w:p>
        </w:tc>
      </w:tr>
      <w:tr w:rsidR="009B6709" w:rsidRPr="004336BF" w:rsidTr="00A94099">
        <w:trPr>
          <w:trHeight w:val="295"/>
        </w:trPr>
        <w:tc>
          <w:tcPr>
            <w:tcW w:w="4295" w:type="dxa"/>
            <w:shd w:val="clear" w:color="auto" w:fill="auto"/>
            <w:noWrap/>
            <w:vAlign w:val="bottom"/>
          </w:tcPr>
          <w:p w:rsidR="009B6709" w:rsidRPr="004336BF" w:rsidRDefault="009B6709" w:rsidP="00A94099">
            <w:pPr>
              <w:spacing w:line="276" w:lineRule="auto"/>
              <w:rPr>
                <w:rFonts w:cs="Arial"/>
                <w:color w:val="000000"/>
                <w:szCs w:val="24"/>
                <w:lang w:val="es-UY" w:eastAsia="es-UY"/>
              </w:rPr>
            </w:pPr>
            <w:r w:rsidRPr="004336BF">
              <w:rPr>
                <w:rFonts w:cs="Arial"/>
                <w:color w:val="000000"/>
                <w:szCs w:val="24"/>
                <w:lang w:val="es-UY" w:eastAsia="es-UY"/>
              </w:rPr>
              <w:t>Otros Ingresos</w:t>
            </w:r>
          </w:p>
        </w:tc>
        <w:tc>
          <w:tcPr>
            <w:tcW w:w="3035" w:type="dxa"/>
            <w:shd w:val="clear" w:color="auto" w:fill="auto"/>
            <w:noWrap/>
            <w:vAlign w:val="bottom"/>
          </w:tcPr>
          <w:p w:rsidR="009B6709" w:rsidRPr="004336BF" w:rsidRDefault="009B6709" w:rsidP="00A94099">
            <w:pPr>
              <w:spacing w:line="276" w:lineRule="auto"/>
              <w:jc w:val="right"/>
              <w:rPr>
                <w:rFonts w:cs="Arial"/>
                <w:color w:val="000000"/>
                <w:szCs w:val="24"/>
                <w:lang w:val="es-UY" w:eastAsia="es-UY"/>
              </w:rPr>
            </w:pPr>
            <w:r w:rsidRPr="004336BF">
              <w:rPr>
                <w:rFonts w:cs="Arial"/>
                <w:color w:val="000000"/>
                <w:szCs w:val="24"/>
                <w:lang w:val="es-UY" w:eastAsia="es-UY"/>
              </w:rPr>
              <w:t xml:space="preserve">179.884.005 </w:t>
            </w:r>
          </w:p>
        </w:tc>
      </w:tr>
      <w:tr w:rsidR="009B6709" w:rsidRPr="00AC6436" w:rsidTr="00A94099">
        <w:trPr>
          <w:trHeight w:val="295"/>
        </w:trPr>
        <w:tc>
          <w:tcPr>
            <w:tcW w:w="4295" w:type="dxa"/>
            <w:shd w:val="clear" w:color="auto" w:fill="auto"/>
            <w:noWrap/>
            <w:vAlign w:val="bottom"/>
          </w:tcPr>
          <w:p w:rsidR="009B6709" w:rsidRPr="00AC6436" w:rsidRDefault="009B6709" w:rsidP="00A94099">
            <w:pPr>
              <w:spacing w:line="276" w:lineRule="auto"/>
              <w:rPr>
                <w:rFonts w:cs="Arial"/>
                <w:b/>
                <w:color w:val="000000"/>
                <w:szCs w:val="24"/>
                <w:lang w:val="es-UY" w:eastAsia="es-UY"/>
              </w:rPr>
            </w:pPr>
            <w:r w:rsidRPr="00AC6436">
              <w:rPr>
                <w:rFonts w:cs="Arial"/>
                <w:b/>
                <w:color w:val="000000"/>
                <w:szCs w:val="24"/>
                <w:lang w:val="es-UY" w:eastAsia="es-UY"/>
              </w:rPr>
              <w:t>Recursos de Terceros</w:t>
            </w:r>
          </w:p>
        </w:tc>
        <w:tc>
          <w:tcPr>
            <w:tcW w:w="3035" w:type="dxa"/>
            <w:shd w:val="clear" w:color="auto" w:fill="auto"/>
            <w:noWrap/>
            <w:vAlign w:val="bottom"/>
          </w:tcPr>
          <w:p w:rsidR="009B6709" w:rsidRPr="00AC6436" w:rsidRDefault="009B6709" w:rsidP="00A94099">
            <w:pPr>
              <w:spacing w:line="276" w:lineRule="auto"/>
              <w:jc w:val="right"/>
              <w:rPr>
                <w:rFonts w:cs="Arial"/>
                <w:b/>
                <w:color w:val="000000"/>
                <w:szCs w:val="24"/>
                <w:lang w:val="es-UY" w:eastAsia="es-UY"/>
              </w:rPr>
            </w:pPr>
            <w:r>
              <w:rPr>
                <w:rFonts w:cs="Arial"/>
                <w:b/>
                <w:color w:val="000000"/>
                <w:szCs w:val="24"/>
                <w:lang w:val="es-UY" w:eastAsia="es-UY"/>
              </w:rPr>
              <w:t>23.895</w:t>
            </w:r>
            <w:r w:rsidRPr="00AC6436">
              <w:rPr>
                <w:rFonts w:cs="Arial"/>
                <w:b/>
                <w:color w:val="000000"/>
                <w:szCs w:val="24"/>
                <w:lang w:val="es-UY" w:eastAsia="es-UY"/>
              </w:rPr>
              <w:t>:</w:t>
            </w:r>
            <w:r>
              <w:rPr>
                <w:rFonts w:cs="Arial"/>
                <w:b/>
                <w:color w:val="000000"/>
                <w:szCs w:val="24"/>
                <w:lang w:val="es-UY" w:eastAsia="es-UY"/>
              </w:rPr>
              <w:t>028</w:t>
            </w:r>
            <w:r w:rsidRPr="00AC6436">
              <w:rPr>
                <w:rFonts w:cs="Arial"/>
                <w:b/>
                <w:color w:val="000000"/>
                <w:szCs w:val="24"/>
                <w:lang w:val="es-UY" w:eastAsia="es-UY"/>
              </w:rPr>
              <w:t>.</w:t>
            </w:r>
            <w:r>
              <w:rPr>
                <w:rFonts w:cs="Arial"/>
                <w:b/>
                <w:color w:val="000000"/>
                <w:szCs w:val="24"/>
                <w:lang w:val="es-UY" w:eastAsia="es-UY"/>
              </w:rPr>
              <w:t>940</w:t>
            </w:r>
          </w:p>
        </w:tc>
      </w:tr>
      <w:tr w:rsidR="009B6709" w:rsidRPr="00C03A28" w:rsidTr="00A94099">
        <w:trPr>
          <w:trHeight w:val="295"/>
        </w:trPr>
        <w:tc>
          <w:tcPr>
            <w:tcW w:w="4295" w:type="dxa"/>
            <w:shd w:val="clear" w:color="auto" w:fill="auto"/>
            <w:noWrap/>
            <w:vAlign w:val="bottom"/>
          </w:tcPr>
          <w:p w:rsidR="009B6709" w:rsidRPr="00F539CE" w:rsidRDefault="009B6709" w:rsidP="00A94099">
            <w:pPr>
              <w:spacing w:line="276" w:lineRule="auto"/>
              <w:rPr>
                <w:rFonts w:cs="Arial"/>
                <w:color w:val="000000"/>
                <w:szCs w:val="24"/>
                <w:lang w:val="es-UY" w:eastAsia="es-UY"/>
              </w:rPr>
            </w:pPr>
            <w:r>
              <w:rPr>
                <w:rFonts w:cs="Arial"/>
                <w:color w:val="000000"/>
                <w:szCs w:val="24"/>
                <w:lang w:val="es-UY" w:eastAsia="es-UY"/>
              </w:rPr>
              <w:t>Variación de Depósitos</w:t>
            </w:r>
          </w:p>
        </w:tc>
        <w:tc>
          <w:tcPr>
            <w:tcW w:w="3035" w:type="dxa"/>
            <w:shd w:val="clear" w:color="auto" w:fill="auto"/>
            <w:noWrap/>
            <w:vAlign w:val="bottom"/>
          </w:tcPr>
          <w:p w:rsidR="009B6709" w:rsidRPr="00C03A28" w:rsidRDefault="009B6709" w:rsidP="00A94099">
            <w:pPr>
              <w:spacing w:line="276" w:lineRule="auto"/>
              <w:jc w:val="right"/>
              <w:rPr>
                <w:rFonts w:cs="Arial"/>
                <w:color w:val="000000"/>
                <w:szCs w:val="24"/>
                <w:lang w:val="es-UY" w:eastAsia="es-UY"/>
              </w:rPr>
            </w:pPr>
            <w:r w:rsidRPr="00C03A28">
              <w:rPr>
                <w:rFonts w:cs="Arial"/>
                <w:color w:val="000000"/>
                <w:szCs w:val="24"/>
                <w:lang w:val="es-UY" w:eastAsia="es-UY"/>
              </w:rPr>
              <w:t xml:space="preserve">23.895.028.940 </w:t>
            </w:r>
          </w:p>
        </w:tc>
      </w:tr>
      <w:tr w:rsidR="009B6709" w:rsidRPr="00712DBD" w:rsidTr="00A94099">
        <w:trPr>
          <w:trHeight w:val="311"/>
        </w:trPr>
        <w:tc>
          <w:tcPr>
            <w:tcW w:w="4295" w:type="dxa"/>
            <w:shd w:val="clear" w:color="auto" w:fill="auto"/>
            <w:noWrap/>
            <w:vAlign w:val="bottom"/>
          </w:tcPr>
          <w:p w:rsidR="009B6709" w:rsidRPr="006C2A93" w:rsidRDefault="009B6709" w:rsidP="00A94099">
            <w:pPr>
              <w:spacing w:line="276" w:lineRule="auto"/>
              <w:rPr>
                <w:rFonts w:cs="Arial"/>
                <w:b/>
                <w:color w:val="000000"/>
                <w:szCs w:val="24"/>
                <w:lang w:val="es-UY" w:eastAsia="es-UY"/>
              </w:rPr>
            </w:pPr>
            <w:r w:rsidRPr="006C2A93">
              <w:rPr>
                <w:rFonts w:cs="Arial"/>
                <w:b/>
                <w:color w:val="000000"/>
                <w:szCs w:val="24"/>
                <w:lang w:val="es-UY" w:eastAsia="es-UY"/>
              </w:rPr>
              <w:t>Total de Ingresos</w:t>
            </w:r>
          </w:p>
        </w:tc>
        <w:tc>
          <w:tcPr>
            <w:tcW w:w="3035" w:type="dxa"/>
            <w:shd w:val="clear" w:color="auto" w:fill="auto"/>
            <w:noWrap/>
            <w:vAlign w:val="bottom"/>
          </w:tcPr>
          <w:p w:rsidR="009B6709" w:rsidRPr="00712DBD" w:rsidRDefault="009B6709" w:rsidP="00A94099">
            <w:pPr>
              <w:spacing w:line="276" w:lineRule="auto"/>
              <w:jc w:val="right"/>
              <w:rPr>
                <w:rFonts w:cs="Arial"/>
                <w:b/>
                <w:bCs/>
                <w:color w:val="000000"/>
                <w:szCs w:val="24"/>
                <w:lang w:val="es-UY" w:eastAsia="es-UY"/>
              </w:rPr>
            </w:pPr>
            <w:r w:rsidRPr="004336BF">
              <w:rPr>
                <w:rFonts w:cs="Arial"/>
                <w:b/>
                <w:bCs/>
                <w:color w:val="000000"/>
                <w:szCs w:val="24"/>
                <w:lang w:val="es-UY" w:eastAsia="es-UY"/>
              </w:rPr>
              <w:t>56</w:t>
            </w:r>
            <w:r>
              <w:rPr>
                <w:rFonts w:cs="Arial"/>
                <w:b/>
                <w:bCs/>
                <w:color w:val="000000"/>
                <w:szCs w:val="24"/>
                <w:lang w:val="es-UY" w:eastAsia="es-UY"/>
              </w:rPr>
              <w:t>.</w:t>
            </w:r>
            <w:r w:rsidRPr="004336BF">
              <w:rPr>
                <w:rFonts w:cs="Arial"/>
                <w:b/>
                <w:bCs/>
                <w:color w:val="000000"/>
                <w:szCs w:val="24"/>
                <w:lang w:val="es-UY" w:eastAsia="es-UY"/>
              </w:rPr>
              <w:t>345</w:t>
            </w:r>
            <w:r>
              <w:rPr>
                <w:rFonts w:cs="Arial"/>
                <w:b/>
                <w:bCs/>
                <w:color w:val="000000"/>
                <w:szCs w:val="24"/>
                <w:lang w:val="es-UY" w:eastAsia="es-UY"/>
              </w:rPr>
              <w:t>:</w:t>
            </w:r>
            <w:r w:rsidRPr="004336BF">
              <w:rPr>
                <w:rFonts w:cs="Arial"/>
                <w:b/>
                <w:bCs/>
                <w:color w:val="000000"/>
                <w:szCs w:val="24"/>
                <w:lang w:val="es-UY" w:eastAsia="es-UY"/>
              </w:rPr>
              <w:t>967</w:t>
            </w:r>
            <w:r>
              <w:rPr>
                <w:rFonts w:cs="Arial"/>
                <w:b/>
                <w:bCs/>
                <w:color w:val="000000"/>
                <w:szCs w:val="24"/>
                <w:lang w:val="es-UY" w:eastAsia="es-UY"/>
              </w:rPr>
              <w:t>.</w:t>
            </w:r>
            <w:r w:rsidRPr="004336BF">
              <w:rPr>
                <w:rFonts w:cs="Arial"/>
                <w:b/>
                <w:bCs/>
                <w:color w:val="000000"/>
                <w:szCs w:val="24"/>
                <w:lang w:val="es-UY" w:eastAsia="es-UY"/>
              </w:rPr>
              <w:t>009</w:t>
            </w:r>
          </w:p>
        </w:tc>
      </w:tr>
    </w:tbl>
    <w:p w:rsidR="009B6709" w:rsidRPr="001F65A6" w:rsidRDefault="009B6709" w:rsidP="009B6709">
      <w:pPr>
        <w:numPr>
          <w:ilvl w:val="1"/>
          <w:numId w:val="2"/>
        </w:numPr>
        <w:spacing w:line="360" w:lineRule="auto"/>
        <w:jc w:val="both"/>
        <w:rPr>
          <w:rFonts w:cs="Arial"/>
          <w:b/>
          <w:bCs/>
        </w:rPr>
      </w:pPr>
      <w:r w:rsidRPr="001F65A6">
        <w:rPr>
          <w:rFonts w:cs="Arial"/>
          <w:b/>
          <w:bCs/>
        </w:rPr>
        <w:t>ASIGNACIONES PRESUPUESTALES</w:t>
      </w:r>
    </w:p>
    <w:p w:rsidR="009B6709" w:rsidRPr="00314500" w:rsidRDefault="009B6709" w:rsidP="00314500">
      <w:pPr>
        <w:pStyle w:val="Piedepgina"/>
        <w:tabs>
          <w:tab w:val="clear" w:pos="4252"/>
          <w:tab w:val="clear" w:pos="8504"/>
        </w:tabs>
        <w:jc w:val="both"/>
        <w:rPr>
          <w:rFonts w:ascii="Arial" w:hAnsi="Arial" w:cs="Arial"/>
          <w:b/>
          <w:sz w:val="24"/>
        </w:rPr>
      </w:pPr>
      <w:r w:rsidRPr="00314500">
        <w:rPr>
          <w:rFonts w:ascii="Arial" w:hAnsi="Arial" w:cs="Arial"/>
          <w:b/>
          <w:sz w:val="24"/>
        </w:rPr>
        <w:t>Presupuesto de Egresos Operativos y de Operaciones Financieras</w:t>
      </w:r>
    </w:p>
    <w:p w:rsidR="009B6709" w:rsidRDefault="009B6709" w:rsidP="00D11113">
      <w:pPr>
        <w:spacing w:line="360" w:lineRule="auto"/>
        <w:ind w:left="426"/>
        <w:jc w:val="both"/>
        <w:rPr>
          <w:rFonts w:cs="Arial"/>
          <w:b/>
          <w:bCs/>
          <w:highlight w:val="yellow"/>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571"/>
        <w:gridCol w:w="2765"/>
      </w:tblGrid>
      <w:tr w:rsidR="009B6709" w:rsidRPr="00A94099" w:rsidTr="00A94099">
        <w:tc>
          <w:tcPr>
            <w:tcW w:w="958" w:type="dxa"/>
            <w:shd w:val="clear" w:color="auto" w:fill="auto"/>
          </w:tcPr>
          <w:p w:rsidR="009B6709" w:rsidRPr="00A94099" w:rsidRDefault="009B6709" w:rsidP="00A94099">
            <w:pPr>
              <w:spacing w:line="360" w:lineRule="auto"/>
              <w:jc w:val="both"/>
              <w:rPr>
                <w:rFonts w:cs="Arial"/>
                <w:b/>
                <w:bCs/>
              </w:rPr>
            </w:pPr>
            <w:r w:rsidRPr="00A94099">
              <w:rPr>
                <w:rFonts w:cs="Arial"/>
                <w:b/>
                <w:bCs/>
              </w:rPr>
              <w:t>Grupo</w:t>
            </w:r>
          </w:p>
        </w:tc>
        <w:tc>
          <w:tcPr>
            <w:tcW w:w="4571" w:type="dxa"/>
            <w:shd w:val="clear" w:color="auto" w:fill="auto"/>
          </w:tcPr>
          <w:p w:rsidR="009B6709" w:rsidRPr="00A94099" w:rsidRDefault="009B6709" w:rsidP="00A94099">
            <w:pPr>
              <w:spacing w:line="360" w:lineRule="auto"/>
              <w:jc w:val="both"/>
              <w:rPr>
                <w:rFonts w:cs="Arial"/>
                <w:b/>
                <w:bCs/>
              </w:rPr>
            </w:pPr>
            <w:r w:rsidRPr="00A94099">
              <w:rPr>
                <w:rFonts w:cs="Arial"/>
                <w:b/>
                <w:bCs/>
              </w:rPr>
              <w:t>Denominación</w:t>
            </w:r>
          </w:p>
        </w:tc>
        <w:tc>
          <w:tcPr>
            <w:tcW w:w="2765" w:type="dxa"/>
            <w:shd w:val="clear" w:color="auto" w:fill="auto"/>
          </w:tcPr>
          <w:p w:rsidR="009B6709" w:rsidRPr="00A94099" w:rsidRDefault="009B6709" w:rsidP="00A94099">
            <w:pPr>
              <w:spacing w:line="360" w:lineRule="auto"/>
              <w:jc w:val="both"/>
              <w:rPr>
                <w:rFonts w:cs="Arial"/>
                <w:b/>
                <w:bCs/>
              </w:rPr>
            </w:pPr>
            <w:r w:rsidRPr="00A94099">
              <w:rPr>
                <w:rFonts w:cs="Arial"/>
                <w:b/>
                <w:bCs/>
              </w:rPr>
              <w:t>Importe en $</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rPr>
            </w:pPr>
            <w:r w:rsidRPr="00BB2AB6">
              <w:rPr>
                <w:rFonts w:cs="Arial"/>
                <w:bCs/>
              </w:rPr>
              <w:t>0</w:t>
            </w:r>
          </w:p>
        </w:tc>
        <w:tc>
          <w:tcPr>
            <w:tcW w:w="4571" w:type="dxa"/>
            <w:shd w:val="clear" w:color="auto" w:fill="auto"/>
          </w:tcPr>
          <w:p w:rsidR="009B6709" w:rsidRPr="00BB2AB6" w:rsidRDefault="009B6709" w:rsidP="00A94099">
            <w:pPr>
              <w:spacing w:line="360" w:lineRule="auto"/>
              <w:jc w:val="both"/>
              <w:rPr>
                <w:rFonts w:cs="Arial"/>
                <w:bCs/>
              </w:rPr>
            </w:pPr>
            <w:r w:rsidRPr="00BB2AB6">
              <w:rPr>
                <w:rFonts w:cs="Arial"/>
                <w:bCs/>
              </w:rPr>
              <w:t>Servicios Personales</w:t>
            </w:r>
          </w:p>
        </w:tc>
        <w:tc>
          <w:tcPr>
            <w:tcW w:w="2765" w:type="dxa"/>
            <w:shd w:val="clear" w:color="auto" w:fill="auto"/>
          </w:tcPr>
          <w:p w:rsidR="009B6709" w:rsidRPr="00BB2AB6" w:rsidRDefault="009B6709" w:rsidP="00BB2AB6">
            <w:pPr>
              <w:spacing w:line="360" w:lineRule="auto"/>
              <w:jc w:val="right"/>
              <w:rPr>
                <w:rFonts w:cs="Arial"/>
                <w:bCs/>
              </w:rPr>
            </w:pPr>
            <w:r w:rsidRPr="00BB2AB6">
              <w:rPr>
                <w:rFonts w:cs="Arial"/>
                <w:bCs/>
              </w:rPr>
              <w:t>9.595.696.000</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rPr>
            </w:pPr>
            <w:r w:rsidRPr="00BB2AB6">
              <w:rPr>
                <w:rFonts w:cs="Arial"/>
                <w:bCs/>
              </w:rPr>
              <w:t>1</w:t>
            </w:r>
          </w:p>
        </w:tc>
        <w:tc>
          <w:tcPr>
            <w:tcW w:w="4571" w:type="dxa"/>
            <w:shd w:val="clear" w:color="auto" w:fill="auto"/>
          </w:tcPr>
          <w:p w:rsidR="009B6709" w:rsidRPr="00BB2AB6" w:rsidRDefault="009B6709" w:rsidP="00A94099">
            <w:pPr>
              <w:spacing w:line="360" w:lineRule="auto"/>
              <w:jc w:val="both"/>
              <w:rPr>
                <w:rFonts w:cs="Arial"/>
                <w:bCs/>
              </w:rPr>
            </w:pPr>
            <w:r w:rsidRPr="00BB2AB6">
              <w:rPr>
                <w:rFonts w:cs="Arial"/>
                <w:bCs/>
              </w:rPr>
              <w:t>Bienes de Consumo</w:t>
            </w:r>
          </w:p>
        </w:tc>
        <w:tc>
          <w:tcPr>
            <w:tcW w:w="2765" w:type="dxa"/>
            <w:shd w:val="clear" w:color="auto" w:fill="auto"/>
          </w:tcPr>
          <w:p w:rsidR="009B6709" w:rsidRPr="00BB2AB6" w:rsidRDefault="009B6709" w:rsidP="00BB2AB6">
            <w:pPr>
              <w:spacing w:line="360" w:lineRule="auto"/>
              <w:jc w:val="right"/>
              <w:rPr>
                <w:rFonts w:cs="Arial"/>
                <w:bCs/>
              </w:rPr>
            </w:pPr>
            <w:r w:rsidRPr="00BB2AB6">
              <w:rPr>
                <w:rFonts w:cs="Arial"/>
                <w:bCs/>
              </w:rPr>
              <w:t>187.719.000</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rPr>
            </w:pPr>
            <w:r w:rsidRPr="00BB2AB6">
              <w:rPr>
                <w:rFonts w:cs="Arial"/>
                <w:bCs/>
              </w:rPr>
              <w:t>2</w:t>
            </w:r>
          </w:p>
        </w:tc>
        <w:tc>
          <w:tcPr>
            <w:tcW w:w="4571" w:type="dxa"/>
            <w:shd w:val="clear" w:color="auto" w:fill="auto"/>
          </w:tcPr>
          <w:p w:rsidR="009B6709" w:rsidRPr="00BB2AB6" w:rsidRDefault="009B6709" w:rsidP="00A94099">
            <w:pPr>
              <w:spacing w:line="360" w:lineRule="auto"/>
              <w:jc w:val="both"/>
              <w:rPr>
                <w:rFonts w:cs="Arial"/>
                <w:bCs/>
              </w:rPr>
            </w:pPr>
            <w:r w:rsidRPr="00BB2AB6">
              <w:rPr>
                <w:rFonts w:cs="Arial"/>
                <w:bCs/>
              </w:rPr>
              <w:t xml:space="preserve">Servicios </w:t>
            </w:r>
            <w:r>
              <w:rPr>
                <w:rFonts w:cs="Arial"/>
                <w:bCs/>
              </w:rPr>
              <w:t xml:space="preserve">no </w:t>
            </w:r>
            <w:r w:rsidRPr="00BB2AB6">
              <w:rPr>
                <w:rFonts w:cs="Arial"/>
                <w:bCs/>
              </w:rPr>
              <w:t>Personales</w:t>
            </w:r>
          </w:p>
        </w:tc>
        <w:tc>
          <w:tcPr>
            <w:tcW w:w="2765" w:type="dxa"/>
            <w:shd w:val="clear" w:color="auto" w:fill="auto"/>
          </w:tcPr>
          <w:p w:rsidR="009B6709" w:rsidRPr="00BB2AB6" w:rsidRDefault="009B6709" w:rsidP="00BB2AB6">
            <w:pPr>
              <w:spacing w:line="360" w:lineRule="auto"/>
              <w:jc w:val="right"/>
              <w:rPr>
                <w:rFonts w:cs="Arial"/>
                <w:bCs/>
              </w:rPr>
            </w:pPr>
            <w:r w:rsidRPr="00BB2AB6">
              <w:rPr>
                <w:rFonts w:cs="Arial"/>
                <w:bCs/>
              </w:rPr>
              <w:t>11.707.107.000</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rPr>
            </w:pPr>
            <w:r w:rsidRPr="00BB2AB6">
              <w:rPr>
                <w:rFonts w:cs="Arial"/>
                <w:bCs/>
              </w:rPr>
              <w:t>5</w:t>
            </w:r>
          </w:p>
        </w:tc>
        <w:tc>
          <w:tcPr>
            <w:tcW w:w="4571" w:type="dxa"/>
            <w:shd w:val="clear" w:color="auto" w:fill="auto"/>
          </w:tcPr>
          <w:p w:rsidR="009B6709" w:rsidRPr="00BB2AB6" w:rsidRDefault="009B6709" w:rsidP="00A94099">
            <w:pPr>
              <w:spacing w:line="360" w:lineRule="auto"/>
              <w:jc w:val="both"/>
              <w:rPr>
                <w:rFonts w:cs="Arial"/>
                <w:bCs/>
              </w:rPr>
            </w:pPr>
            <w:r w:rsidRPr="00BB2AB6">
              <w:rPr>
                <w:rFonts w:cs="Arial"/>
                <w:bCs/>
              </w:rPr>
              <w:t>Transferencias</w:t>
            </w:r>
          </w:p>
        </w:tc>
        <w:tc>
          <w:tcPr>
            <w:tcW w:w="2765" w:type="dxa"/>
            <w:shd w:val="clear" w:color="auto" w:fill="auto"/>
          </w:tcPr>
          <w:p w:rsidR="009B6709" w:rsidRPr="00BB2AB6" w:rsidRDefault="009B6709" w:rsidP="00BB2AB6">
            <w:pPr>
              <w:spacing w:line="360" w:lineRule="auto"/>
              <w:jc w:val="right"/>
              <w:rPr>
                <w:rFonts w:cs="Arial"/>
                <w:bCs/>
              </w:rPr>
            </w:pPr>
            <w:r w:rsidRPr="00BB2AB6">
              <w:rPr>
                <w:rFonts w:cs="Arial"/>
                <w:bCs/>
              </w:rPr>
              <w:t>1.992.419.000</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szCs w:val="24"/>
              </w:rPr>
            </w:pPr>
            <w:r w:rsidRPr="00BB2AB6">
              <w:rPr>
                <w:rFonts w:cs="Arial"/>
                <w:bCs/>
                <w:szCs w:val="24"/>
              </w:rPr>
              <w:t>6</w:t>
            </w:r>
          </w:p>
        </w:tc>
        <w:tc>
          <w:tcPr>
            <w:tcW w:w="4571" w:type="dxa"/>
            <w:shd w:val="clear" w:color="auto" w:fill="auto"/>
          </w:tcPr>
          <w:p w:rsidR="009B6709" w:rsidRPr="00BB2AB6" w:rsidRDefault="009B6709" w:rsidP="00A94099">
            <w:pPr>
              <w:spacing w:line="360" w:lineRule="auto"/>
              <w:jc w:val="both"/>
              <w:rPr>
                <w:rFonts w:cs="Arial"/>
                <w:bCs/>
                <w:szCs w:val="24"/>
              </w:rPr>
            </w:pPr>
            <w:r w:rsidRPr="00BB2AB6">
              <w:rPr>
                <w:rFonts w:cs="Arial"/>
                <w:bCs/>
                <w:szCs w:val="24"/>
              </w:rPr>
              <w:t>Intereses y Otros gastos de Deuda</w:t>
            </w:r>
          </w:p>
        </w:tc>
        <w:tc>
          <w:tcPr>
            <w:tcW w:w="2765" w:type="dxa"/>
            <w:shd w:val="clear" w:color="auto" w:fill="auto"/>
          </w:tcPr>
          <w:p w:rsidR="009B6709" w:rsidRPr="00BB2AB6" w:rsidRDefault="009B6709" w:rsidP="00BB2AB6">
            <w:pPr>
              <w:spacing w:line="360" w:lineRule="auto"/>
              <w:jc w:val="right"/>
              <w:rPr>
                <w:rFonts w:cs="Arial"/>
                <w:bCs/>
                <w:szCs w:val="24"/>
              </w:rPr>
            </w:pPr>
            <w:r w:rsidRPr="00BB2AB6">
              <w:rPr>
                <w:rFonts w:cs="Arial"/>
                <w:bCs/>
                <w:szCs w:val="24"/>
              </w:rPr>
              <w:t>1.454.568.000</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szCs w:val="24"/>
              </w:rPr>
            </w:pPr>
            <w:r w:rsidRPr="00BB2AB6">
              <w:rPr>
                <w:rFonts w:cs="Arial"/>
                <w:bCs/>
                <w:szCs w:val="24"/>
              </w:rPr>
              <w:t>7</w:t>
            </w:r>
          </w:p>
        </w:tc>
        <w:tc>
          <w:tcPr>
            <w:tcW w:w="4571" w:type="dxa"/>
            <w:shd w:val="clear" w:color="auto" w:fill="auto"/>
          </w:tcPr>
          <w:p w:rsidR="009B6709" w:rsidRPr="00BB2AB6" w:rsidRDefault="009B6709" w:rsidP="00A94099">
            <w:pPr>
              <w:spacing w:line="360" w:lineRule="auto"/>
              <w:jc w:val="both"/>
              <w:rPr>
                <w:rFonts w:cs="Arial"/>
                <w:bCs/>
                <w:szCs w:val="24"/>
              </w:rPr>
            </w:pPr>
            <w:r w:rsidRPr="00BB2AB6">
              <w:rPr>
                <w:rFonts w:cs="Arial"/>
                <w:bCs/>
                <w:szCs w:val="24"/>
              </w:rPr>
              <w:t>Gastos no clasificados</w:t>
            </w:r>
          </w:p>
        </w:tc>
        <w:tc>
          <w:tcPr>
            <w:tcW w:w="2765" w:type="dxa"/>
            <w:shd w:val="clear" w:color="auto" w:fill="auto"/>
          </w:tcPr>
          <w:p w:rsidR="009B6709" w:rsidRPr="00BB2AB6" w:rsidRDefault="009B6709" w:rsidP="00BB2AB6">
            <w:pPr>
              <w:spacing w:line="360" w:lineRule="auto"/>
              <w:jc w:val="right"/>
              <w:rPr>
                <w:rFonts w:cs="Arial"/>
                <w:bCs/>
                <w:szCs w:val="24"/>
              </w:rPr>
            </w:pPr>
            <w:r w:rsidRPr="00BB2AB6">
              <w:rPr>
                <w:rFonts w:cs="Arial"/>
                <w:color w:val="000000"/>
                <w:szCs w:val="24"/>
                <w:lang w:val="es-UY" w:eastAsia="es-UY"/>
              </w:rPr>
              <w:t>123.141.000</w:t>
            </w:r>
          </w:p>
        </w:tc>
      </w:tr>
      <w:tr w:rsidR="009B6709" w:rsidRPr="00A94099" w:rsidTr="00A94099">
        <w:tc>
          <w:tcPr>
            <w:tcW w:w="958" w:type="dxa"/>
            <w:shd w:val="clear" w:color="auto" w:fill="auto"/>
          </w:tcPr>
          <w:p w:rsidR="009B6709" w:rsidRPr="00BB2AB6" w:rsidRDefault="009B6709" w:rsidP="00A94099">
            <w:pPr>
              <w:spacing w:line="360" w:lineRule="auto"/>
              <w:jc w:val="both"/>
              <w:rPr>
                <w:rFonts w:cs="Arial"/>
                <w:bCs/>
                <w:szCs w:val="24"/>
              </w:rPr>
            </w:pPr>
            <w:r w:rsidRPr="00BB2AB6">
              <w:rPr>
                <w:rFonts w:cs="Arial"/>
                <w:bCs/>
                <w:szCs w:val="24"/>
              </w:rPr>
              <w:t>8</w:t>
            </w:r>
          </w:p>
        </w:tc>
        <w:tc>
          <w:tcPr>
            <w:tcW w:w="4571" w:type="dxa"/>
            <w:shd w:val="clear" w:color="auto" w:fill="auto"/>
          </w:tcPr>
          <w:p w:rsidR="009B6709" w:rsidRPr="00BB2AB6" w:rsidRDefault="009B6709" w:rsidP="00A94099">
            <w:pPr>
              <w:spacing w:line="360" w:lineRule="auto"/>
              <w:jc w:val="both"/>
              <w:rPr>
                <w:rFonts w:cs="Arial"/>
                <w:bCs/>
                <w:szCs w:val="24"/>
              </w:rPr>
            </w:pPr>
            <w:r w:rsidRPr="00BB2AB6">
              <w:rPr>
                <w:rFonts w:cs="Arial"/>
                <w:color w:val="000000"/>
                <w:szCs w:val="24"/>
                <w:lang w:val="es-UY" w:eastAsia="es-UY"/>
              </w:rPr>
              <w:t xml:space="preserve"> Aplicaciones Financieras </w:t>
            </w:r>
          </w:p>
        </w:tc>
        <w:tc>
          <w:tcPr>
            <w:tcW w:w="2765" w:type="dxa"/>
            <w:shd w:val="clear" w:color="auto" w:fill="auto"/>
          </w:tcPr>
          <w:p w:rsidR="009B6709" w:rsidRPr="00BB2AB6" w:rsidRDefault="009B6709" w:rsidP="00BB2AB6">
            <w:pPr>
              <w:spacing w:line="360" w:lineRule="auto"/>
              <w:jc w:val="right"/>
              <w:rPr>
                <w:rFonts w:cs="Arial"/>
                <w:color w:val="000000"/>
                <w:szCs w:val="24"/>
                <w:lang w:val="es-UY" w:eastAsia="es-UY"/>
              </w:rPr>
            </w:pPr>
            <w:r w:rsidRPr="00BB2AB6">
              <w:rPr>
                <w:rFonts w:cs="Arial"/>
                <w:color w:val="000000"/>
                <w:szCs w:val="24"/>
                <w:lang w:val="es-UY" w:eastAsia="es-UY"/>
              </w:rPr>
              <w:t>26:670.191.000</w:t>
            </w:r>
          </w:p>
        </w:tc>
      </w:tr>
      <w:tr w:rsidR="009B6709" w:rsidRPr="00A94099" w:rsidTr="00A94099">
        <w:tc>
          <w:tcPr>
            <w:tcW w:w="958" w:type="dxa"/>
            <w:shd w:val="clear" w:color="auto" w:fill="auto"/>
          </w:tcPr>
          <w:p w:rsidR="009B6709" w:rsidRPr="00A94099" w:rsidRDefault="009B6709" w:rsidP="00A94099">
            <w:pPr>
              <w:spacing w:line="360" w:lineRule="auto"/>
              <w:jc w:val="both"/>
              <w:rPr>
                <w:rFonts w:cs="Arial"/>
                <w:b/>
                <w:bCs/>
                <w:szCs w:val="24"/>
              </w:rPr>
            </w:pPr>
          </w:p>
        </w:tc>
        <w:tc>
          <w:tcPr>
            <w:tcW w:w="4571" w:type="dxa"/>
            <w:shd w:val="clear" w:color="auto" w:fill="auto"/>
          </w:tcPr>
          <w:p w:rsidR="009B6709" w:rsidRPr="00BB2AB6" w:rsidRDefault="009B6709" w:rsidP="002B1167">
            <w:pPr>
              <w:spacing w:line="360" w:lineRule="auto"/>
              <w:jc w:val="both"/>
              <w:rPr>
                <w:rFonts w:cs="Arial"/>
                <w:b/>
                <w:color w:val="000000"/>
                <w:szCs w:val="24"/>
                <w:lang w:val="es-UY" w:eastAsia="es-UY"/>
              </w:rPr>
            </w:pPr>
            <w:r>
              <w:rPr>
                <w:rFonts w:cs="Arial"/>
                <w:b/>
                <w:color w:val="000000"/>
                <w:szCs w:val="24"/>
                <w:lang w:val="es-UY" w:eastAsia="es-UY"/>
              </w:rPr>
              <w:t>Total Egresos Operativos y Operaciones</w:t>
            </w:r>
            <w:r w:rsidRPr="00BB2AB6">
              <w:rPr>
                <w:rFonts w:cs="Arial"/>
                <w:b/>
                <w:color w:val="000000"/>
                <w:szCs w:val="24"/>
                <w:lang w:val="es-UY" w:eastAsia="es-UY"/>
              </w:rPr>
              <w:t xml:space="preserve"> </w:t>
            </w:r>
            <w:r>
              <w:rPr>
                <w:rFonts w:cs="Arial"/>
                <w:b/>
                <w:color w:val="000000"/>
                <w:szCs w:val="24"/>
                <w:lang w:val="es-UY" w:eastAsia="es-UY"/>
              </w:rPr>
              <w:t>F</w:t>
            </w:r>
            <w:r w:rsidRPr="00BB2AB6">
              <w:rPr>
                <w:rFonts w:cs="Arial"/>
                <w:b/>
                <w:color w:val="000000"/>
                <w:szCs w:val="24"/>
                <w:lang w:val="es-UY" w:eastAsia="es-UY"/>
              </w:rPr>
              <w:t>inancieras</w:t>
            </w:r>
          </w:p>
        </w:tc>
        <w:tc>
          <w:tcPr>
            <w:tcW w:w="2765" w:type="dxa"/>
            <w:shd w:val="clear" w:color="auto" w:fill="auto"/>
          </w:tcPr>
          <w:p w:rsidR="009B6709" w:rsidRPr="00A94099" w:rsidRDefault="009B6709" w:rsidP="00BB2AB6">
            <w:pPr>
              <w:spacing w:line="360" w:lineRule="auto"/>
              <w:jc w:val="right"/>
              <w:rPr>
                <w:rFonts w:cs="Arial"/>
                <w:color w:val="000000"/>
                <w:szCs w:val="24"/>
                <w:lang w:val="es-UY" w:eastAsia="es-UY"/>
              </w:rPr>
            </w:pPr>
            <w:r>
              <w:rPr>
                <w:rFonts w:cs="Arial"/>
                <w:color w:val="000000"/>
                <w:szCs w:val="24"/>
                <w:lang w:val="es-UY" w:eastAsia="es-UY"/>
              </w:rPr>
              <w:t>51.730:841.000</w:t>
            </w:r>
          </w:p>
        </w:tc>
      </w:tr>
    </w:tbl>
    <w:p w:rsidR="009B6709" w:rsidRPr="00314500" w:rsidRDefault="009B6709" w:rsidP="00D11113">
      <w:pPr>
        <w:spacing w:line="360" w:lineRule="auto"/>
        <w:ind w:left="426"/>
        <w:jc w:val="both"/>
        <w:rPr>
          <w:rFonts w:cs="Arial"/>
          <w:b/>
          <w:bCs/>
          <w:szCs w:val="24"/>
          <w:highlight w:val="yellow"/>
        </w:rPr>
      </w:pPr>
    </w:p>
    <w:p w:rsidR="009B6709" w:rsidRPr="00A95A68" w:rsidRDefault="009B6709">
      <w:pPr>
        <w:pStyle w:val="Piedepgina"/>
        <w:tabs>
          <w:tab w:val="clear" w:pos="4252"/>
          <w:tab w:val="clear" w:pos="8504"/>
        </w:tabs>
        <w:jc w:val="both"/>
        <w:rPr>
          <w:rFonts w:ascii="Arial" w:hAnsi="Arial" w:cs="Arial"/>
          <w:b/>
          <w:bCs/>
          <w:sz w:val="24"/>
          <w:highlight w:val="yellow"/>
        </w:rPr>
      </w:pPr>
    </w:p>
    <w:p w:rsidR="009B6709" w:rsidRPr="00BB2AB6" w:rsidRDefault="009B6709">
      <w:pPr>
        <w:pStyle w:val="Piedepgina"/>
        <w:tabs>
          <w:tab w:val="clear" w:pos="4252"/>
          <w:tab w:val="clear" w:pos="8504"/>
        </w:tabs>
        <w:jc w:val="both"/>
        <w:rPr>
          <w:rFonts w:ascii="Arial" w:hAnsi="Arial" w:cs="Arial"/>
          <w:b/>
          <w:bCs/>
          <w:sz w:val="24"/>
        </w:rPr>
      </w:pPr>
      <w:r w:rsidRPr="00BB2AB6">
        <w:rPr>
          <w:rFonts w:ascii="Arial" w:hAnsi="Arial" w:cs="Arial"/>
          <w:b/>
          <w:bCs/>
          <w:sz w:val="24"/>
        </w:rPr>
        <w:t>Presupuesto de Inversiones</w:t>
      </w:r>
    </w:p>
    <w:p w:rsidR="009B6709" w:rsidRDefault="009B6709">
      <w:pPr>
        <w:pStyle w:val="Piedepgina"/>
        <w:tabs>
          <w:tab w:val="clear" w:pos="4252"/>
          <w:tab w:val="clear" w:pos="8504"/>
        </w:tabs>
        <w:jc w:val="both"/>
        <w:rPr>
          <w:rFonts w:ascii="Arial" w:hAnsi="Arial" w:cs="Arial"/>
          <w:b/>
          <w:bCs/>
          <w:sz w:val="24"/>
          <w:highlight w:val="yellow"/>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520"/>
        <w:gridCol w:w="2959"/>
      </w:tblGrid>
      <w:tr w:rsidR="009B6709" w:rsidRPr="005C3E20" w:rsidTr="005C3E20">
        <w:tc>
          <w:tcPr>
            <w:tcW w:w="884" w:type="dxa"/>
            <w:shd w:val="clear" w:color="auto" w:fill="auto"/>
          </w:tcPr>
          <w:p w:rsidR="009B6709" w:rsidRPr="005C3E20" w:rsidRDefault="009B6709" w:rsidP="005C3E20">
            <w:pPr>
              <w:spacing w:line="360" w:lineRule="auto"/>
              <w:jc w:val="both"/>
              <w:rPr>
                <w:rFonts w:cs="Arial"/>
                <w:bCs/>
              </w:rPr>
            </w:pPr>
            <w:r w:rsidRPr="005C3E20">
              <w:rPr>
                <w:rFonts w:cs="Arial"/>
                <w:bCs/>
              </w:rPr>
              <w:t>Grupo</w:t>
            </w:r>
          </w:p>
        </w:tc>
        <w:tc>
          <w:tcPr>
            <w:tcW w:w="4520" w:type="dxa"/>
            <w:shd w:val="clear" w:color="auto" w:fill="auto"/>
          </w:tcPr>
          <w:p w:rsidR="009B6709" w:rsidRPr="005C3E20" w:rsidRDefault="009B6709" w:rsidP="005C3E20">
            <w:pPr>
              <w:spacing w:line="360" w:lineRule="auto"/>
              <w:jc w:val="both"/>
              <w:rPr>
                <w:rFonts w:cs="Arial"/>
                <w:bCs/>
              </w:rPr>
            </w:pPr>
            <w:r w:rsidRPr="005C3E20">
              <w:rPr>
                <w:rFonts w:cs="Arial"/>
                <w:bCs/>
              </w:rPr>
              <w:t xml:space="preserve">Denominación </w:t>
            </w:r>
          </w:p>
        </w:tc>
        <w:tc>
          <w:tcPr>
            <w:tcW w:w="2959" w:type="dxa"/>
            <w:shd w:val="clear" w:color="auto" w:fill="auto"/>
          </w:tcPr>
          <w:p w:rsidR="009B6709" w:rsidRPr="005C3E20" w:rsidRDefault="009B6709" w:rsidP="005C3E20">
            <w:pPr>
              <w:spacing w:line="360" w:lineRule="auto"/>
              <w:jc w:val="center"/>
              <w:rPr>
                <w:rFonts w:cs="Arial"/>
                <w:bCs/>
              </w:rPr>
            </w:pPr>
            <w:r w:rsidRPr="005C3E20">
              <w:rPr>
                <w:rFonts w:cs="Arial"/>
                <w:bCs/>
              </w:rPr>
              <w:t>Importe en $</w:t>
            </w:r>
          </w:p>
        </w:tc>
      </w:tr>
      <w:tr w:rsidR="009B6709" w:rsidRPr="005C3E20" w:rsidTr="005C3E20">
        <w:tc>
          <w:tcPr>
            <w:tcW w:w="884" w:type="dxa"/>
            <w:shd w:val="clear" w:color="auto" w:fill="auto"/>
          </w:tcPr>
          <w:p w:rsidR="009B6709" w:rsidRPr="005C3E20" w:rsidRDefault="009B6709" w:rsidP="005C3E20">
            <w:pPr>
              <w:spacing w:line="360" w:lineRule="auto"/>
              <w:jc w:val="both"/>
              <w:rPr>
                <w:rFonts w:cs="Arial"/>
                <w:bCs/>
              </w:rPr>
            </w:pPr>
            <w:r w:rsidRPr="005C3E20">
              <w:rPr>
                <w:rFonts w:cs="Arial"/>
                <w:bCs/>
              </w:rPr>
              <w:t>2</w:t>
            </w:r>
          </w:p>
        </w:tc>
        <w:tc>
          <w:tcPr>
            <w:tcW w:w="4520" w:type="dxa"/>
            <w:shd w:val="clear" w:color="auto" w:fill="auto"/>
          </w:tcPr>
          <w:p w:rsidR="009B6709" w:rsidRPr="005C3E20" w:rsidRDefault="009B6709" w:rsidP="005C3E20">
            <w:pPr>
              <w:spacing w:line="360" w:lineRule="auto"/>
              <w:jc w:val="both"/>
              <w:rPr>
                <w:rFonts w:cs="Arial"/>
                <w:bCs/>
              </w:rPr>
            </w:pPr>
            <w:r w:rsidRPr="005C3E20">
              <w:rPr>
                <w:rFonts w:cs="Arial"/>
                <w:bCs/>
              </w:rPr>
              <w:t>Servicios no personales</w:t>
            </w:r>
          </w:p>
        </w:tc>
        <w:tc>
          <w:tcPr>
            <w:tcW w:w="2959" w:type="dxa"/>
            <w:shd w:val="clear" w:color="auto" w:fill="auto"/>
          </w:tcPr>
          <w:p w:rsidR="009B6709" w:rsidRPr="005C3E20" w:rsidRDefault="009B6709" w:rsidP="005C3E20">
            <w:pPr>
              <w:spacing w:line="360" w:lineRule="auto"/>
              <w:jc w:val="right"/>
              <w:rPr>
                <w:rFonts w:cs="Arial"/>
                <w:bCs/>
              </w:rPr>
            </w:pPr>
            <w:r w:rsidRPr="005C3E20">
              <w:rPr>
                <w:rFonts w:cs="Arial"/>
                <w:bCs/>
              </w:rPr>
              <w:t>158:079.000</w:t>
            </w:r>
          </w:p>
        </w:tc>
      </w:tr>
      <w:tr w:rsidR="009B6709" w:rsidRPr="005C3E20" w:rsidTr="005C3E20">
        <w:tc>
          <w:tcPr>
            <w:tcW w:w="884" w:type="dxa"/>
            <w:shd w:val="clear" w:color="auto" w:fill="auto"/>
          </w:tcPr>
          <w:p w:rsidR="009B6709" w:rsidRPr="005C3E20" w:rsidRDefault="009B6709" w:rsidP="005C3E20">
            <w:pPr>
              <w:spacing w:line="360" w:lineRule="auto"/>
              <w:jc w:val="both"/>
              <w:rPr>
                <w:rFonts w:cs="Arial"/>
                <w:bCs/>
              </w:rPr>
            </w:pPr>
            <w:r w:rsidRPr="005C3E20">
              <w:rPr>
                <w:rFonts w:cs="Arial"/>
                <w:bCs/>
              </w:rPr>
              <w:t>3</w:t>
            </w:r>
          </w:p>
        </w:tc>
        <w:tc>
          <w:tcPr>
            <w:tcW w:w="4520" w:type="dxa"/>
            <w:shd w:val="clear" w:color="auto" w:fill="auto"/>
          </w:tcPr>
          <w:p w:rsidR="009B6709" w:rsidRPr="005C3E20" w:rsidRDefault="009B6709" w:rsidP="005C3E20">
            <w:pPr>
              <w:spacing w:line="360" w:lineRule="auto"/>
              <w:jc w:val="both"/>
              <w:rPr>
                <w:rFonts w:cs="Arial"/>
                <w:bCs/>
              </w:rPr>
            </w:pPr>
            <w:r w:rsidRPr="005C3E20">
              <w:rPr>
                <w:rFonts w:cs="Arial"/>
                <w:bCs/>
              </w:rPr>
              <w:t>Bienes de Uso</w:t>
            </w:r>
          </w:p>
        </w:tc>
        <w:tc>
          <w:tcPr>
            <w:tcW w:w="2959" w:type="dxa"/>
            <w:shd w:val="clear" w:color="auto" w:fill="auto"/>
          </w:tcPr>
          <w:p w:rsidR="009B6709" w:rsidRPr="005C3E20" w:rsidRDefault="009B6709" w:rsidP="005C3E20">
            <w:pPr>
              <w:spacing w:line="360" w:lineRule="auto"/>
              <w:jc w:val="right"/>
              <w:rPr>
                <w:rFonts w:cs="Arial"/>
                <w:bCs/>
              </w:rPr>
            </w:pPr>
            <w:r w:rsidRPr="005C3E20">
              <w:rPr>
                <w:rFonts w:cs="Arial"/>
                <w:bCs/>
              </w:rPr>
              <w:t>1.855:420.000</w:t>
            </w:r>
          </w:p>
        </w:tc>
      </w:tr>
      <w:tr w:rsidR="009B6709" w:rsidRPr="005C3E20" w:rsidTr="005C3E20">
        <w:tc>
          <w:tcPr>
            <w:tcW w:w="884" w:type="dxa"/>
            <w:shd w:val="clear" w:color="auto" w:fill="auto"/>
          </w:tcPr>
          <w:p w:rsidR="009B6709" w:rsidRPr="005C3E20" w:rsidRDefault="009B6709" w:rsidP="005C3E20">
            <w:pPr>
              <w:spacing w:line="360" w:lineRule="auto"/>
              <w:jc w:val="both"/>
              <w:rPr>
                <w:rFonts w:cs="Arial"/>
                <w:b/>
                <w:bCs/>
              </w:rPr>
            </w:pPr>
          </w:p>
        </w:tc>
        <w:tc>
          <w:tcPr>
            <w:tcW w:w="4520" w:type="dxa"/>
            <w:shd w:val="clear" w:color="auto" w:fill="auto"/>
          </w:tcPr>
          <w:p w:rsidR="009B6709" w:rsidRPr="005C3E20" w:rsidRDefault="009B6709" w:rsidP="005C3E20">
            <w:pPr>
              <w:spacing w:line="360" w:lineRule="auto"/>
              <w:jc w:val="both"/>
              <w:rPr>
                <w:rFonts w:cs="Arial"/>
                <w:b/>
                <w:bCs/>
              </w:rPr>
            </w:pPr>
            <w:r w:rsidRPr="005C3E20">
              <w:rPr>
                <w:rFonts w:cs="Arial"/>
                <w:b/>
                <w:bCs/>
              </w:rPr>
              <w:t>Total egresos por Inversiones</w:t>
            </w:r>
          </w:p>
        </w:tc>
        <w:tc>
          <w:tcPr>
            <w:tcW w:w="2959" w:type="dxa"/>
            <w:shd w:val="clear" w:color="auto" w:fill="auto"/>
          </w:tcPr>
          <w:p w:rsidR="009B6709" w:rsidRPr="005C3E20" w:rsidRDefault="009B6709" w:rsidP="005C3E20">
            <w:pPr>
              <w:spacing w:line="360" w:lineRule="auto"/>
              <w:jc w:val="right"/>
              <w:rPr>
                <w:rFonts w:cs="Arial"/>
                <w:b/>
                <w:bCs/>
              </w:rPr>
            </w:pPr>
            <w:r w:rsidRPr="005C3E20">
              <w:rPr>
                <w:rFonts w:cs="Arial"/>
                <w:b/>
                <w:bCs/>
              </w:rPr>
              <w:t>2.013:499.000</w:t>
            </w:r>
          </w:p>
        </w:tc>
      </w:tr>
    </w:tbl>
    <w:p w:rsidR="009B6709" w:rsidRPr="00A95A68" w:rsidRDefault="009B6709">
      <w:pPr>
        <w:spacing w:line="360" w:lineRule="auto"/>
        <w:jc w:val="both"/>
        <w:rPr>
          <w:rFonts w:cs="Arial"/>
          <w:b/>
          <w:bCs/>
          <w:highlight w:val="yellow"/>
        </w:rPr>
      </w:pPr>
    </w:p>
    <w:tbl>
      <w:tblPr>
        <w:tblpPr w:leftFromText="141" w:rightFromText="141" w:vertAnchor="text" w:horzAnchor="margin" w:tblpX="299" w:tblpY="-49"/>
        <w:tblW w:w="8379" w:type="dxa"/>
        <w:tblCellMar>
          <w:left w:w="0" w:type="dxa"/>
          <w:right w:w="0" w:type="dxa"/>
        </w:tblCellMar>
        <w:tblLook w:val="0000" w:firstRow="0" w:lastRow="0" w:firstColumn="0" w:lastColumn="0" w:noHBand="0" w:noVBand="0"/>
      </w:tblPr>
      <w:tblGrid>
        <w:gridCol w:w="1055"/>
        <w:gridCol w:w="4205"/>
        <w:gridCol w:w="3119"/>
      </w:tblGrid>
      <w:tr w:rsidR="009B6709" w:rsidRPr="00A95A68" w:rsidTr="00EA56B9">
        <w:trPr>
          <w:trHeight w:val="280"/>
        </w:trPr>
        <w:tc>
          <w:tcPr>
            <w:tcW w:w="10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B6709" w:rsidRPr="00F56522" w:rsidRDefault="009B6709" w:rsidP="005C3E20">
            <w:pPr>
              <w:jc w:val="center"/>
              <w:rPr>
                <w:rFonts w:cs="Arial"/>
              </w:rPr>
            </w:pPr>
          </w:p>
        </w:tc>
        <w:tc>
          <w:tcPr>
            <w:tcW w:w="420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B6709" w:rsidRPr="00F56522" w:rsidRDefault="009B6709" w:rsidP="005C3E20">
            <w:pPr>
              <w:rPr>
                <w:rFonts w:cs="Arial"/>
                <w:b/>
                <w:bCs/>
                <w:szCs w:val="24"/>
              </w:rPr>
            </w:pPr>
            <w:r w:rsidRPr="00F56522">
              <w:rPr>
                <w:rFonts w:cs="Arial"/>
                <w:b/>
                <w:bCs/>
              </w:rPr>
              <w:t>Total Egresos</w:t>
            </w:r>
          </w:p>
        </w:tc>
        <w:tc>
          <w:tcPr>
            <w:tcW w:w="31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9B6709" w:rsidRPr="00EA56B9" w:rsidRDefault="009B6709" w:rsidP="005C3E20">
            <w:pPr>
              <w:jc w:val="right"/>
              <w:rPr>
                <w:rFonts w:cs="Arial"/>
                <w:b/>
                <w:bCs/>
                <w:szCs w:val="24"/>
              </w:rPr>
            </w:pPr>
            <w:r w:rsidRPr="00EA56B9">
              <w:rPr>
                <w:rFonts w:cs="Arial"/>
                <w:b/>
                <w:bCs/>
                <w:szCs w:val="24"/>
              </w:rPr>
              <w:t>$ 53.744:340.000</w:t>
            </w:r>
          </w:p>
        </w:tc>
      </w:tr>
    </w:tbl>
    <w:p w:rsidR="009B6709" w:rsidRPr="00A95A68" w:rsidRDefault="009B6709">
      <w:pPr>
        <w:spacing w:line="360" w:lineRule="auto"/>
        <w:jc w:val="both"/>
        <w:rPr>
          <w:rFonts w:cs="Arial"/>
          <w:b/>
          <w:bCs/>
          <w:highlight w:val="yellow"/>
        </w:rPr>
      </w:pPr>
    </w:p>
    <w:p w:rsidR="009B6709" w:rsidRPr="00B5798C" w:rsidRDefault="009B6709" w:rsidP="009B6709">
      <w:pPr>
        <w:numPr>
          <w:ilvl w:val="1"/>
          <w:numId w:val="2"/>
        </w:numPr>
        <w:spacing w:line="360" w:lineRule="auto"/>
        <w:rPr>
          <w:rFonts w:cs="Arial"/>
          <w:b/>
          <w:bCs/>
        </w:rPr>
      </w:pPr>
      <w:r>
        <w:rPr>
          <w:rFonts w:cs="Arial"/>
          <w:b/>
          <w:bCs/>
        </w:rPr>
        <w:t>ANÁLISIS DEL RESULTADO  PRESUPUESTAL</w:t>
      </w:r>
    </w:p>
    <w:p w:rsidR="009B6709" w:rsidRPr="00B5798C" w:rsidRDefault="009B6709" w:rsidP="00E03E10">
      <w:pPr>
        <w:autoSpaceDE w:val="0"/>
        <w:autoSpaceDN w:val="0"/>
        <w:adjustRightInd w:val="0"/>
        <w:spacing w:line="360" w:lineRule="auto"/>
        <w:jc w:val="both"/>
        <w:rPr>
          <w:rFonts w:cs="Arial"/>
          <w:bCs/>
        </w:rPr>
      </w:pPr>
      <w:r w:rsidRPr="00070DDB">
        <w:rPr>
          <w:rFonts w:cs="Arial"/>
          <w:bCs/>
        </w:rPr>
        <w:t>De la comparación de los ingresos proyectados y las asignaciones presupuestales resulta el siguiente resultado presupuestal:</w:t>
      </w:r>
    </w:p>
    <w:p w:rsidR="009B6709" w:rsidRPr="00A95A68" w:rsidRDefault="009B6709" w:rsidP="00A1768F">
      <w:pPr>
        <w:spacing w:line="360" w:lineRule="auto"/>
        <w:ind w:left="864"/>
        <w:jc w:val="both"/>
        <w:rPr>
          <w:rFonts w:cs="Arial"/>
          <w:b/>
          <w:bCs/>
          <w:highlight w:val="yellow"/>
        </w:rPr>
      </w:pPr>
    </w:p>
    <w:tbl>
      <w:tblPr>
        <w:tblW w:w="8263" w:type="dxa"/>
        <w:jc w:val="center"/>
        <w:tblInd w:w="-2785" w:type="dxa"/>
        <w:tblCellMar>
          <w:left w:w="0" w:type="dxa"/>
          <w:right w:w="0" w:type="dxa"/>
        </w:tblCellMar>
        <w:tblLook w:val="0000" w:firstRow="0" w:lastRow="0" w:firstColumn="0" w:lastColumn="0" w:noHBand="0" w:noVBand="0"/>
      </w:tblPr>
      <w:tblGrid>
        <w:gridCol w:w="6259"/>
        <w:gridCol w:w="2004"/>
      </w:tblGrid>
      <w:tr w:rsidR="009B6709" w:rsidRPr="00A95A68" w:rsidTr="00EE0A41">
        <w:trPr>
          <w:trHeight w:val="300"/>
          <w:jc w:val="center"/>
        </w:trPr>
        <w:tc>
          <w:tcPr>
            <w:tcW w:w="62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B6709" w:rsidRPr="00B5798C" w:rsidRDefault="009B6709">
            <w:pPr>
              <w:rPr>
                <w:rFonts w:cs="Arial"/>
                <w:szCs w:val="24"/>
              </w:rPr>
            </w:pPr>
            <w:r w:rsidRPr="00B5798C">
              <w:rPr>
                <w:rFonts w:cs="Arial"/>
              </w:rPr>
              <w:t>Presupuesto de Ingresos</w:t>
            </w:r>
          </w:p>
        </w:tc>
        <w:tc>
          <w:tcPr>
            <w:tcW w:w="20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B6709" w:rsidRPr="00B5798C" w:rsidRDefault="009B6709" w:rsidP="00B5798C">
            <w:pPr>
              <w:jc w:val="right"/>
              <w:rPr>
                <w:rFonts w:cs="Arial"/>
                <w:szCs w:val="24"/>
              </w:rPr>
            </w:pPr>
            <w:r w:rsidRPr="00B5798C">
              <w:rPr>
                <w:rFonts w:cs="Arial"/>
                <w:bCs/>
                <w:szCs w:val="24"/>
                <w:lang w:val="es-UY" w:eastAsia="es-UY"/>
              </w:rPr>
              <w:t xml:space="preserve">$ </w:t>
            </w:r>
            <w:r>
              <w:rPr>
                <w:rFonts w:cs="Arial"/>
                <w:bCs/>
                <w:szCs w:val="24"/>
                <w:lang w:val="es-UY" w:eastAsia="es-UY"/>
              </w:rPr>
              <w:t>56</w:t>
            </w:r>
            <w:r w:rsidRPr="00B5798C">
              <w:rPr>
                <w:rFonts w:cs="Arial"/>
                <w:bCs/>
                <w:szCs w:val="24"/>
                <w:lang w:val="es-UY" w:eastAsia="es-UY"/>
              </w:rPr>
              <w:t>.</w:t>
            </w:r>
            <w:r>
              <w:rPr>
                <w:rFonts w:cs="Arial"/>
                <w:bCs/>
                <w:szCs w:val="24"/>
                <w:lang w:val="es-UY" w:eastAsia="es-UY"/>
              </w:rPr>
              <w:t>345:967.009</w:t>
            </w:r>
            <w:r w:rsidRPr="00B5798C">
              <w:rPr>
                <w:rFonts w:cs="Arial"/>
                <w:bCs/>
              </w:rPr>
              <w:t xml:space="preserve">     </w:t>
            </w:r>
          </w:p>
        </w:tc>
      </w:tr>
      <w:tr w:rsidR="009B6709" w:rsidRPr="00A95A68" w:rsidTr="00EE0A41">
        <w:trPr>
          <w:trHeight w:val="300"/>
          <w:jc w:val="center"/>
        </w:trPr>
        <w:tc>
          <w:tcPr>
            <w:tcW w:w="625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B6709" w:rsidRPr="00B5798C" w:rsidRDefault="009B6709" w:rsidP="00D56808">
            <w:pPr>
              <w:rPr>
                <w:rFonts w:cs="Arial"/>
                <w:szCs w:val="24"/>
              </w:rPr>
            </w:pPr>
            <w:r w:rsidRPr="00B5798C">
              <w:rPr>
                <w:rFonts w:cs="Arial"/>
              </w:rPr>
              <w:t>Presupuesto Operativo y de Operaciones Financieras</w:t>
            </w:r>
          </w:p>
        </w:tc>
        <w:tc>
          <w:tcPr>
            <w:tcW w:w="200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B6709" w:rsidRPr="00A95A68" w:rsidRDefault="009B6709" w:rsidP="00B5798C">
            <w:pPr>
              <w:jc w:val="right"/>
              <w:rPr>
                <w:rFonts w:cs="Arial"/>
                <w:szCs w:val="24"/>
                <w:highlight w:val="yellow"/>
              </w:rPr>
            </w:pPr>
            <w:r w:rsidRPr="00B5798C">
              <w:rPr>
                <w:rFonts w:cs="Arial"/>
                <w:bCs/>
                <w:szCs w:val="24"/>
                <w:lang w:val="es-UY" w:eastAsia="es-UY"/>
              </w:rPr>
              <w:t xml:space="preserve">$ </w:t>
            </w:r>
            <w:r>
              <w:rPr>
                <w:rFonts w:cs="Arial"/>
                <w:bCs/>
                <w:szCs w:val="24"/>
                <w:lang w:val="es-UY" w:eastAsia="es-UY"/>
              </w:rPr>
              <w:t>51</w:t>
            </w:r>
            <w:r w:rsidRPr="00B5798C">
              <w:rPr>
                <w:rFonts w:cs="Arial"/>
                <w:bCs/>
                <w:szCs w:val="24"/>
                <w:lang w:val="es-UY" w:eastAsia="es-UY"/>
              </w:rPr>
              <w:t>.</w:t>
            </w:r>
            <w:r>
              <w:rPr>
                <w:rFonts w:cs="Arial"/>
                <w:bCs/>
                <w:szCs w:val="24"/>
                <w:lang w:val="es-UY" w:eastAsia="es-UY"/>
              </w:rPr>
              <w:t>730</w:t>
            </w:r>
            <w:r w:rsidRPr="00B5798C">
              <w:rPr>
                <w:rFonts w:cs="Arial"/>
                <w:bCs/>
                <w:color w:val="000000"/>
                <w:szCs w:val="24"/>
                <w:lang w:val="es-UY" w:eastAsia="es-UY"/>
              </w:rPr>
              <w:t>:</w:t>
            </w:r>
            <w:r>
              <w:rPr>
                <w:rFonts w:cs="Arial"/>
                <w:bCs/>
                <w:color w:val="000000"/>
                <w:szCs w:val="24"/>
                <w:lang w:val="es-UY" w:eastAsia="es-UY"/>
              </w:rPr>
              <w:t>841</w:t>
            </w:r>
            <w:r w:rsidRPr="00B5798C">
              <w:rPr>
                <w:rFonts w:cs="Arial"/>
                <w:bCs/>
                <w:color w:val="000000"/>
                <w:szCs w:val="24"/>
                <w:lang w:val="es-UY" w:eastAsia="es-UY"/>
              </w:rPr>
              <w:t>.</w:t>
            </w:r>
            <w:r>
              <w:rPr>
                <w:rFonts w:cs="Arial"/>
                <w:bCs/>
                <w:color w:val="000000"/>
                <w:szCs w:val="24"/>
                <w:lang w:val="es-UY" w:eastAsia="es-UY"/>
              </w:rPr>
              <w:t>000</w:t>
            </w:r>
          </w:p>
        </w:tc>
      </w:tr>
      <w:tr w:rsidR="009B6709" w:rsidRPr="00A95A68" w:rsidTr="00EE0A41">
        <w:trPr>
          <w:trHeight w:val="300"/>
          <w:jc w:val="center"/>
        </w:trPr>
        <w:tc>
          <w:tcPr>
            <w:tcW w:w="625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B6709" w:rsidRPr="00A95A68" w:rsidRDefault="009B6709" w:rsidP="00161BDF">
            <w:pPr>
              <w:rPr>
                <w:rFonts w:cs="Arial"/>
                <w:szCs w:val="24"/>
                <w:highlight w:val="yellow"/>
              </w:rPr>
            </w:pPr>
            <w:r w:rsidRPr="00B5798C">
              <w:rPr>
                <w:rFonts w:cs="Arial"/>
              </w:rPr>
              <w:t>Presupuesto de Inversiones</w:t>
            </w:r>
          </w:p>
        </w:tc>
        <w:tc>
          <w:tcPr>
            <w:tcW w:w="200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B6709" w:rsidRPr="00B5798C" w:rsidRDefault="009B6709" w:rsidP="00B5798C">
            <w:pPr>
              <w:jc w:val="right"/>
              <w:rPr>
                <w:rFonts w:cs="Arial"/>
                <w:szCs w:val="24"/>
              </w:rPr>
            </w:pPr>
            <w:r w:rsidRPr="00B5798C">
              <w:rPr>
                <w:rFonts w:cs="Arial"/>
                <w:bCs/>
                <w:szCs w:val="24"/>
                <w:lang w:val="es-UY" w:eastAsia="es-UY"/>
              </w:rPr>
              <w:t>$ 2.013</w:t>
            </w:r>
            <w:r w:rsidRPr="00B5798C">
              <w:t>:499.000</w:t>
            </w:r>
          </w:p>
        </w:tc>
      </w:tr>
      <w:tr w:rsidR="009B6709" w:rsidRPr="00A95A68" w:rsidTr="00EE0A41">
        <w:trPr>
          <w:trHeight w:val="300"/>
          <w:jc w:val="center"/>
        </w:trPr>
        <w:tc>
          <w:tcPr>
            <w:tcW w:w="625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B6709" w:rsidRPr="00A95A68" w:rsidRDefault="009B6709" w:rsidP="00161BDF">
            <w:pPr>
              <w:rPr>
                <w:rFonts w:cs="Arial"/>
                <w:b/>
                <w:highlight w:val="yellow"/>
              </w:rPr>
            </w:pPr>
            <w:r w:rsidRPr="008C24D1">
              <w:rPr>
                <w:rFonts w:cs="Arial"/>
                <w:b/>
              </w:rPr>
              <w:t>Superávit</w:t>
            </w:r>
          </w:p>
        </w:tc>
        <w:tc>
          <w:tcPr>
            <w:tcW w:w="200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B6709" w:rsidRPr="00A95A68" w:rsidRDefault="009B6709" w:rsidP="00A81088">
            <w:pPr>
              <w:jc w:val="right"/>
              <w:rPr>
                <w:rFonts w:cs="Arial"/>
                <w:b/>
                <w:bCs/>
                <w:szCs w:val="24"/>
                <w:highlight w:val="yellow"/>
                <w:lang w:val="es-UY" w:eastAsia="es-UY"/>
              </w:rPr>
            </w:pPr>
            <w:r w:rsidRPr="008C24D1">
              <w:rPr>
                <w:rFonts w:cs="Arial"/>
                <w:b/>
                <w:bCs/>
              </w:rPr>
              <w:t xml:space="preserve">$ </w:t>
            </w:r>
            <w:r>
              <w:rPr>
                <w:rFonts w:cs="Arial"/>
                <w:b/>
                <w:bCs/>
              </w:rPr>
              <w:t>2</w:t>
            </w:r>
            <w:r w:rsidRPr="008C24D1">
              <w:rPr>
                <w:rFonts w:cs="Arial"/>
                <w:b/>
                <w:bCs/>
              </w:rPr>
              <w:t>.</w:t>
            </w:r>
            <w:r>
              <w:rPr>
                <w:rFonts w:cs="Arial"/>
                <w:b/>
                <w:bCs/>
              </w:rPr>
              <w:t>601</w:t>
            </w:r>
            <w:r w:rsidRPr="008C24D1">
              <w:rPr>
                <w:rFonts w:cs="Arial"/>
                <w:b/>
                <w:bCs/>
              </w:rPr>
              <w:t>:</w:t>
            </w:r>
            <w:r>
              <w:rPr>
                <w:rFonts w:cs="Arial"/>
                <w:b/>
                <w:bCs/>
              </w:rPr>
              <w:t>627</w:t>
            </w:r>
            <w:r w:rsidRPr="008C24D1">
              <w:rPr>
                <w:rFonts w:cs="Arial"/>
                <w:b/>
                <w:bCs/>
              </w:rPr>
              <w:t>.</w:t>
            </w:r>
            <w:r>
              <w:rPr>
                <w:rFonts w:cs="Arial"/>
                <w:b/>
                <w:bCs/>
              </w:rPr>
              <w:t>009</w:t>
            </w:r>
          </w:p>
        </w:tc>
      </w:tr>
    </w:tbl>
    <w:p w:rsidR="009B6709" w:rsidRPr="00A95A68" w:rsidRDefault="009B6709">
      <w:pPr>
        <w:rPr>
          <w:rFonts w:cs="Arial"/>
          <w:highlight w:val="yellow"/>
        </w:rPr>
      </w:pPr>
    </w:p>
    <w:p w:rsidR="009B6709" w:rsidRPr="00A95A68" w:rsidRDefault="009B6709">
      <w:pPr>
        <w:rPr>
          <w:rFonts w:cs="Arial"/>
          <w:highlight w:val="yellow"/>
        </w:rPr>
      </w:pPr>
    </w:p>
    <w:p w:rsidR="009B6709" w:rsidRDefault="009B6709" w:rsidP="002C5397">
      <w:pPr>
        <w:pStyle w:val="Piedepgina"/>
        <w:tabs>
          <w:tab w:val="clear" w:pos="4252"/>
          <w:tab w:val="clear" w:pos="8504"/>
        </w:tabs>
        <w:spacing w:line="360" w:lineRule="auto"/>
        <w:jc w:val="both"/>
        <w:rPr>
          <w:rFonts w:ascii="Arial" w:hAnsi="Arial" w:cs="Arial"/>
          <w:sz w:val="24"/>
        </w:rPr>
      </w:pPr>
      <w:r w:rsidRPr="00A95A68">
        <w:rPr>
          <w:rFonts w:ascii="Arial" w:hAnsi="Arial" w:cs="Arial"/>
          <w:b/>
          <w:bCs/>
          <w:sz w:val="24"/>
        </w:rPr>
        <w:t>1.4</w:t>
      </w:r>
      <w:r>
        <w:rPr>
          <w:rFonts w:ascii="Arial" w:hAnsi="Arial" w:cs="Arial"/>
          <w:b/>
          <w:bCs/>
          <w:sz w:val="24"/>
        </w:rPr>
        <w:t>)</w:t>
      </w:r>
      <w:r w:rsidRPr="00A95A68">
        <w:rPr>
          <w:rFonts w:ascii="Arial" w:hAnsi="Arial" w:cs="Arial"/>
          <w:sz w:val="24"/>
        </w:rPr>
        <w:t xml:space="preserve"> Los ingresos y egresos previstos fueron calculados a nivel de precios de enero-junio-201</w:t>
      </w:r>
      <w:r>
        <w:rPr>
          <w:rFonts w:ascii="Arial" w:hAnsi="Arial" w:cs="Arial"/>
          <w:sz w:val="24"/>
        </w:rPr>
        <w:t>8</w:t>
      </w:r>
      <w:r w:rsidRPr="00A95A68">
        <w:rPr>
          <w:rFonts w:ascii="Arial" w:hAnsi="Arial" w:cs="Arial"/>
          <w:sz w:val="24"/>
        </w:rPr>
        <w:t>, a un tipo de cambio de $ 2</w:t>
      </w:r>
      <w:r>
        <w:rPr>
          <w:rFonts w:ascii="Arial" w:hAnsi="Arial" w:cs="Arial"/>
          <w:sz w:val="24"/>
        </w:rPr>
        <w:t>9</w:t>
      </w:r>
      <w:r w:rsidRPr="00A95A68">
        <w:rPr>
          <w:rFonts w:ascii="Arial" w:hAnsi="Arial" w:cs="Arial"/>
          <w:sz w:val="24"/>
        </w:rPr>
        <w:t xml:space="preserve"> por dólar estadounidense y un índice de precios al consumo de 1</w:t>
      </w:r>
      <w:r>
        <w:rPr>
          <w:rFonts w:ascii="Arial" w:hAnsi="Arial" w:cs="Arial"/>
          <w:sz w:val="24"/>
        </w:rPr>
        <w:t>80.</w:t>
      </w:r>
    </w:p>
    <w:p w:rsidR="009B6709" w:rsidRPr="00A95A68" w:rsidRDefault="009B6709" w:rsidP="001F65A6">
      <w:pPr>
        <w:spacing w:line="360" w:lineRule="auto"/>
        <w:jc w:val="both"/>
        <w:rPr>
          <w:rFonts w:cs="Arial"/>
          <w:b/>
        </w:rPr>
      </w:pPr>
      <w:r>
        <w:rPr>
          <w:rFonts w:cs="Arial"/>
          <w:b/>
        </w:rPr>
        <w:t xml:space="preserve">2) </w:t>
      </w:r>
      <w:r w:rsidRPr="00A95A68">
        <w:rPr>
          <w:rFonts w:cs="Arial"/>
          <w:b/>
        </w:rPr>
        <w:t>CUMPLIMIENTO DE NORMAS CONSTITUCIONALES, LEGALES Y REGLAMENTARIAS</w:t>
      </w:r>
    </w:p>
    <w:p w:rsidR="009B6709" w:rsidRPr="002C5397" w:rsidRDefault="009B6709" w:rsidP="002C5397">
      <w:pPr>
        <w:spacing w:line="360" w:lineRule="auto"/>
        <w:jc w:val="both"/>
        <w:rPr>
          <w:rFonts w:cs="Arial"/>
          <w:bCs/>
          <w:lang w:val="es-UY"/>
        </w:rPr>
      </w:pPr>
      <w:r w:rsidRPr="002C5397">
        <w:rPr>
          <w:rFonts w:cs="Arial"/>
          <w:b/>
          <w:bCs/>
        </w:rPr>
        <w:t>2.1)</w:t>
      </w:r>
      <w:r>
        <w:rPr>
          <w:rFonts w:cs="Arial"/>
          <w:bCs/>
        </w:rPr>
        <w:t xml:space="preserve"> </w:t>
      </w:r>
      <w:r w:rsidRPr="002C5397">
        <w:rPr>
          <w:rFonts w:cs="Arial"/>
          <w:bCs/>
          <w:lang w:val="es-UY"/>
        </w:rPr>
        <w:t xml:space="preserve">El Proyecto de Presupuesto para el ejercicio 2019 del Banco de la República Oriental del Uruguay, comprende los Presupuestos de Recursos, Operativo, de Operaciones Financieras y de Inversiones y fue aprobado por el Directorio  </w:t>
      </w:r>
      <w:r w:rsidRPr="002C5397">
        <w:rPr>
          <w:rFonts w:cs="Arial"/>
          <w:bCs/>
        </w:rPr>
        <w:t>en sesión de fecha 26 de julio de 2018, Acta Nº 20.951;</w:t>
      </w:r>
    </w:p>
    <w:p w:rsidR="009B6709" w:rsidRPr="002C5397" w:rsidRDefault="009B6709" w:rsidP="002C5397">
      <w:pPr>
        <w:spacing w:line="360" w:lineRule="auto"/>
        <w:jc w:val="both"/>
        <w:rPr>
          <w:rFonts w:cs="Arial"/>
          <w:bCs/>
          <w:lang w:val="es-UY"/>
        </w:rPr>
      </w:pPr>
      <w:r w:rsidRPr="00393B55">
        <w:rPr>
          <w:rFonts w:cs="Arial"/>
          <w:b/>
          <w:bCs/>
          <w:lang w:val="es-UY"/>
        </w:rPr>
        <w:t>2.2)</w:t>
      </w:r>
      <w:r>
        <w:rPr>
          <w:rFonts w:cs="Arial"/>
          <w:bCs/>
          <w:lang w:val="es-UY"/>
        </w:rPr>
        <w:t xml:space="preserve"> </w:t>
      </w:r>
      <w:r w:rsidRPr="002C5397">
        <w:rPr>
          <w:rFonts w:cs="Arial"/>
          <w:bCs/>
          <w:lang w:val="es-UY"/>
        </w:rPr>
        <w:t>El Proyecto referido ingresó a este Tribunal para su consideración el  30 de julio de 2018, en el plazo previsto por el artículo 221 de la Constitución de la República;</w:t>
      </w:r>
    </w:p>
    <w:p w:rsidR="009B6709" w:rsidRPr="002C5397" w:rsidRDefault="009B6709" w:rsidP="002C5397">
      <w:pPr>
        <w:spacing w:line="360" w:lineRule="auto"/>
        <w:jc w:val="both"/>
        <w:rPr>
          <w:rFonts w:cs="Arial"/>
          <w:bCs/>
          <w:lang w:val="es-UY"/>
        </w:rPr>
      </w:pPr>
      <w:r w:rsidRPr="002C5397">
        <w:rPr>
          <w:rFonts w:cs="Arial"/>
          <w:b/>
          <w:bCs/>
          <w:lang w:val="es-UY"/>
        </w:rPr>
        <w:t>2.3)</w:t>
      </w:r>
      <w:r>
        <w:rPr>
          <w:rFonts w:cs="Arial"/>
          <w:bCs/>
          <w:lang w:val="es-UY"/>
        </w:rPr>
        <w:t xml:space="preserve"> </w:t>
      </w:r>
      <w:r w:rsidRPr="002C5397">
        <w:rPr>
          <w:rFonts w:cs="Arial"/>
          <w:bCs/>
          <w:lang w:val="es-UY"/>
        </w:rPr>
        <w:t>De acuerdo con lo establecido por la Ordenanza Nº 51 de 22 de noviembre de 1972, se le dio entrada oficial a este Tribunal en sesión de fecha 1 de agosto de 2018;</w:t>
      </w:r>
    </w:p>
    <w:p w:rsidR="009B6709" w:rsidRPr="002C5397" w:rsidRDefault="009B6709" w:rsidP="002C5397">
      <w:pPr>
        <w:spacing w:line="360" w:lineRule="auto"/>
        <w:jc w:val="both"/>
        <w:rPr>
          <w:rFonts w:cs="Arial"/>
          <w:bCs/>
          <w:lang w:val="es-UY"/>
        </w:rPr>
      </w:pPr>
      <w:r w:rsidRPr="002C5397">
        <w:rPr>
          <w:rFonts w:cs="Arial"/>
          <w:b/>
          <w:bCs/>
          <w:lang w:val="es-UY"/>
        </w:rPr>
        <w:t>2.4)</w:t>
      </w:r>
      <w:r>
        <w:rPr>
          <w:rFonts w:cs="Arial"/>
          <w:bCs/>
          <w:lang w:val="es-UY"/>
        </w:rPr>
        <w:t xml:space="preserve"> </w:t>
      </w:r>
      <w:r w:rsidRPr="002C5397">
        <w:rPr>
          <w:rFonts w:cs="Arial"/>
          <w:bCs/>
          <w:lang w:val="es-UY"/>
        </w:rPr>
        <w:t>El Proyecto se presenta en forma comparativa con el presupuesto vigente, de acuerdo con lo dispuesto por el inciso 3 del artículo 216 de la Constitución de la República;</w:t>
      </w:r>
    </w:p>
    <w:p w:rsidR="009B6709" w:rsidRPr="002C5397" w:rsidRDefault="009B6709" w:rsidP="002C5397">
      <w:pPr>
        <w:spacing w:line="360" w:lineRule="auto"/>
        <w:jc w:val="both"/>
        <w:rPr>
          <w:rFonts w:cs="Arial"/>
          <w:lang w:val="es-MX"/>
        </w:rPr>
      </w:pPr>
      <w:r w:rsidRPr="002C5397">
        <w:rPr>
          <w:rFonts w:cs="Arial"/>
          <w:b/>
          <w:szCs w:val="24"/>
          <w:lang w:val="es-UY"/>
        </w:rPr>
        <w:t>2.5)</w:t>
      </w:r>
      <w:r>
        <w:rPr>
          <w:rFonts w:cs="Arial"/>
          <w:szCs w:val="24"/>
        </w:rPr>
        <w:t xml:space="preserve"> </w:t>
      </w:r>
      <w:r w:rsidRPr="002C5397">
        <w:rPr>
          <w:rFonts w:cs="Arial"/>
          <w:szCs w:val="24"/>
        </w:rPr>
        <w:t>La aplicación del régimen de horas extras previsto en el artículo 10 deberá ajustarse</w:t>
      </w:r>
      <w:r w:rsidRPr="002C5397">
        <w:rPr>
          <w:rFonts w:cs="Arial"/>
          <w:lang w:val="es-MX"/>
        </w:rPr>
        <w:t xml:space="preserve"> a las previsiones del </w:t>
      </w:r>
      <w:r>
        <w:rPr>
          <w:rFonts w:cs="Arial"/>
          <w:lang w:val="es-MX"/>
        </w:rPr>
        <w:t>A</w:t>
      </w:r>
      <w:r w:rsidRPr="002C5397">
        <w:rPr>
          <w:rFonts w:cs="Arial"/>
          <w:lang w:val="es-MX"/>
        </w:rPr>
        <w:t>rtículo 588 del Decreto Ley Nº 14.189 de 30 de abril de 1984, en la redacción dada por el artículo 765 de la Ley Nº 19.355 de 19 de diciembre de 2015 y respetar los topes máximos de ejecución de horas extras diarias, semanales y mensuales, establecidos en a las normas legales vigentes y los Convenios Internacionales de Trabajo;</w:t>
      </w:r>
    </w:p>
    <w:p w:rsidR="009B6709" w:rsidRPr="002C5397" w:rsidRDefault="009B6709" w:rsidP="002C5397">
      <w:pPr>
        <w:spacing w:line="360" w:lineRule="auto"/>
        <w:jc w:val="both"/>
        <w:rPr>
          <w:rFonts w:cs="Arial"/>
          <w:bCs/>
          <w:lang w:val="es-UY"/>
        </w:rPr>
      </w:pPr>
      <w:r w:rsidRPr="002C5397">
        <w:rPr>
          <w:rFonts w:cs="Arial"/>
          <w:b/>
          <w:bCs/>
          <w:lang w:val="es-MX"/>
        </w:rPr>
        <w:t>2.6)</w:t>
      </w:r>
      <w:r>
        <w:rPr>
          <w:rFonts w:cs="Arial"/>
          <w:bCs/>
          <w:lang w:val="es-MX"/>
        </w:rPr>
        <w:t xml:space="preserve"> </w:t>
      </w:r>
      <w:r w:rsidRPr="002C5397">
        <w:rPr>
          <w:rFonts w:cs="Arial"/>
          <w:bCs/>
          <w:lang w:val="es-MX"/>
        </w:rPr>
        <w:t xml:space="preserve">Las estipulaciones de los </w:t>
      </w:r>
      <w:r>
        <w:rPr>
          <w:rFonts w:cs="Arial"/>
          <w:bCs/>
          <w:lang w:val="es-MX"/>
        </w:rPr>
        <w:t>A</w:t>
      </w:r>
      <w:r w:rsidRPr="002C5397">
        <w:rPr>
          <w:rFonts w:cs="Arial"/>
          <w:bCs/>
          <w:lang w:val="es-MX"/>
        </w:rPr>
        <w:t>rtículos 13, 19, 22, 30 y 71</w:t>
      </w:r>
      <w:r w:rsidRPr="002C5397">
        <w:rPr>
          <w:rFonts w:cs="Arial"/>
          <w:lang w:val="es-MX"/>
        </w:rPr>
        <w:t xml:space="preserve"> no merecen en principio observación, en tanto no supongan la realización de modificaciones presupuestales fuera de la instancia anual establecida en el a</w:t>
      </w:r>
      <w:r w:rsidR="00393B55">
        <w:rPr>
          <w:rFonts w:cs="Arial"/>
          <w:lang w:val="es-MX"/>
        </w:rPr>
        <w:t>rtículo 221 de la Constitución;</w:t>
      </w:r>
    </w:p>
    <w:p w:rsidR="009B6709" w:rsidRPr="002C5397" w:rsidRDefault="009B6709" w:rsidP="002C5397">
      <w:pPr>
        <w:spacing w:line="360" w:lineRule="auto"/>
        <w:jc w:val="both"/>
        <w:rPr>
          <w:rFonts w:cs="Arial"/>
          <w:bCs/>
          <w:lang w:val="es-UY"/>
        </w:rPr>
      </w:pPr>
      <w:r w:rsidRPr="002C5397">
        <w:rPr>
          <w:rFonts w:cs="Arial"/>
          <w:b/>
          <w:lang w:val="es-UY"/>
        </w:rPr>
        <w:t>2.7)</w:t>
      </w:r>
      <w:r>
        <w:rPr>
          <w:rFonts w:cs="Arial"/>
          <w:lang w:val="es-UY"/>
        </w:rPr>
        <w:t xml:space="preserve"> </w:t>
      </w:r>
      <w:r w:rsidRPr="002C5397">
        <w:rPr>
          <w:rFonts w:cs="Arial"/>
          <w:lang w:val="es-UY"/>
        </w:rPr>
        <w:t>Sin perjuicio de lo establecido</w:t>
      </w:r>
      <w:r w:rsidRPr="002C5397">
        <w:rPr>
          <w:rFonts w:cs="Arial"/>
          <w:lang w:val="es-MX"/>
        </w:rPr>
        <w:t xml:space="preserve"> por el </w:t>
      </w:r>
      <w:r>
        <w:rPr>
          <w:rFonts w:cs="Arial"/>
          <w:lang w:val="es-MX"/>
        </w:rPr>
        <w:t>A</w:t>
      </w:r>
      <w:r w:rsidRPr="002C5397">
        <w:rPr>
          <w:rFonts w:cs="Arial"/>
          <w:lang w:val="es-MX"/>
        </w:rPr>
        <w:t xml:space="preserve">rtículo 61, en todos los casos de subrogación del superior jerárquico, deberá atenderse a lo dispuesto por  el </w:t>
      </w:r>
      <w:r>
        <w:rPr>
          <w:rFonts w:cs="Arial"/>
          <w:lang w:val="es-MX"/>
        </w:rPr>
        <w:t>A</w:t>
      </w:r>
      <w:r w:rsidRPr="002C5397">
        <w:rPr>
          <w:rFonts w:cs="Arial"/>
          <w:lang w:val="es-MX"/>
        </w:rPr>
        <w:t>rtículo 27 de la Ley Nº 16.320 de 1 de noviembre de 1992;</w:t>
      </w:r>
    </w:p>
    <w:p w:rsidR="009B6709" w:rsidRPr="002C5397" w:rsidRDefault="009B6709" w:rsidP="002C5397">
      <w:pPr>
        <w:spacing w:line="360" w:lineRule="auto"/>
        <w:jc w:val="both"/>
        <w:rPr>
          <w:rFonts w:cs="Arial"/>
          <w:bCs/>
          <w:lang w:val="es-UY"/>
        </w:rPr>
      </w:pPr>
      <w:r w:rsidRPr="002C5397">
        <w:rPr>
          <w:rFonts w:cs="Arial"/>
          <w:b/>
          <w:bCs/>
          <w:lang w:val="es-UY"/>
        </w:rPr>
        <w:t>2.8)</w:t>
      </w:r>
      <w:r>
        <w:rPr>
          <w:rFonts w:cs="Arial"/>
          <w:bCs/>
          <w:lang w:val="es-UY"/>
        </w:rPr>
        <w:t xml:space="preserve"> </w:t>
      </w:r>
      <w:r w:rsidRPr="002C5397">
        <w:rPr>
          <w:rFonts w:cs="Arial"/>
          <w:bCs/>
          <w:lang w:val="es-UY"/>
        </w:rPr>
        <w:t xml:space="preserve">El monto total de la remuneración a percibir por los funcionarios del BROU  en aplicación de todas las partidas retributivas complementarias previstas presupuestalmente,  incluido el cobro de horas extras, no podrá superar en ningún caso el tope establecido en </w:t>
      </w:r>
      <w:r w:rsidR="00393B55">
        <w:rPr>
          <w:rFonts w:cs="Arial"/>
          <w:bCs/>
          <w:lang w:val="es-UY"/>
        </w:rPr>
        <w:t>el  artículo 84 de dicha norma;</w:t>
      </w:r>
    </w:p>
    <w:p w:rsidR="009B6709" w:rsidRPr="002C5397" w:rsidRDefault="009B6709" w:rsidP="002C5397">
      <w:pPr>
        <w:spacing w:line="360" w:lineRule="auto"/>
        <w:jc w:val="both"/>
        <w:rPr>
          <w:rFonts w:cs="Arial"/>
          <w:bCs/>
          <w:lang w:val="es-MX"/>
        </w:rPr>
      </w:pPr>
      <w:r w:rsidRPr="002C5397">
        <w:rPr>
          <w:rFonts w:cs="Arial"/>
          <w:b/>
          <w:bCs/>
          <w:lang w:val="es-UY"/>
        </w:rPr>
        <w:t>2.9)</w:t>
      </w:r>
      <w:r>
        <w:rPr>
          <w:rFonts w:cs="Arial"/>
          <w:bCs/>
          <w:lang w:val="es-UY"/>
        </w:rPr>
        <w:t xml:space="preserve"> </w:t>
      </w:r>
      <w:r w:rsidRPr="002C5397">
        <w:rPr>
          <w:rFonts w:cs="Arial"/>
          <w:bCs/>
          <w:lang w:val="es-MX"/>
        </w:rPr>
        <w:t xml:space="preserve">Sin perjuicio de lo establecido en el </w:t>
      </w:r>
      <w:r>
        <w:rPr>
          <w:rFonts w:cs="Arial"/>
          <w:bCs/>
          <w:lang w:val="es-MX"/>
        </w:rPr>
        <w:t>A</w:t>
      </w:r>
      <w:r w:rsidRPr="002C5397">
        <w:rPr>
          <w:rFonts w:cs="Arial"/>
          <w:bCs/>
          <w:lang w:val="es-MX"/>
        </w:rPr>
        <w:t xml:space="preserve">rtículo 72 y  en el capítulo referido a Perspectiva de Género (Página 168),  no constan en el articulado las medidas ni los recursos asignados a esos efectos, ni para dar cumplimiento a lo dispuesto por el </w:t>
      </w:r>
      <w:r>
        <w:rPr>
          <w:rFonts w:cs="Arial"/>
          <w:bCs/>
          <w:lang w:val="es-MX"/>
        </w:rPr>
        <w:t>A</w:t>
      </w:r>
      <w:r w:rsidRPr="002C5397">
        <w:rPr>
          <w:rFonts w:cs="Arial"/>
          <w:bCs/>
          <w:lang w:val="es-MX"/>
        </w:rPr>
        <w:t>rtículo 20 de la Ley Nº 19.580 de 22 de diciembre de 2017;</w:t>
      </w:r>
    </w:p>
    <w:p w:rsidR="009B6709" w:rsidRPr="002C5397" w:rsidRDefault="009B6709" w:rsidP="002C5397">
      <w:pPr>
        <w:spacing w:line="360" w:lineRule="auto"/>
        <w:jc w:val="both"/>
        <w:rPr>
          <w:rFonts w:cs="Arial"/>
          <w:bCs/>
          <w:lang w:val="es-MX"/>
        </w:rPr>
      </w:pPr>
      <w:r w:rsidRPr="002C5397">
        <w:rPr>
          <w:rFonts w:cs="Arial"/>
          <w:b/>
          <w:lang w:val="es-MX"/>
        </w:rPr>
        <w:t>2.10)</w:t>
      </w:r>
      <w:r>
        <w:rPr>
          <w:rFonts w:cs="Arial"/>
          <w:lang w:val="es-MX"/>
        </w:rPr>
        <w:t xml:space="preserve"> </w:t>
      </w:r>
      <w:r w:rsidRPr="002C5397">
        <w:rPr>
          <w:rFonts w:cs="Arial"/>
          <w:lang w:val="es-MX"/>
        </w:rPr>
        <w:t xml:space="preserve">En la implementación de las disposiciones de los </w:t>
      </w:r>
      <w:r>
        <w:rPr>
          <w:rFonts w:cs="Arial"/>
          <w:lang w:val="es-MX"/>
        </w:rPr>
        <w:t>A</w:t>
      </w:r>
      <w:r w:rsidRPr="002C5397">
        <w:rPr>
          <w:rFonts w:cs="Arial"/>
          <w:lang w:val="es-MX"/>
        </w:rPr>
        <w:t>rtículos  28, 29, 64 y 75 (provisión de las vacantes que no se suprimen) se deberá dar cumplimiento a lo dispuesto por el artículo 229 de la Constitución y por literal E) del artículo 1º de la Ley Nº 16.127 de fecha 7 de agosto de 1990;</w:t>
      </w:r>
    </w:p>
    <w:p w:rsidR="009B6709" w:rsidRPr="002C5397" w:rsidRDefault="009B6709" w:rsidP="002C5397">
      <w:pPr>
        <w:spacing w:line="360" w:lineRule="auto"/>
        <w:jc w:val="both"/>
        <w:rPr>
          <w:rFonts w:cs="Arial"/>
          <w:bCs/>
          <w:lang w:val="es-MX"/>
        </w:rPr>
      </w:pPr>
      <w:r w:rsidRPr="002C5397">
        <w:rPr>
          <w:rFonts w:cs="Arial"/>
          <w:b/>
          <w:lang w:val="es-MX"/>
        </w:rPr>
        <w:t>2.1</w:t>
      </w:r>
      <w:r>
        <w:rPr>
          <w:rFonts w:cs="Arial"/>
          <w:b/>
          <w:lang w:val="es-MX"/>
        </w:rPr>
        <w:t>1</w:t>
      </w:r>
      <w:r w:rsidRPr="002C5397">
        <w:rPr>
          <w:rFonts w:cs="Arial"/>
          <w:b/>
          <w:lang w:val="es-MX"/>
        </w:rPr>
        <w:t>)</w:t>
      </w:r>
      <w:r>
        <w:rPr>
          <w:rFonts w:cs="Arial"/>
          <w:lang w:val="es-MX"/>
        </w:rPr>
        <w:t xml:space="preserve"> </w:t>
      </w:r>
      <w:r w:rsidRPr="002C5397">
        <w:rPr>
          <w:rFonts w:cs="Arial"/>
          <w:lang w:val="es-MX"/>
        </w:rPr>
        <w:t xml:space="preserve">Las comunicaciones a este Tribunal previstas en los </w:t>
      </w:r>
      <w:r>
        <w:rPr>
          <w:rFonts w:cs="Arial"/>
          <w:lang w:val="es-MX"/>
        </w:rPr>
        <w:t>A</w:t>
      </w:r>
      <w:r w:rsidRPr="002C5397">
        <w:rPr>
          <w:rFonts w:cs="Arial"/>
          <w:lang w:val="es-MX"/>
        </w:rPr>
        <w:t xml:space="preserve">rtículos 14, 16, 18 y 30, deberán efectuarse según lo </w:t>
      </w:r>
      <w:proofErr w:type="spellStart"/>
      <w:r w:rsidRPr="002C5397">
        <w:rPr>
          <w:rFonts w:cs="Arial"/>
          <w:lang w:val="es-MX"/>
        </w:rPr>
        <w:t>edictado</w:t>
      </w:r>
      <w:proofErr w:type="spellEnd"/>
      <w:r w:rsidRPr="002C5397">
        <w:rPr>
          <w:rFonts w:cs="Arial"/>
          <w:lang w:val="es-MX"/>
        </w:rPr>
        <w:t xml:space="preserve"> por Resolución Nº 1891/2018 de 6 de junio de 2018 que establece: “…las resoluciones que adopten los organismos referentes a trasposiciones de rubros, adecuaciones presupuestales e incrementos de partidas no limitativas, así como la información adjunta a las mismas cuando corresponda, deberán comunicarse a este Tribunal, exclusivamente en la instancia anual de remisión de los Balances de Ejecución Presupuestal, incluyéndolas en un anexo”.</w:t>
      </w:r>
    </w:p>
    <w:p w:rsidR="009B6709" w:rsidRPr="002C5397" w:rsidRDefault="009B6709" w:rsidP="002C5397">
      <w:pPr>
        <w:spacing w:line="360" w:lineRule="auto"/>
        <w:jc w:val="both"/>
        <w:rPr>
          <w:rFonts w:cs="Arial"/>
          <w:bCs/>
          <w:lang w:val="es-MX"/>
        </w:rPr>
      </w:pPr>
      <w:r w:rsidRPr="002C5397">
        <w:rPr>
          <w:rFonts w:cs="Arial"/>
          <w:b/>
          <w:lang w:val="es-MX"/>
        </w:rPr>
        <w:t>2.12)</w:t>
      </w:r>
      <w:r>
        <w:rPr>
          <w:rFonts w:cs="Arial"/>
          <w:lang w:val="es-MX"/>
        </w:rPr>
        <w:t xml:space="preserve"> </w:t>
      </w:r>
      <w:r w:rsidRPr="002C5397">
        <w:rPr>
          <w:rFonts w:cs="Arial"/>
          <w:lang w:val="es-MX"/>
        </w:rPr>
        <w:t xml:space="preserve">Si bien el </w:t>
      </w:r>
      <w:r>
        <w:rPr>
          <w:rFonts w:cs="Arial"/>
          <w:lang w:val="es-MX"/>
        </w:rPr>
        <w:t>A</w:t>
      </w:r>
      <w:r w:rsidRPr="002C5397">
        <w:rPr>
          <w:rFonts w:cs="Arial"/>
          <w:lang w:val="es-MX"/>
        </w:rPr>
        <w:t xml:space="preserve">rtículo 100 establece que los gastos que se efectúen con las tarjetas Institucionales serán atendidos con cargo al objeto de gasto 299018 “Gastos tarjeta de crédito Personal Superior” y estarán sujetos a la reglamentación vigente, la </w:t>
      </w:r>
      <w:r>
        <w:rPr>
          <w:rFonts w:cs="Arial"/>
          <w:lang w:val="es-MX"/>
        </w:rPr>
        <w:t xml:space="preserve">aprobación de la </w:t>
      </w:r>
      <w:r w:rsidRPr="002C5397">
        <w:rPr>
          <w:rFonts w:cs="Arial"/>
          <w:lang w:val="es-MX"/>
        </w:rPr>
        <w:t xml:space="preserve">misma </w:t>
      </w:r>
      <w:r>
        <w:rPr>
          <w:rFonts w:cs="Arial"/>
          <w:lang w:val="es-MX"/>
        </w:rPr>
        <w:t xml:space="preserve">por parte del Tribunal de Cuentas </w:t>
      </w:r>
      <w:r w:rsidRPr="002C5397">
        <w:rPr>
          <w:rFonts w:cs="Arial"/>
          <w:lang w:val="es-MX"/>
        </w:rPr>
        <w:t>no</w:t>
      </w:r>
      <w:r>
        <w:rPr>
          <w:rFonts w:cs="Arial"/>
          <w:lang w:val="es-MX"/>
        </w:rPr>
        <w:t xml:space="preserve"> se hace en esta oportunidad. </w:t>
      </w:r>
      <w:r w:rsidRPr="002C5397">
        <w:rPr>
          <w:rFonts w:cs="Arial"/>
          <w:lang w:val="es-MX"/>
        </w:rPr>
        <w:t>Es del caso señalar que dicha reglamentación deberá ajustarse a las previsiones de la Ordenanza Nº 90 de este Tribunal de fecha 22 de mayo de 2018;</w:t>
      </w:r>
    </w:p>
    <w:p w:rsidR="009B6709" w:rsidRPr="002C5397" w:rsidRDefault="009B6709" w:rsidP="002C5397">
      <w:pPr>
        <w:spacing w:line="360" w:lineRule="auto"/>
        <w:jc w:val="both"/>
        <w:rPr>
          <w:rFonts w:cs="Arial"/>
          <w:bCs/>
          <w:lang w:val="es-MX"/>
        </w:rPr>
      </w:pPr>
      <w:r w:rsidRPr="002C5397">
        <w:rPr>
          <w:rFonts w:cs="Arial"/>
          <w:b/>
          <w:lang w:val="es-MX"/>
        </w:rPr>
        <w:t>2.13)</w:t>
      </w:r>
      <w:r>
        <w:rPr>
          <w:rFonts w:cs="Arial"/>
          <w:lang w:val="es-MX"/>
        </w:rPr>
        <w:t xml:space="preserve"> </w:t>
      </w:r>
      <w:r w:rsidRPr="002C5397">
        <w:rPr>
          <w:rFonts w:cs="Arial"/>
          <w:lang w:val="es-MX"/>
        </w:rPr>
        <w:t>De acuerdo con la normativa constitucional vigente el Directorio del Banco deberá tener presente que luego de aprobado el presupuesto no puede modificarlo hasta la nueva instancia presupuestal;</w:t>
      </w:r>
    </w:p>
    <w:p w:rsidR="009B6709" w:rsidRPr="002C5397" w:rsidRDefault="009B6709" w:rsidP="002C5397">
      <w:pPr>
        <w:spacing w:line="360" w:lineRule="auto"/>
        <w:jc w:val="both"/>
        <w:rPr>
          <w:rFonts w:cs="Arial"/>
          <w:szCs w:val="24"/>
          <w:lang w:val="es-MX"/>
        </w:rPr>
      </w:pPr>
      <w:r w:rsidRPr="002C5397">
        <w:rPr>
          <w:rFonts w:cs="Arial"/>
          <w:b/>
          <w:szCs w:val="24"/>
          <w:lang w:val="es-MX"/>
        </w:rPr>
        <w:t>2.14)</w:t>
      </w:r>
      <w:r>
        <w:rPr>
          <w:rFonts w:cs="Arial"/>
          <w:szCs w:val="24"/>
          <w:lang w:val="es-MX"/>
        </w:rPr>
        <w:t xml:space="preserve"> </w:t>
      </w:r>
      <w:r w:rsidRPr="002C5397">
        <w:rPr>
          <w:rFonts w:cs="Arial"/>
          <w:szCs w:val="24"/>
          <w:lang w:val="es-MX"/>
        </w:rPr>
        <w:t>Este Tribunal emite su dictamen sobre el Proyecto de Presupuesto del   Banco la República Oriental del Uruguay para el ejercicio 2019, en el plazo constitucionalmente previsto y con las mayorías requeridas a tales efectos, dejándose constancia que esta será la única instancia en que se pronunciará sobre el mismo, en cumplimiento de lo dispuesto por el Artículo 221 de la Constitución</w:t>
      </w:r>
      <w:r>
        <w:rPr>
          <w:rFonts w:cs="Arial"/>
          <w:szCs w:val="24"/>
          <w:lang w:val="es-MX"/>
        </w:rPr>
        <w:t xml:space="preserve"> de la República</w:t>
      </w:r>
      <w:r w:rsidRPr="002C5397">
        <w:rPr>
          <w:rFonts w:cs="Arial"/>
          <w:szCs w:val="24"/>
          <w:lang w:val="es-MX"/>
        </w:rPr>
        <w:t>.</w:t>
      </w:r>
    </w:p>
    <w:p w:rsidR="009B6709" w:rsidRPr="00A95A68" w:rsidRDefault="009B6709">
      <w:pPr>
        <w:spacing w:line="360" w:lineRule="auto"/>
        <w:jc w:val="both"/>
        <w:rPr>
          <w:rFonts w:cs="Arial"/>
          <w:b/>
          <w:bCs/>
          <w:highlight w:val="yellow"/>
        </w:rPr>
      </w:pPr>
    </w:p>
    <w:p w:rsidR="009B6709" w:rsidRPr="00A95A68" w:rsidRDefault="009B6709">
      <w:pPr>
        <w:spacing w:line="360" w:lineRule="auto"/>
        <w:jc w:val="both"/>
        <w:rPr>
          <w:rFonts w:cs="Arial"/>
          <w:b/>
          <w:bCs/>
        </w:rPr>
      </w:pPr>
      <w:r w:rsidRPr="00A95A68">
        <w:rPr>
          <w:rFonts w:cs="Arial"/>
          <w:b/>
          <w:bCs/>
        </w:rPr>
        <w:t>3. OPINIÓN</w:t>
      </w:r>
    </w:p>
    <w:p w:rsidR="009B6709" w:rsidRPr="002C5397" w:rsidRDefault="009B6709" w:rsidP="002C5397">
      <w:pPr>
        <w:pStyle w:val="Textoindependiente"/>
        <w:spacing w:line="360" w:lineRule="auto"/>
        <w:rPr>
          <w:rFonts w:ascii="Arial" w:hAnsi="Arial" w:cs="Arial"/>
        </w:rPr>
      </w:pPr>
      <w:r w:rsidRPr="002C5397">
        <w:rPr>
          <w:rFonts w:ascii="Arial" w:hAnsi="Arial" w:cs="Arial"/>
        </w:rPr>
        <w:t xml:space="preserve">En opinión del Tribunal de Cuentas, el Proyecto de Presupuesto del Banco de la República Oriental del Uruguay correspondiente al </w:t>
      </w:r>
      <w:r>
        <w:rPr>
          <w:rFonts w:ascii="Arial" w:hAnsi="Arial" w:cs="Arial"/>
        </w:rPr>
        <w:t>e</w:t>
      </w:r>
      <w:r w:rsidRPr="002C5397">
        <w:rPr>
          <w:rFonts w:ascii="Arial" w:hAnsi="Arial" w:cs="Arial"/>
        </w:rPr>
        <w:t>jercicio 2019 ha sido preparado en forma razonable de acuerdo con los supuestos efectuados por el Organismo y se presenta de conformidad con las disposiciones constitucionales, legales y reglamentarias vigentes.</w:t>
      </w:r>
    </w:p>
    <w:p w:rsidR="009B6709" w:rsidRDefault="009B6709" w:rsidP="006732B7">
      <w:pPr>
        <w:pStyle w:val="Textoindependiente"/>
        <w:tabs>
          <w:tab w:val="left" w:pos="708"/>
          <w:tab w:val="left" w:pos="1416"/>
          <w:tab w:val="left" w:pos="2124"/>
          <w:tab w:val="left" w:pos="2832"/>
          <w:tab w:val="left" w:pos="3540"/>
          <w:tab w:val="left" w:pos="4248"/>
          <w:tab w:val="left" w:pos="4956"/>
          <w:tab w:val="left" w:pos="5664"/>
          <w:tab w:val="left" w:pos="7170"/>
        </w:tabs>
        <w:jc w:val="right"/>
        <w:rPr>
          <w:rFonts w:ascii="Arial" w:hAnsi="Arial" w:cs="Arial"/>
        </w:rPr>
      </w:pPr>
      <w:r w:rsidRPr="002C5397">
        <w:rPr>
          <w:rFonts w:ascii="Arial" w:hAnsi="Arial" w:cs="Arial"/>
        </w:rPr>
        <w:t>Montevideo, 21 de agosto de 2018</w:t>
      </w:r>
    </w:p>
    <w:p w:rsidR="009B6709" w:rsidRDefault="009B6709" w:rsidP="00CD26E5">
      <w:pPr>
        <w:pStyle w:val="Textoindependiente"/>
        <w:tabs>
          <w:tab w:val="left" w:pos="708"/>
          <w:tab w:val="left" w:pos="1416"/>
          <w:tab w:val="left" w:pos="2124"/>
          <w:tab w:val="left" w:pos="2832"/>
          <w:tab w:val="left" w:pos="3540"/>
          <w:tab w:val="left" w:pos="4248"/>
          <w:tab w:val="left" w:pos="4956"/>
          <w:tab w:val="left" w:pos="5664"/>
          <w:tab w:val="left" w:pos="7170"/>
        </w:tabs>
        <w:rPr>
          <w:rFonts w:ascii="Arial" w:hAnsi="Arial" w:cs="Arial"/>
        </w:rPr>
      </w:pPr>
    </w:p>
    <w:p w:rsidR="009B6709" w:rsidRDefault="009B6709" w:rsidP="00CD26E5">
      <w:pPr>
        <w:pStyle w:val="Textoindependiente"/>
        <w:tabs>
          <w:tab w:val="left" w:pos="708"/>
          <w:tab w:val="left" w:pos="1416"/>
          <w:tab w:val="left" w:pos="2124"/>
          <w:tab w:val="left" w:pos="2832"/>
          <w:tab w:val="left" w:pos="3540"/>
          <w:tab w:val="left" w:pos="4248"/>
          <w:tab w:val="left" w:pos="4956"/>
          <w:tab w:val="left" w:pos="5664"/>
          <w:tab w:val="left" w:pos="7170"/>
        </w:tabs>
        <w:rPr>
          <w:rFonts w:ascii="Arial" w:hAnsi="Arial" w:cs="Arial"/>
        </w:rPr>
      </w:pPr>
    </w:p>
    <w:p w:rsidR="009B6709" w:rsidRPr="009B6709" w:rsidRDefault="009B6709" w:rsidP="009B6709">
      <w:pPr>
        <w:pStyle w:val="Textoindependiente"/>
        <w:tabs>
          <w:tab w:val="left" w:pos="708"/>
          <w:tab w:val="left" w:pos="1416"/>
          <w:tab w:val="left" w:pos="2124"/>
          <w:tab w:val="left" w:pos="2832"/>
          <w:tab w:val="left" w:pos="3540"/>
          <w:tab w:val="left" w:pos="4248"/>
          <w:tab w:val="left" w:pos="4956"/>
          <w:tab w:val="left" w:pos="5664"/>
          <w:tab w:val="left" w:pos="7170"/>
        </w:tabs>
        <w:rPr>
          <w:rFonts w:ascii="Arial" w:hAnsi="Arial" w:cs="Arial"/>
        </w:rPr>
      </w:pPr>
      <w:proofErr w:type="spellStart"/>
      <w:proofErr w:type="gramStart"/>
      <w:r>
        <w:rPr>
          <w:rFonts w:ascii="Arial" w:hAnsi="Arial" w:cs="Arial"/>
        </w:rPr>
        <w:t>aa</w:t>
      </w:r>
      <w:proofErr w:type="spellEnd"/>
      <w:proofErr w:type="gramEnd"/>
    </w:p>
    <w:sectPr w:rsidR="009B6709" w:rsidRPr="009B6709" w:rsidSect="00CB1304">
      <w:headerReference w:type="default" r:id="rId8"/>
      <w:footerReference w:type="even" r:id="rId9"/>
      <w:footerReference w:type="default" r:id="rId10"/>
      <w:pgSz w:w="11906" w:h="16838" w:code="9"/>
      <w:pgMar w:top="3402" w:right="1701" w:bottom="1134" w:left="1701" w:header="851" w:footer="851"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CE" w:rsidRDefault="00012CCE" w:rsidP="00012CCE">
      <w:r>
        <w:separator/>
      </w:r>
    </w:p>
  </w:endnote>
  <w:endnote w:type="continuationSeparator" w:id="0">
    <w:p w:rsidR="00012CCE" w:rsidRDefault="00012CCE" w:rsidP="0001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8F" w:rsidRDefault="00CB130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A1768F" w:rsidRDefault="002B4EFF">
    <w:pPr>
      <w:pStyle w:val="Piedepgina"/>
    </w:pPr>
  </w:p>
  <w:p w:rsidR="00A1768F" w:rsidRDefault="002B4E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8F" w:rsidRDefault="002B4EFF">
    <w:pPr>
      <w:pStyle w:val="Piedepgina"/>
    </w:pPr>
  </w:p>
  <w:p w:rsidR="00A1768F" w:rsidRDefault="002B4EFF">
    <w:pPr>
      <w:pStyle w:val="Piedepgina"/>
    </w:pPr>
  </w:p>
  <w:p w:rsidR="00A1768F" w:rsidRDefault="002B4E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CE" w:rsidRDefault="00012CCE" w:rsidP="00012CCE">
      <w:r>
        <w:separator/>
      </w:r>
    </w:p>
  </w:footnote>
  <w:footnote w:type="continuationSeparator" w:id="0">
    <w:p w:rsidR="00012CCE" w:rsidRDefault="00012CCE" w:rsidP="0001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5C" w:rsidRPr="00CC055C" w:rsidRDefault="002B4EFF" w:rsidP="00CC055C">
    <w:pPr>
      <w:pStyle w:val="Encabezado"/>
    </w:pPr>
  </w:p>
  <w:p w:rsidR="00AC7D6B" w:rsidRDefault="002B4E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85787"/>
    <w:multiLevelType w:val="hybridMultilevel"/>
    <w:tmpl w:val="79E491B6"/>
    <w:lvl w:ilvl="0" w:tplc="EF86B0A6">
      <w:start w:val="1"/>
      <w:numFmt w:val="decimal"/>
      <w:lvlText w:val="%1)"/>
      <w:lvlJc w:val="left"/>
      <w:pPr>
        <w:ind w:left="703" w:hanging="42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5C73174"/>
    <w:multiLevelType w:val="multilevel"/>
    <w:tmpl w:val="C17C34C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CE"/>
    <w:rsid w:val="00012CCE"/>
    <w:rsid w:val="00050297"/>
    <w:rsid w:val="001B47A0"/>
    <w:rsid w:val="002B4EFF"/>
    <w:rsid w:val="00381BDE"/>
    <w:rsid w:val="00393B55"/>
    <w:rsid w:val="004C56CD"/>
    <w:rsid w:val="009131A1"/>
    <w:rsid w:val="009825EF"/>
    <w:rsid w:val="009B6709"/>
    <w:rsid w:val="009E2273"/>
    <w:rsid w:val="00CB13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CE"/>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012CCE"/>
    <w:pPr>
      <w:keepNext/>
      <w:jc w:val="both"/>
      <w:outlineLvl w:val="1"/>
    </w:pPr>
    <w:rPr>
      <w:rFonts w:ascii="Bookman Old Style" w:hAnsi="Bookman Old Style"/>
      <w:lang w:val="es-MX"/>
    </w:rPr>
  </w:style>
  <w:style w:type="paragraph" w:styleId="Ttulo3">
    <w:name w:val="heading 3"/>
    <w:basedOn w:val="Normal"/>
    <w:next w:val="Normal"/>
    <w:link w:val="Ttulo3Car"/>
    <w:qFormat/>
    <w:rsid w:val="00012CCE"/>
    <w:pPr>
      <w:keepNext/>
      <w:jc w:val="center"/>
      <w:outlineLvl w:val="2"/>
    </w:pPr>
    <w:rPr>
      <w:rFonts w:ascii="Bookman Old Style" w:hAnsi="Bookman Old Styl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12CCE"/>
    <w:rPr>
      <w:rFonts w:ascii="Bookman Old Style" w:eastAsia="Times New Roman" w:hAnsi="Bookman Old Style" w:cs="Times New Roman"/>
      <w:sz w:val="24"/>
      <w:szCs w:val="20"/>
      <w:lang w:val="es-MX" w:eastAsia="es-ES"/>
    </w:rPr>
  </w:style>
  <w:style w:type="character" w:customStyle="1" w:styleId="Ttulo3Car">
    <w:name w:val="Título 3 Car"/>
    <w:basedOn w:val="Fuentedeprrafopredeter"/>
    <w:link w:val="Ttulo3"/>
    <w:rsid w:val="00012CCE"/>
    <w:rPr>
      <w:rFonts w:ascii="Bookman Old Style" w:eastAsia="Times New Roman" w:hAnsi="Bookman Old Style" w:cs="Times New Roman"/>
      <w:b/>
      <w:sz w:val="24"/>
      <w:szCs w:val="20"/>
      <w:lang w:val="es-ES" w:eastAsia="es-ES"/>
    </w:rPr>
  </w:style>
  <w:style w:type="paragraph" w:styleId="Piedepgina">
    <w:name w:val="footer"/>
    <w:basedOn w:val="Normal"/>
    <w:link w:val="PiedepginaCar"/>
    <w:semiHidden/>
    <w:rsid w:val="00012CCE"/>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semiHidden/>
    <w:rsid w:val="00012CCE"/>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012CCE"/>
  </w:style>
  <w:style w:type="paragraph" w:styleId="Encabezado">
    <w:name w:val="header"/>
    <w:basedOn w:val="Normal"/>
    <w:link w:val="EncabezadoCar"/>
    <w:semiHidden/>
    <w:rsid w:val="00012CCE"/>
    <w:pPr>
      <w:tabs>
        <w:tab w:val="center" w:pos="4252"/>
        <w:tab w:val="right" w:pos="8504"/>
      </w:tabs>
    </w:pPr>
    <w:rPr>
      <w:rFonts w:ascii="Bookman Old Style" w:hAnsi="Bookman Old Style"/>
    </w:rPr>
  </w:style>
  <w:style w:type="character" w:customStyle="1" w:styleId="EncabezadoCar">
    <w:name w:val="Encabezado Car"/>
    <w:basedOn w:val="Fuentedeprrafopredeter"/>
    <w:link w:val="Encabezado"/>
    <w:semiHidden/>
    <w:rsid w:val="00012CCE"/>
    <w:rPr>
      <w:rFonts w:ascii="Bookman Old Style" w:eastAsia="Times New Roman" w:hAnsi="Bookman Old Style" w:cs="Times New Roman"/>
      <w:sz w:val="24"/>
      <w:szCs w:val="20"/>
      <w:lang w:val="es-ES" w:eastAsia="es-ES"/>
    </w:rPr>
  </w:style>
  <w:style w:type="paragraph" w:styleId="Ttulo">
    <w:name w:val="Title"/>
    <w:basedOn w:val="Normal"/>
    <w:link w:val="TtuloCar"/>
    <w:qFormat/>
    <w:rsid w:val="009B6709"/>
    <w:pPr>
      <w:jc w:val="center"/>
    </w:pPr>
    <w:rPr>
      <w:rFonts w:ascii="Bookman Old Style" w:hAnsi="Bookman Old Style"/>
      <w:b/>
      <w:lang w:val="es-MX"/>
    </w:rPr>
  </w:style>
  <w:style w:type="character" w:customStyle="1" w:styleId="TtuloCar">
    <w:name w:val="Título Car"/>
    <w:basedOn w:val="Fuentedeprrafopredeter"/>
    <w:link w:val="Ttulo"/>
    <w:rsid w:val="009B6709"/>
    <w:rPr>
      <w:rFonts w:ascii="Bookman Old Style" w:eastAsia="Times New Roman" w:hAnsi="Bookman Old Style" w:cs="Times New Roman"/>
      <w:b/>
      <w:sz w:val="24"/>
      <w:szCs w:val="20"/>
      <w:lang w:val="es-MX" w:eastAsia="es-ES"/>
    </w:rPr>
  </w:style>
  <w:style w:type="paragraph" w:styleId="Textoindependiente">
    <w:name w:val="Body Text"/>
    <w:basedOn w:val="Normal"/>
    <w:link w:val="TextoindependienteCar"/>
    <w:semiHidden/>
    <w:rsid w:val="009B6709"/>
    <w:pPr>
      <w:jc w:val="both"/>
    </w:pPr>
    <w:rPr>
      <w:rFonts w:ascii="Bookman Old Style" w:hAnsi="Bookman Old Style"/>
      <w:lang w:val="es-MX"/>
    </w:rPr>
  </w:style>
  <w:style w:type="character" w:customStyle="1" w:styleId="TextoindependienteCar">
    <w:name w:val="Texto independiente Car"/>
    <w:basedOn w:val="Fuentedeprrafopredeter"/>
    <w:link w:val="Textoindependiente"/>
    <w:semiHidden/>
    <w:rsid w:val="009B6709"/>
    <w:rPr>
      <w:rFonts w:ascii="Bookman Old Style" w:eastAsia="Times New Roman" w:hAnsi="Bookman Old Style" w:cs="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CE"/>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012CCE"/>
    <w:pPr>
      <w:keepNext/>
      <w:jc w:val="both"/>
      <w:outlineLvl w:val="1"/>
    </w:pPr>
    <w:rPr>
      <w:rFonts w:ascii="Bookman Old Style" w:hAnsi="Bookman Old Style"/>
      <w:lang w:val="es-MX"/>
    </w:rPr>
  </w:style>
  <w:style w:type="paragraph" w:styleId="Ttulo3">
    <w:name w:val="heading 3"/>
    <w:basedOn w:val="Normal"/>
    <w:next w:val="Normal"/>
    <w:link w:val="Ttulo3Car"/>
    <w:qFormat/>
    <w:rsid w:val="00012CCE"/>
    <w:pPr>
      <w:keepNext/>
      <w:jc w:val="center"/>
      <w:outlineLvl w:val="2"/>
    </w:pPr>
    <w:rPr>
      <w:rFonts w:ascii="Bookman Old Style" w:hAnsi="Bookman Old Styl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12CCE"/>
    <w:rPr>
      <w:rFonts w:ascii="Bookman Old Style" w:eastAsia="Times New Roman" w:hAnsi="Bookman Old Style" w:cs="Times New Roman"/>
      <w:sz w:val="24"/>
      <w:szCs w:val="20"/>
      <w:lang w:val="es-MX" w:eastAsia="es-ES"/>
    </w:rPr>
  </w:style>
  <w:style w:type="character" w:customStyle="1" w:styleId="Ttulo3Car">
    <w:name w:val="Título 3 Car"/>
    <w:basedOn w:val="Fuentedeprrafopredeter"/>
    <w:link w:val="Ttulo3"/>
    <w:rsid w:val="00012CCE"/>
    <w:rPr>
      <w:rFonts w:ascii="Bookman Old Style" w:eastAsia="Times New Roman" w:hAnsi="Bookman Old Style" w:cs="Times New Roman"/>
      <w:b/>
      <w:sz w:val="24"/>
      <w:szCs w:val="20"/>
      <w:lang w:val="es-ES" w:eastAsia="es-ES"/>
    </w:rPr>
  </w:style>
  <w:style w:type="paragraph" w:styleId="Piedepgina">
    <w:name w:val="footer"/>
    <w:basedOn w:val="Normal"/>
    <w:link w:val="PiedepginaCar"/>
    <w:semiHidden/>
    <w:rsid w:val="00012CCE"/>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semiHidden/>
    <w:rsid w:val="00012CCE"/>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012CCE"/>
  </w:style>
  <w:style w:type="paragraph" w:styleId="Encabezado">
    <w:name w:val="header"/>
    <w:basedOn w:val="Normal"/>
    <w:link w:val="EncabezadoCar"/>
    <w:semiHidden/>
    <w:rsid w:val="00012CCE"/>
    <w:pPr>
      <w:tabs>
        <w:tab w:val="center" w:pos="4252"/>
        <w:tab w:val="right" w:pos="8504"/>
      </w:tabs>
    </w:pPr>
    <w:rPr>
      <w:rFonts w:ascii="Bookman Old Style" w:hAnsi="Bookman Old Style"/>
    </w:rPr>
  </w:style>
  <w:style w:type="character" w:customStyle="1" w:styleId="EncabezadoCar">
    <w:name w:val="Encabezado Car"/>
    <w:basedOn w:val="Fuentedeprrafopredeter"/>
    <w:link w:val="Encabezado"/>
    <w:semiHidden/>
    <w:rsid w:val="00012CCE"/>
    <w:rPr>
      <w:rFonts w:ascii="Bookman Old Style" w:eastAsia="Times New Roman" w:hAnsi="Bookman Old Style" w:cs="Times New Roman"/>
      <w:sz w:val="24"/>
      <w:szCs w:val="20"/>
      <w:lang w:val="es-ES" w:eastAsia="es-ES"/>
    </w:rPr>
  </w:style>
  <w:style w:type="paragraph" w:styleId="Ttulo">
    <w:name w:val="Title"/>
    <w:basedOn w:val="Normal"/>
    <w:link w:val="TtuloCar"/>
    <w:qFormat/>
    <w:rsid w:val="009B6709"/>
    <w:pPr>
      <w:jc w:val="center"/>
    </w:pPr>
    <w:rPr>
      <w:rFonts w:ascii="Bookman Old Style" w:hAnsi="Bookman Old Style"/>
      <w:b/>
      <w:lang w:val="es-MX"/>
    </w:rPr>
  </w:style>
  <w:style w:type="character" w:customStyle="1" w:styleId="TtuloCar">
    <w:name w:val="Título Car"/>
    <w:basedOn w:val="Fuentedeprrafopredeter"/>
    <w:link w:val="Ttulo"/>
    <w:rsid w:val="009B6709"/>
    <w:rPr>
      <w:rFonts w:ascii="Bookman Old Style" w:eastAsia="Times New Roman" w:hAnsi="Bookman Old Style" w:cs="Times New Roman"/>
      <w:b/>
      <w:sz w:val="24"/>
      <w:szCs w:val="20"/>
      <w:lang w:val="es-MX" w:eastAsia="es-ES"/>
    </w:rPr>
  </w:style>
  <w:style w:type="paragraph" w:styleId="Textoindependiente">
    <w:name w:val="Body Text"/>
    <w:basedOn w:val="Normal"/>
    <w:link w:val="TextoindependienteCar"/>
    <w:semiHidden/>
    <w:rsid w:val="009B6709"/>
    <w:pPr>
      <w:jc w:val="both"/>
    </w:pPr>
    <w:rPr>
      <w:rFonts w:ascii="Bookman Old Style" w:hAnsi="Bookman Old Style"/>
      <w:lang w:val="es-MX"/>
    </w:rPr>
  </w:style>
  <w:style w:type="character" w:customStyle="1" w:styleId="TextoindependienteCar">
    <w:name w:val="Texto independiente Car"/>
    <w:basedOn w:val="Fuentedeprrafopredeter"/>
    <w:link w:val="Textoindependiente"/>
    <w:semiHidden/>
    <w:rsid w:val="009B6709"/>
    <w:rPr>
      <w:rFonts w:ascii="Bookman Old Style" w:eastAsia="Times New Roman" w:hAnsi="Bookman Old Style"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1242</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5</cp:revision>
  <cp:lastPrinted>2018-08-31T16:18:00Z</cp:lastPrinted>
  <dcterms:created xsi:type="dcterms:W3CDTF">2018-08-31T16:18:00Z</dcterms:created>
  <dcterms:modified xsi:type="dcterms:W3CDTF">2018-10-11T15:44:00Z</dcterms:modified>
</cp:coreProperties>
</file>