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63" w:rsidRPr="00786EEB" w:rsidRDefault="009D5E63" w:rsidP="00786EEB">
      <w:pPr>
        <w:tabs>
          <w:tab w:val="center" w:pos="4253"/>
        </w:tabs>
        <w:suppressAutoHyphens/>
        <w:jc w:val="right"/>
        <w:rPr>
          <w:b/>
          <w:sz w:val="28"/>
          <w:szCs w:val="28"/>
          <w:lang w:val="es-ES_tradnl"/>
        </w:rPr>
      </w:pPr>
      <w:bookmarkStart w:id="0" w:name="_GoBack"/>
      <w:bookmarkEnd w:id="0"/>
      <w:r>
        <w:rPr>
          <w:b/>
          <w:sz w:val="28"/>
          <w:szCs w:val="28"/>
          <w:lang w:val="es-ES_tradnl"/>
        </w:rPr>
        <w:t>RES. 2765/18</w:t>
      </w:r>
    </w:p>
    <w:p w:rsidR="009D5E63" w:rsidRDefault="009D5E63" w:rsidP="00786EEB">
      <w:pPr>
        <w:tabs>
          <w:tab w:val="center" w:pos="4253"/>
        </w:tabs>
        <w:suppressAutoHyphens/>
        <w:jc w:val="right"/>
        <w:rPr>
          <w:b/>
          <w:lang w:val="es-ES_tradnl"/>
        </w:rPr>
      </w:pPr>
    </w:p>
    <w:p w:rsidR="009D5E63" w:rsidRPr="00762B34" w:rsidRDefault="009D5E63">
      <w:pPr>
        <w:tabs>
          <w:tab w:val="center" w:pos="4253"/>
        </w:tabs>
        <w:suppressAutoHyphens/>
        <w:jc w:val="center"/>
        <w:rPr>
          <w:b/>
          <w:lang w:val="es-ES_tradnl"/>
        </w:rPr>
      </w:pPr>
      <w:r w:rsidRPr="00762B34">
        <w:rPr>
          <w:b/>
          <w:lang w:val="es-ES_tradnl"/>
        </w:rPr>
        <w:t>RESOLUCION ADOPTADA POR EL</w:t>
      </w:r>
    </w:p>
    <w:p w:rsidR="009D5E63" w:rsidRPr="00762B34" w:rsidRDefault="009D5E63">
      <w:pPr>
        <w:tabs>
          <w:tab w:val="left" w:pos="-720"/>
        </w:tabs>
        <w:suppressAutoHyphens/>
        <w:jc w:val="center"/>
        <w:rPr>
          <w:b/>
          <w:lang w:val="es-ES_tradnl"/>
        </w:rPr>
      </w:pPr>
    </w:p>
    <w:p w:rsidR="009D5E63" w:rsidRPr="00762B34" w:rsidRDefault="009D5E63">
      <w:pPr>
        <w:tabs>
          <w:tab w:val="center" w:pos="4253"/>
        </w:tabs>
        <w:suppressAutoHyphens/>
        <w:jc w:val="center"/>
        <w:rPr>
          <w:b/>
          <w:lang w:val="es-ES_tradnl"/>
        </w:rPr>
      </w:pPr>
      <w:r w:rsidRPr="00762B34">
        <w:rPr>
          <w:b/>
          <w:lang w:val="es-ES_tradnl"/>
        </w:rPr>
        <w:t>TRIBUNAL DE CUENTAS</w:t>
      </w:r>
    </w:p>
    <w:p w:rsidR="009D5E63" w:rsidRPr="00762B34" w:rsidRDefault="009D5E63">
      <w:pPr>
        <w:tabs>
          <w:tab w:val="left" w:pos="-720"/>
        </w:tabs>
        <w:suppressAutoHyphens/>
        <w:jc w:val="center"/>
        <w:rPr>
          <w:b/>
          <w:lang w:val="es-ES_tradnl"/>
        </w:rPr>
      </w:pPr>
    </w:p>
    <w:p w:rsidR="009D5E63" w:rsidRPr="00762B34" w:rsidRDefault="009D5E63">
      <w:pPr>
        <w:tabs>
          <w:tab w:val="center" w:pos="4253"/>
        </w:tabs>
        <w:suppressAutoHyphens/>
        <w:jc w:val="center"/>
        <w:rPr>
          <w:b/>
          <w:lang w:val="es-ES_tradnl"/>
        </w:rPr>
      </w:pPr>
      <w:r w:rsidRPr="00762B34">
        <w:rPr>
          <w:b/>
          <w:lang w:val="es-ES_tradnl"/>
        </w:rPr>
        <w:t xml:space="preserve">EN SESION DE FECHA </w:t>
      </w:r>
      <w:r>
        <w:rPr>
          <w:b/>
          <w:lang w:val="es-ES_tradnl"/>
        </w:rPr>
        <w:t xml:space="preserve">29 DE AGOSTO </w:t>
      </w:r>
      <w:r>
        <w:rPr>
          <w:rFonts w:ascii="Helvetica" w:hAnsi="Helvetica"/>
          <w:b/>
          <w:lang w:val="es-ES_tradnl"/>
        </w:rPr>
        <w:t>DE 2018</w:t>
      </w:r>
    </w:p>
    <w:p w:rsidR="009D5E63" w:rsidRPr="00762B34" w:rsidRDefault="009D5E63">
      <w:pPr>
        <w:tabs>
          <w:tab w:val="center" w:pos="4253"/>
        </w:tabs>
        <w:suppressAutoHyphens/>
        <w:jc w:val="center"/>
        <w:rPr>
          <w:b/>
          <w:lang w:val="es-ES_tradnl"/>
        </w:rPr>
      </w:pPr>
    </w:p>
    <w:p w:rsidR="009D5E63" w:rsidRPr="009D5E63" w:rsidRDefault="009D5E63">
      <w:pPr>
        <w:tabs>
          <w:tab w:val="center" w:pos="4253"/>
        </w:tabs>
        <w:suppressAutoHyphens/>
        <w:jc w:val="center"/>
        <w:rPr>
          <w:b/>
          <w:lang w:val="es-UY"/>
        </w:rPr>
      </w:pPr>
      <w:r w:rsidRPr="009D5E63">
        <w:rPr>
          <w:b/>
          <w:lang w:val="es-UY"/>
        </w:rPr>
        <w:t xml:space="preserve">(E. E. Nº 2018-17-1-0004826, </w:t>
      </w:r>
      <w:proofErr w:type="spellStart"/>
      <w:r w:rsidRPr="009D5E63">
        <w:rPr>
          <w:b/>
          <w:lang w:val="es-UY"/>
        </w:rPr>
        <w:t>Ent</w:t>
      </w:r>
      <w:proofErr w:type="spellEnd"/>
      <w:r w:rsidRPr="009D5E63">
        <w:rPr>
          <w:b/>
          <w:lang w:val="es-UY"/>
        </w:rPr>
        <w:t>. N° 3770/18)</w:t>
      </w:r>
    </w:p>
    <w:p w:rsidR="009D5E63" w:rsidRPr="009D5E63" w:rsidRDefault="009D5E63">
      <w:pPr>
        <w:tabs>
          <w:tab w:val="center" w:pos="4253"/>
        </w:tabs>
        <w:suppressAutoHyphens/>
        <w:jc w:val="center"/>
        <w:rPr>
          <w:rFonts w:ascii="Helvetica" w:hAnsi="Helvetica"/>
          <w:b/>
          <w:lang w:val="es-UY"/>
        </w:rPr>
      </w:pPr>
    </w:p>
    <w:p w:rsidR="009D5E63" w:rsidRPr="009D5E63" w:rsidRDefault="009D5E63" w:rsidP="00762B34">
      <w:pPr>
        <w:tabs>
          <w:tab w:val="center" w:pos="4253"/>
        </w:tabs>
        <w:suppressAutoHyphens/>
        <w:jc w:val="right"/>
        <w:rPr>
          <w:spacing w:val="-3"/>
          <w:lang w:val="es-UY"/>
        </w:rPr>
      </w:pPr>
    </w:p>
    <w:p w:rsidR="006355F7" w:rsidRDefault="006355F7" w:rsidP="006355F7">
      <w:pPr>
        <w:pStyle w:val="Ttulo2"/>
        <w:spacing w:line="360" w:lineRule="auto"/>
        <w:ind w:firstLine="851"/>
        <w:rPr>
          <w:rFonts w:ascii="Arial" w:hAnsi="Arial" w:cs="Arial"/>
        </w:rPr>
      </w:pPr>
      <w:r>
        <w:rPr>
          <w:rFonts w:ascii="Arial" w:hAnsi="Arial" w:cs="Arial"/>
          <w:b/>
          <w:bCs/>
        </w:rPr>
        <w:t>VISTO:</w:t>
      </w:r>
      <w:r>
        <w:rPr>
          <w:rFonts w:ascii="Arial" w:hAnsi="Arial" w:cs="Arial"/>
        </w:rPr>
        <w:t xml:space="preserve"> que este Tribunal ha examinado el proyecto de Presupuesto Operativo, de Operaciones Financieras y de Inversiones para el Ejercicio 2019, remitido por el Banco Hipotecario del Uruguay;</w:t>
      </w:r>
    </w:p>
    <w:p w:rsidR="006355F7" w:rsidRDefault="006355F7" w:rsidP="006355F7">
      <w:pPr>
        <w:pStyle w:val="Ttulo2"/>
        <w:spacing w:line="360" w:lineRule="auto"/>
        <w:ind w:firstLine="851"/>
        <w:rPr>
          <w:rFonts w:ascii="Arial" w:hAnsi="Arial" w:cs="Arial"/>
        </w:rPr>
      </w:pPr>
      <w:r w:rsidRPr="00954174">
        <w:rPr>
          <w:rFonts w:ascii="Arial" w:hAnsi="Arial" w:cs="Arial"/>
          <w:b/>
          <w:bCs/>
        </w:rPr>
        <w:t>CONSIDERANDO:</w:t>
      </w:r>
      <w:r w:rsidRPr="00954174">
        <w:rPr>
          <w:rFonts w:ascii="Arial" w:hAnsi="Arial" w:cs="Arial"/>
        </w:rPr>
        <w:t xml:space="preserve"> que las conclusiones obtenidas son las que se expresan en el Dictamen que se adjunta;</w:t>
      </w:r>
    </w:p>
    <w:p w:rsidR="006355F7" w:rsidRPr="00954174" w:rsidRDefault="006355F7" w:rsidP="006355F7">
      <w:pPr>
        <w:pStyle w:val="Ttulo2"/>
        <w:spacing w:line="360" w:lineRule="auto"/>
        <w:ind w:firstLine="851"/>
        <w:rPr>
          <w:rFonts w:ascii="Arial" w:hAnsi="Arial" w:cs="Arial"/>
        </w:rPr>
      </w:pPr>
      <w:r w:rsidRPr="00954174">
        <w:rPr>
          <w:rFonts w:ascii="Arial" w:hAnsi="Arial" w:cs="Arial"/>
          <w:b/>
          <w:bCs/>
        </w:rPr>
        <w:t>ATENTO:</w:t>
      </w:r>
      <w:r w:rsidRPr="00954174">
        <w:rPr>
          <w:rFonts w:ascii="Arial" w:hAnsi="Arial" w:cs="Arial"/>
        </w:rPr>
        <w:t xml:space="preserve"> a lo dispuesto por el Artículo 211 Literal A) y 221 de la Constitución de la República;</w:t>
      </w:r>
    </w:p>
    <w:p w:rsidR="006355F7" w:rsidRDefault="006355F7" w:rsidP="006355F7">
      <w:pPr>
        <w:pStyle w:val="Ttulo3"/>
        <w:spacing w:line="360" w:lineRule="auto"/>
        <w:ind w:left="1416" w:firstLine="708"/>
        <w:jc w:val="left"/>
        <w:rPr>
          <w:rFonts w:ascii="Arial" w:hAnsi="Arial" w:cs="Arial"/>
        </w:rPr>
      </w:pPr>
      <w:r>
        <w:rPr>
          <w:rFonts w:ascii="Arial" w:hAnsi="Arial" w:cs="Arial"/>
        </w:rPr>
        <w:t>EL TRIBUNAL ACUERDA</w:t>
      </w:r>
    </w:p>
    <w:p w:rsidR="006355F7" w:rsidRDefault="006355F7" w:rsidP="009D5E63">
      <w:pPr>
        <w:pStyle w:val="Prrafodelista"/>
        <w:numPr>
          <w:ilvl w:val="0"/>
          <w:numId w:val="1"/>
        </w:numPr>
        <w:spacing w:line="360" w:lineRule="auto"/>
        <w:ind w:left="284" w:hanging="284"/>
        <w:jc w:val="both"/>
      </w:pPr>
      <w:r>
        <w:t>Emitir su pronunciamiento respecto al proyecto de Presupuesto de Recursos, Operativo, de Operaciones Financieras y de Inversiones del Banco Hipotecario del Uruguay correspondiente al Ejercicio 2019, en los términos del Dictamen que se adjunta;</w:t>
      </w:r>
    </w:p>
    <w:p w:rsidR="006355F7" w:rsidRPr="00F16F2F" w:rsidRDefault="006355F7" w:rsidP="009D5E63">
      <w:pPr>
        <w:pStyle w:val="Prrafodelista"/>
        <w:numPr>
          <w:ilvl w:val="0"/>
          <w:numId w:val="1"/>
        </w:numPr>
        <w:spacing w:line="360" w:lineRule="auto"/>
        <w:ind w:left="284" w:hanging="284"/>
        <w:jc w:val="both"/>
      </w:pPr>
      <w:r w:rsidRPr="00300B26">
        <w:t xml:space="preserve">Téngase presente lo señalado en </w:t>
      </w:r>
      <w:r>
        <w:t>e</w:t>
      </w:r>
      <w:r w:rsidRPr="00300B26">
        <w:t xml:space="preserve">l </w:t>
      </w:r>
      <w:r w:rsidRPr="00F16F2F">
        <w:t xml:space="preserve">numeral 2.6) </w:t>
      </w:r>
      <w:r>
        <w:t>a</w:t>
      </w:r>
      <w:r w:rsidRPr="00F16F2F">
        <w:t xml:space="preserve"> 2.15); y</w:t>
      </w:r>
    </w:p>
    <w:p w:rsidR="006355F7" w:rsidRPr="00355661" w:rsidRDefault="006355F7" w:rsidP="009D5E63">
      <w:pPr>
        <w:pStyle w:val="Prrafodelista"/>
        <w:numPr>
          <w:ilvl w:val="0"/>
          <w:numId w:val="1"/>
        </w:numPr>
        <w:spacing w:line="360" w:lineRule="auto"/>
        <w:ind w:left="284" w:hanging="284"/>
        <w:jc w:val="both"/>
      </w:pPr>
      <w:r>
        <w:t>Comunicar al Ministerio de Vivienda, Ordenamiento Territorial y Medio Ambiente, al Organismo y a la Oficin</w:t>
      </w:r>
      <w:r w:rsidR="00DF0EEE">
        <w:t>a de Planeamiento y Presupuesto.</w:t>
      </w:r>
    </w:p>
    <w:p w:rsidR="00F227FC" w:rsidRDefault="00F227FC"/>
    <w:p w:rsidR="009D5E63" w:rsidRDefault="009D5E63"/>
    <w:p w:rsidR="009D5E63" w:rsidRDefault="009D5E63"/>
    <w:p w:rsidR="009D5E63" w:rsidRDefault="009D5E63"/>
    <w:p w:rsidR="009D5E63" w:rsidRDefault="009D5E63">
      <w:proofErr w:type="spellStart"/>
      <w:proofErr w:type="gramStart"/>
      <w:r>
        <w:t>cr</w:t>
      </w:r>
      <w:proofErr w:type="spellEnd"/>
      <w:proofErr w:type="gramEnd"/>
    </w:p>
    <w:p w:rsidR="00FE0E24" w:rsidRDefault="00FE0E24"/>
    <w:p w:rsidR="00FE0E24" w:rsidRDefault="00FE0E24"/>
    <w:p w:rsidR="00FE0E24" w:rsidRDefault="00FE0E24"/>
    <w:p w:rsidR="00FE0E24" w:rsidRDefault="00FE0E24"/>
    <w:p w:rsidR="00FE0E24" w:rsidRDefault="00FE0E24" w:rsidP="006355F7">
      <w:pPr>
        <w:spacing w:line="360" w:lineRule="auto"/>
        <w:jc w:val="center"/>
        <w:rPr>
          <w:b/>
          <w:lang w:val="es-MX"/>
        </w:rPr>
      </w:pPr>
      <w:r>
        <w:rPr>
          <w:b/>
          <w:lang w:val="es-MX"/>
        </w:rPr>
        <w:lastRenderedPageBreak/>
        <w:t>DICTAMEN</w:t>
      </w:r>
    </w:p>
    <w:p w:rsidR="00FE0E24" w:rsidRDefault="00FE0E24" w:rsidP="006355F7">
      <w:pPr>
        <w:spacing w:line="360" w:lineRule="auto"/>
        <w:jc w:val="center"/>
        <w:rPr>
          <w:b/>
          <w:lang w:val="es-MX"/>
        </w:rPr>
      </w:pPr>
    </w:p>
    <w:p w:rsidR="00FE0E24" w:rsidRDefault="00FE0E24" w:rsidP="006355F7">
      <w:pPr>
        <w:spacing w:line="360" w:lineRule="auto"/>
        <w:jc w:val="both"/>
        <w:rPr>
          <w:lang w:val="es-MX"/>
        </w:rPr>
      </w:pPr>
      <w:r>
        <w:rPr>
          <w:lang w:val="es-MX"/>
        </w:rPr>
        <w:t>El Tribunal de Cuentas ha examinado el Proyecto de Presupuesto para el Ejercicio 2019 del Banco Hipotecario del Uruguay (BHU). Toda la información incluida en el referido Proyecto y los supuestos sobre los que se basa son responsabilidad del Directorio del BHU. La responsabilidad del Tribunal de Cuentas es expresar una opinión sobre dicho Proyecto de Presupuesto de acuerdo con lo dispuesto por los Artículos 211</w:t>
      </w:r>
      <w:r>
        <w:rPr>
          <w:lang w:val="es-UY"/>
        </w:rPr>
        <w:t xml:space="preserve"> Literal</w:t>
      </w:r>
      <w:r>
        <w:rPr>
          <w:lang w:val="es-MX"/>
        </w:rPr>
        <w:t xml:space="preserve"> A) y 221 de la Constitución de la República, y establecer, en caso que corresponda, los hallazgos realizados con relación al cumplimiento de las normas constitucionales, legales y reglamentarias que resulten aplicables.</w:t>
      </w:r>
    </w:p>
    <w:p w:rsidR="00FE0E24" w:rsidRDefault="00FE0E24" w:rsidP="006355F7">
      <w:pPr>
        <w:rPr>
          <w:b/>
          <w:bCs/>
        </w:rPr>
      </w:pPr>
    </w:p>
    <w:p w:rsidR="00FE0E24" w:rsidRDefault="00FE0E24" w:rsidP="006355F7">
      <w:pPr>
        <w:pStyle w:val="Piedepgina"/>
        <w:tabs>
          <w:tab w:val="clear" w:pos="4252"/>
          <w:tab w:val="clear" w:pos="8504"/>
        </w:tabs>
        <w:spacing w:line="360" w:lineRule="auto"/>
        <w:jc w:val="both"/>
        <w:rPr>
          <w:b/>
          <w:bCs/>
          <w:sz w:val="24"/>
          <w:szCs w:val="24"/>
        </w:rPr>
      </w:pPr>
      <w:r>
        <w:rPr>
          <w:b/>
          <w:bCs/>
          <w:sz w:val="24"/>
          <w:szCs w:val="24"/>
        </w:rPr>
        <w:t>1)</w:t>
      </w:r>
      <w:r>
        <w:rPr>
          <w:sz w:val="24"/>
          <w:szCs w:val="24"/>
        </w:rPr>
        <w:t xml:space="preserve"> </w:t>
      </w:r>
      <w:r w:rsidRPr="00FE1AF7">
        <w:rPr>
          <w:b/>
          <w:bCs/>
          <w:sz w:val="24"/>
          <w:szCs w:val="24"/>
        </w:rPr>
        <w:t>ANÁLISIS DE INGRESOS PROYECTADOS, ASIGNACIONES PRESUPUESTALES Y RESULTADO PRESUPUESTAL</w:t>
      </w:r>
    </w:p>
    <w:p w:rsidR="00FE0E24" w:rsidRDefault="00FE0E24" w:rsidP="006355F7">
      <w:pPr>
        <w:pStyle w:val="Piedepgina"/>
        <w:tabs>
          <w:tab w:val="clear" w:pos="4252"/>
          <w:tab w:val="clear" w:pos="8504"/>
        </w:tabs>
        <w:jc w:val="both"/>
        <w:rPr>
          <w:b/>
          <w:bCs/>
          <w:sz w:val="24"/>
          <w:szCs w:val="24"/>
        </w:rPr>
      </w:pPr>
      <w:r>
        <w:rPr>
          <w:b/>
          <w:bCs/>
          <w:sz w:val="24"/>
          <w:szCs w:val="24"/>
        </w:rPr>
        <w:t>1.1) Ingresos proyectados</w:t>
      </w:r>
    </w:p>
    <w:p w:rsidR="00FE0E24" w:rsidRDefault="00FE0E24" w:rsidP="006355F7">
      <w:pPr>
        <w:pStyle w:val="Piedepgina"/>
        <w:tabs>
          <w:tab w:val="clear" w:pos="4252"/>
          <w:tab w:val="clear" w:pos="8504"/>
        </w:tabs>
        <w:spacing w:line="360" w:lineRule="auto"/>
        <w:jc w:val="both"/>
        <w:rPr>
          <w:b/>
          <w:bCs/>
          <w:sz w:val="24"/>
          <w:szCs w:val="24"/>
        </w:rPr>
      </w:pPr>
    </w:p>
    <w:tbl>
      <w:tblPr>
        <w:tblpPr w:leftFromText="141" w:rightFromText="141" w:vertAnchor="text" w:horzAnchor="page" w:tblpX="1832" w:tblpY="-43"/>
        <w:tblW w:w="6521" w:type="dxa"/>
        <w:tblCellMar>
          <w:left w:w="70" w:type="dxa"/>
          <w:right w:w="70" w:type="dxa"/>
        </w:tblCellMar>
        <w:tblLook w:val="04A0" w:firstRow="1" w:lastRow="0" w:firstColumn="1" w:lastColumn="0" w:noHBand="0" w:noVBand="1"/>
      </w:tblPr>
      <w:tblGrid>
        <w:gridCol w:w="2914"/>
        <w:gridCol w:w="3607"/>
      </w:tblGrid>
      <w:tr w:rsidR="00FE0E24" w:rsidRPr="00617BDE" w:rsidTr="00184C0A">
        <w:trPr>
          <w:trHeight w:val="300"/>
        </w:trPr>
        <w:tc>
          <w:tcPr>
            <w:tcW w:w="2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E24" w:rsidRPr="00617BDE" w:rsidRDefault="00FE0E24" w:rsidP="00184C0A">
            <w:pPr>
              <w:jc w:val="center"/>
              <w:rPr>
                <w:sz w:val="20"/>
                <w:szCs w:val="20"/>
              </w:rPr>
            </w:pPr>
            <w:r w:rsidRPr="00617BDE">
              <w:rPr>
                <w:sz w:val="20"/>
                <w:szCs w:val="20"/>
              </w:rPr>
              <w:t>Denominación</w:t>
            </w:r>
          </w:p>
        </w:tc>
        <w:tc>
          <w:tcPr>
            <w:tcW w:w="3607" w:type="dxa"/>
            <w:tcBorders>
              <w:top w:val="single" w:sz="4" w:space="0" w:color="auto"/>
              <w:left w:val="nil"/>
              <w:bottom w:val="single" w:sz="4" w:space="0" w:color="auto"/>
              <w:right w:val="single" w:sz="4" w:space="0" w:color="auto"/>
            </w:tcBorders>
            <w:shd w:val="clear" w:color="auto" w:fill="auto"/>
            <w:noWrap/>
            <w:vAlign w:val="bottom"/>
            <w:hideMark/>
          </w:tcPr>
          <w:p w:rsidR="00FE0E24" w:rsidRPr="00617BDE" w:rsidRDefault="00FE0E24" w:rsidP="00184C0A">
            <w:pPr>
              <w:jc w:val="center"/>
              <w:rPr>
                <w:sz w:val="20"/>
                <w:szCs w:val="20"/>
              </w:rPr>
            </w:pPr>
            <w:r w:rsidRPr="00617BDE">
              <w:rPr>
                <w:sz w:val="20"/>
                <w:szCs w:val="20"/>
              </w:rPr>
              <w:t>Importe en miles de pesos uruguayos</w:t>
            </w:r>
          </w:p>
        </w:tc>
      </w:tr>
      <w:tr w:rsidR="00FE0E24" w:rsidRPr="00617BDE" w:rsidTr="00184C0A">
        <w:trPr>
          <w:trHeight w:val="300"/>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rsidR="00FE0E24" w:rsidRPr="00617BDE" w:rsidRDefault="00FE0E24" w:rsidP="00184C0A">
            <w:pPr>
              <w:rPr>
                <w:sz w:val="20"/>
                <w:szCs w:val="20"/>
              </w:rPr>
            </w:pPr>
            <w:r w:rsidRPr="00617BDE">
              <w:rPr>
                <w:sz w:val="20"/>
                <w:szCs w:val="20"/>
              </w:rPr>
              <w:t>Amortización</w:t>
            </w:r>
          </w:p>
        </w:tc>
        <w:tc>
          <w:tcPr>
            <w:tcW w:w="3607" w:type="dxa"/>
            <w:tcBorders>
              <w:top w:val="nil"/>
              <w:left w:val="nil"/>
              <w:bottom w:val="single" w:sz="4" w:space="0" w:color="auto"/>
              <w:right w:val="single" w:sz="4" w:space="0" w:color="auto"/>
            </w:tcBorders>
            <w:shd w:val="clear" w:color="auto" w:fill="auto"/>
            <w:noWrap/>
            <w:vAlign w:val="bottom"/>
          </w:tcPr>
          <w:p w:rsidR="00FE0E24" w:rsidRPr="00617BDE" w:rsidRDefault="00FE0E24" w:rsidP="00184C0A">
            <w:pPr>
              <w:jc w:val="right"/>
              <w:rPr>
                <w:sz w:val="20"/>
                <w:szCs w:val="20"/>
              </w:rPr>
            </w:pPr>
            <w:r w:rsidRPr="00617BDE">
              <w:rPr>
                <w:sz w:val="20"/>
                <w:szCs w:val="20"/>
              </w:rPr>
              <w:t>3.541.804</w:t>
            </w:r>
          </w:p>
        </w:tc>
      </w:tr>
      <w:tr w:rsidR="00FE0E24" w:rsidRPr="00617BDE" w:rsidTr="00184C0A">
        <w:trPr>
          <w:trHeight w:val="300"/>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rsidR="00FE0E24" w:rsidRPr="00617BDE" w:rsidRDefault="00FE0E24" w:rsidP="00184C0A">
            <w:pPr>
              <w:rPr>
                <w:sz w:val="20"/>
                <w:szCs w:val="20"/>
              </w:rPr>
            </w:pPr>
            <w:r w:rsidRPr="00617BDE">
              <w:rPr>
                <w:sz w:val="20"/>
                <w:szCs w:val="20"/>
              </w:rPr>
              <w:t>Intereses y Comisiones</w:t>
            </w:r>
          </w:p>
        </w:tc>
        <w:tc>
          <w:tcPr>
            <w:tcW w:w="3607" w:type="dxa"/>
            <w:tcBorders>
              <w:top w:val="nil"/>
              <w:left w:val="nil"/>
              <w:bottom w:val="single" w:sz="4" w:space="0" w:color="auto"/>
              <w:right w:val="single" w:sz="4" w:space="0" w:color="auto"/>
            </w:tcBorders>
            <w:shd w:val="clear" w:color="auto" w:fill="auto"/>
            <w:noWrap/>
            <w:vAlign w:val="bottom"/>
            <w:hideMark/>
          </w:tcPr>
          <w:p w:rsidR="00FE0E24" w:rsidRPr="00617BDE" w:rsidRDefault="00FE0E24" w:rsidP="00184C0A">
            <w:pPr>
              <w:jc w:val="right"/>
              <w:rPr>
                <w:sz w:val="20"/>
                <w:szCs w:val="20"/>
              </w:rPr>
            </w:pPr>
            <w:r w:rsidRPr="00617BDE">
              <w:rPr>
                <w:sz w:val="20"/>
                <w:szCs w:val="20"/>
              </w:rPr>
              <w:t>3.060.867</w:t>
            </w:r>
          </w:p>
        </w:tc>
      </w:tr>
      <w:tr w:rsidR="00FE0E24" w:rsidRPr="00617BDE" w:rsidTr="00184C0A">
        <w:trPr>
          <w:trHeight w:val="300"/>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rsidR="00FE0E24" w:rsidRPr="00617BDE" w:rsidRDefault="00FE0E24" w:rsidP="00184C0A">
            <w:pPr>
              <w:rPr>
                <w:sz w:val="20"/>
                <w:szCs w:val="20"/>
              </w:rPr>
            </w:pPr>
            <w:r w:rsidRPr="00617BDE">
              <w:rPr>
                <w:sz w:val="20"/>
                <w:szCs w:val="20"/>
              </w:rPr>
              <w:t>Reajustes</w:t>
            </w:r>
          </w:p>
        </w:tc>
        <w:tc>
          <w:tcPr>
            <w:tcW w:w="3607" w:type="dxa"/>
            <w:tcBorders>
              <w:top w:val="nil"/>
              <w:left w:val="nil"/>
              <w:bottom w:val="single" w:sz="4" w:space="0" w:color="auto"/>
              <w:right w:val="single" w:sz="4" w:space="0" w:color="auto"/>
            </w:tcBorders>
            <w:shd w:val="clear" w:color="auto" w:fill="auto"/>
            <w:noWrap/>
            <w:vAlign w:val="bottom"/>
            <w:hideMark/>
          </w:tcPr>
          <w:p w:rsidR="00FE0E24" w:rsidRPr="00617BDE" w:rsidRDefault="00FE0E24" w:rsidP="00184C0A">
            <w:pPr>
              <w:jc w:val="right"/>
              <w:rPr>
                <w:sz w:val="20"/>
                <w:szCs w:val="20"/>
              </w:rPr>
            </w:pPr>
            <w:r w:rsidRPr="00617BDE">
              <w:rPr>
                <w:sz w:val="20"/>
                <w:szCs w:val="20"/>
              </w:rPr>
              <w:t>213.187</w:t>
            </w:r>
          </w:p>
        </w:tc>
      </w:tr>
      <w:tr w:rsidR="00FE0E24" w:rsidRPr="00617BDE" w:rsidTr="00184C0A">
        <w:trPr>
          <w:trHeight w:val="300"/>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rsidR="00FE0E24" w:rsidRPr="00617BDE" w:rsidRDefault="00FE0E24" w:rsidP="00184C0A">
            <w:pPr>
              <w:rPr>
                <w:sz w:val="20"/>
                <w:szCs w:val="20"/>
              </w:rPr>
            </w:pPr>
            <w:r w:rsidRPr="00617BDE">
              <w:rPr>
                <w:sz w:val="20"/>
                <w:szCs w:val="20"/>
              </w:rPr>
              <w:t>Otros Ingresos</w:t>
            </w:r>
          </w:p>
        </w:tc>
        <w:tc>
          <w:tcPr>
            <w:tcW w:w="3607" w:type="dxa"/>
            <w:tcBorders>
              <w:top w:val="nil"/>
              <w:left w:val="nil"/>
              <w:bottom w:val="single" w:sz="4" w:space="0" w:color="auto"/>
              <w:right w:val="single" w:sz="4" w:space="0" w:color="auto"/>
            </w:tcBorders>
            <w:shd w:val="clear" w:color="auto" w:fill="auto"/>
            <w:noWrap/>
            <w:vAlign w:val="bottom"/>
            <w:hideMark/>
          </w:tcPr>
          <w:p w:rsidR="00FE0E24" w:rsidRPr="00617BDE" w:rsidRDefault="00FE0E24" w:rsidP="00184C0A">
            <w:pPr>
              <w:jc w:val="right"/>
              <w:rPr>
                <w:sz w:val="20"/>
                <w:szCs w:val="20"/>
              </w:rPr>
            </w:pPr>
            <w:r w:rsidRPr="00617BDE">
              <w:rPr>
                <w:sz w:val="20"/>
                <w:szCs w:val="20"/>
              </w:rPr>
              <w:t>3.048.364</w:t>
            </w:r>
          </w:p>
        </w:tc>
      </w:tr>
      <w:tr w:rsidR="00FE0E24" w:rsidRPr="00617BDE" w:rsidTr="00184C0A">
        <w:trPr>
          <w:trHeight w:val="300"/>
        </w:trPr>
        <w:tc>
          <w:tcPr>
            <w:tcW w:w="2914" w:type="dxa"/>
            <w:tcBorders>
              <w:top w:val="nil"/>
              <w:left w:val="single" w:sz="4" w:space="0" w:color="auto"/>
              <w:bottom w:val="single" w:sz="4" w:space="0" w:color="auto"/>
              <w:right w:val="single" w:sz="4" w:space="0" w:color="auto"/>
            </w:tcBorders>
            <w:shd w:val="clear" w:color="auto" w:fill="auto"/>
            <w:noWrap/>
            <w:vAlign w:val="bottom"/>
          </w:tcPr>
          <w:p w:rsidR="00FE0E24" w:rsidRPr="00617BDE" w:rsidRDefault="00FE0E24" w:rsidP="00184C0A">
            <w:pPr>
              <w:rPr>
                <w:b/>
                <w:sz w:val="20"/>
                <w:szCs w:val="20"/>
              </w:rPr>
            </w:pPr>
            <w:r w:rsidRPr="00617BDE">
              <w:rPr>
                <w:b/>
                <w:sz w:val="20"/>
                <w:szCs w:val="20"/>
              </w:rPr>
              <w:t>Total Ingresos</w:t>
            </w:r>
          </w:p>
        </w:tc>
        <w:tc>
          <w:tcPr>
            <w:tcW w:w="3607" w:type="dxa"/>
            <w:tcBorders>
              <w:top w:val="nil"/>
              <w:left w:val="nil"/>
              <w:bottom w:val="single" w:sz="4" w:space="0" w:color="auto"/>
              <w:right w:val="single" w:sz="4" w:space="0" w:color="auto"/>
            </w:tcBorders>
            <w:shd w:val="clear" w:color="auto" w:fill="auto"/>
            <w:noWrap/>
            <w:vAlign w:val="bottom"/>
          </w:tcPr>
          <w:p w:rsidR="00FE0E24" w:rsidRPr="00617BDE" w:rsidRDefault="00FE0E24" w:rsidP="00184C0A">
            <w:pPr>
              <w:jc w:val="right"/>
              <w:rPr>
                <w:b/>
                <w:sz w:val="20"/>
                <w:szCs w:val="20"/>
              </w:rPr>
            </w:pPr>
            <w:r w:rsidRPr="00617BDE">
              <w:rPr>
                <w:b/>
                <w:sz w:val="20"/>
                <w:szCs w:val="20"/>
              </w:rPr>
              <w:t>9.864.222</w:t>
            </w:r>
          </w:p>
        </w:tc>
      </w:tr>
      <w:tr w:rsidR="00FE0E24" w:rsidRPr="00617BDE" w:rsidTr="00184C0A">
        <w:trPr>
          <w:trHeight w:val="300"/>
        </w:trPr>
        <w:tc>
          <w:tcPr>
            <w:tcW w:w="2914" w:type="dxa"/>
            <w:tcBorders>
              <w:top w:val="nil"/>
              <w:left w:val="single" w:sz="4" w:space="0" w:color="auto"/>
              <w:bottom w:val="single" w:sz="4" w:space="0" w:color="auto"/>
              <w:right w:val="single" w:sz="4" w:space="0" w:color="auto"/>
            </w:tcBorders>
            <w:shd w:val="clear" w:color="auto" w:fill="auto"/>
            <w:noWrap/>
            <w:vAlign w:val="bottom"/>
          </w:tcPr>
          <w:p w:rsidR="00FE0E24" w:rsidRPr="00617BDE" w:rsidRDefault="00FE0E24" w:rsidP="00184C0A">
            <w:pPr>
              <w:rPr>
                <w:sz w:val="20"/>
                <w:szCs w:val="20"/>
              </w:rPr>
            </w:pPr>
            <w:r>
              <w:rPr>
                <w:sz w:val="20"/>
                <w:szCs w:val="20"/>
              </w:rPr>
              <w:t>Financiamiento CAF</w:t>
            </w:r>
          </w:p>
        </w:tc>
        <w:tc>
          <w:tcPr>
            <w:tcW w:w="3607" w:type="dxa"/>
            <w:tcBorders>
              <w:top w:val="nil"/>
              <w:left w:val="nil"/>
              <w:bottom w:val="single" w:sz="4" w:space="0" w:color="auto"/>
              <w:right w:val="single" w:sz="4" w:space="0" w:color="auto"/>
            </w:tcBorders>
            <w:shd w:val="clear" w:color="auto" w:fill="auto"/>
            <w:noWrap/>
            <w:vAlign w:val="bottom"/>
          </w:tcPr>
          <w:p w:rsidR="00FE0E24" w:rsidRPr="00617BDE" w:rsidRDefault="00FE0E24" w:rsidP="00184C0A">
            <w:pPr>
              <w:jc w:val="right"/>
              <w:rPr>
                <w:sz w:val="20"/>
                <w:szCs w:val="20"/>
              </w:rPr>
            </w:pPr>
            <w:r>
              <w:rPr>
                <w:sz w:val="20"/>
                <w:szCs w:val="20"/>
              </w:rPr>
              <w:t>3.625</w:t>
            </w:r>
          </w:p>
        </w:tc>
      </w:tr>
      <w:tr w:rsidR="00FE0E24" w:rsidRPr="00617BDE" w:rsidTr="00184C0A">
        <w:trPr>
          <w:trHeight w:val="300"/>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rsidR="00FE0E24" w:rsidRPr="00617BDE" w:rsidRDefault="00FE0E24" w:rsidP="00184C0A">
            <w:pPr>
              <w:rPr>
                <w:b/>
                <w:bCs/>
                <w:sz w:val="20"/>
                <w:szCs w:val="20"/>
              </w:rPr>
            </w:pPr>
            <w:r w:rsidRPr="00617BDE">
              <w:rPr>
                <w:b/>
                <w:bCs/>
                <w:sz w:val="20"/>
                <w:szCs w:val="20"/>
              </w:rPr>
              <w:t>Total de Ingresos</w:t>
            </w:r>
          </w:p>
        </w:tc>
        <w:tc>
          <w:tcPr>
            <w:tcW w:w="3607" w:type="dxa"/>
            <w:tcBorders>
              <w:top w:val="nil"/>
              <w:left w:val="nil"/>
              <w:bottom w:val="single" w:sz="4" w:space="0" w:color="auto"/>
              <w:right w:val="single" w:sz="4" w:space="0" w:color="auto"/>
            </w:tcBorders>
            <w:shd w:val="clear" w:color="auto" w:fill="auto"/>
            <w:noWrap/>
            <w:vAlign w:val="bottom"/>
          </w:tcPr>
          <w:p w:rsidR="00FE0E24" w:rsidRPr="00617BDE" w:rsidRDefault="00FE0E24" w:rsidP="00184C0A">
            <w:pPr>
              <w:jc w:val="right"/>
              <w:rPr>
                <w:b/>
                <w:bCs/>
                <w:sz w:val="20"/>
                <w:szCs w:val="20"/>
              </w:rPr>
            </w:pPr>
            <w:r w:rsidRPr="00617BDE">
              <w:rPr>
                <w:b/>
                <w:bCs/>
                <w:sz w:val="20"/>
                <w:szCs w:val="20"/>
              </w:rPr>
              <w:t>9.</w:t>
            </w:r>
            <w:r>
              <w:rPr>
                <w:b/>
                <w:bCs/>
                <w:sz w:val="20"/>
                <w:szCs w:val="20"/>
              </w:rPr>
              <w:t>867.847</w:t>
            </w:r>
          </w:p>
        </w:tc>
      </w:tr>
    </w:tbl>
    <w:p w:rsidR="00FE0E24" w:rsidRPr="00617BDE" w:rsidRDefault="00FE0E24" w:rsidP="006355F7">
      <w:pPr>
        <w:pStyle w:val="Piedepgina"/>
        <w:tabs>
          <w:tab w:val="clear" w:pos="4252"/>
          <w:tab w:val="clear" w:pos="8504"/>
        </w:tabs>
        <w:spacing w:line="360" w:lineRule="auto"/>
        <w:jc w:val="both"/>
        <w:rPr>
          <w:b/>
          <w:bCs/>
          <w:sz w:val="24"/>
          <w:szCs w:val="24"/>
        </w:rPr>
      </w:pPr>
    </w:p>
    <w:p w:rsidR="00FE0E24" w:rsidRPr="00617BDE" w:rsidRDefault="00FE0E24" w:rsidP="006355F7">
      <w:pPr>
        <w:pStyle w:val="Piedepgina"/>
        <w:tabs>
          <w:tab w:val="clear" w:pos="4252"/>
          <w:tab w:val="clear" w:pos="8504"/>
        </w:tabs>
        <w:spacing w:line="360" w:lineRule="auto"/>
        <w:jc w:val="both"/>
        <w:rPr>
          <w:b/>
          <w:bCs/>
          <w:sz w:val="24"/>
          <w:szCs w:val="24"/>
        </w:rPr>
      </w:pPr>
    </w:p>
    <w:p w:rsidR="00FE0E24" w:rsidRPr="00617BDE" w:rsidRDefault="00FE0E24" w:rsidP="006355F7">
      <w:pPr>
        <w:pStyle w:val="Piedepgina"/>
        <w:tabs>
          <w:tab w:val="clear" w:pos="4252"/>
          <w:tab w:val="clear" w:pos="8504"/>
        </w:tabs>
        <w:spacing w:line="360" w:lineRule="auto"/>
        <w:jc w:val="both"/>
        <w:rPr>
          <w:b/>
          <w:bCs/>
          <w:sz w:val="24"/>
          <w:szCs w:val="24"/>
        </w:rPr>
      </w:pPr>
    </w:p>
    <w:p w:rsidR="00FE0E24" w:rsidRPr="00617BDE" w:rsidRDefault="00FE0E24" w:rsidP="006355F7">
      <w:pPr>
        <w:pStyle w:val="Piedepgina"/>
        <w:tabs>
          <w:tab w:val="clear" w:pos="4252"/>
          <w:tab w:val="clear" w:pos="8504"/>
        </w:tabs>
        <w:spacing w:line="360" w:lineRule="auto"/>
        <w:jc w:val="both"/>
        <w:rPr>
          <w:b/>
          <w:bCs/>
          <w:sz w:val="24"/>
          <w:szCs w:val="24"/>
        </w:rPr>
      </w:pPr>
    </w:p>
    <w:p w:rsidR="00FE0E24" w:rsidRDefault="00FE0E24" w:rsidP="006355F7">
      <w:pPr>
        <w:pStyle w:val="Piedepgina"/>
        <w:tabs>
          <w:tab w:val="clear" w:pos="4252"/>
          <w:tab w:val="clear" w:pos="8504"/>
        </w:tabs>
        <w:spacing w:line="360" w:lineRule="auto"/>
        <w:jc w:val="both"/>
        <w:rPr>
          <w:b/>
          <w:bCs/>
          <w:sz w:val="24"/>
          <w:szCs w:val="24"/>
          <w:highlight w:val="yellow"/>
        </w:rPr>
      </w:pPr>
    </w:p>
    <w:p w:rsidR="00FE0E24" w:rsidRDefault="00FE0E24" w:rsidP="006355F7">
      <w:pPr>
        <w:pStyle w:val="Piedepgina"/>
        <w:tabs>
          <w:tab w:val="clear" w:pos="4252"/>
          <w:tab w:val="clear" w:pos="8504"/>
        </w:tabs>
        <w:spacing w:line="360" w:lineRule="auto"/>
        <w:jc w:val="both"/>
        <w:rPr>
          <w:b/>
          <w:bCs/>
          <w:sz w:val="24"/>
          <w:szCs w:val="24"/>
          <w:highlight w:val="yellow"/>
        </w:rPr>
      </w:pPr>
    </w:p>
    <w:p w:rsidR="00FE0E24" w:rsidRPr="005F2A64" w:rsidRDefault="00FE0E24" w:rsidP="006355F7">
      <w:pPr>
        <w:pStyle w:val="Piedepgina"/>
        <w:tabs>
          <w:tab w:val="clear" w:pos="4252"/>
          <w:tab w:val="clear" w:pos="8504"/>
        </w:tabs>
        <w:spacing w:line="360" w:lineRule="auto"/>
        <w:jc w:val="both"/>
        <w:rPr>
          <w:b/>
          <w:bCs/>
          <w:sz w:val="24"/>
          <w:szCs w:val="24"/>
        </w:rPr>
      </w:pPr>
      <w:r w:rsidRPr="005F2A64">
        <w:rPr>
          <w:b/>
          <w:bCs/>
          <w:sz w:val="24"/>
          <w:szCs w:val="24"/>
        </w:rPr>
        <w:t>1.2) Asignaciones presupuestales</w:t>
      </w:r>
    </w:p>
    <w:p w:rsidR="00FE0E24" w:rsidRDefault="00FE0E24" w:rsidP="006355F7">
      <w:pPr>
        <w:pStyle w:val="Piedepgina"/>
        <w:tabs>
          <w:tab w:val="clear" w:pos="4252"/>
          <w:tab w:val="clear" w:pos="8504"/>
        </w:tabs>
        <w:jc w:val="both"/>
        <w:rPr>
          <w:b/>
          <w:bCs/>
          <w:sz w:val="24"/>
          <w:szCs w:val="24"/>
        </w:rPr>
      </w:pPr>
      <w:r w:rsidRPr="005F2A64">
        <w:rPr>
          <w:b/>
          <w:bCs/>
          <w:sz w:val="24"/>
          <w:szCs w:val="24"/>
        </w:rPr>
        <w:t xml:space="preserve">     Presupuesto de Egresos Operativos</w:t>
      </w:r>
    </w:p>
    <w:p w:rsidR="00FE0E24" w:rsidRDefault="00FE0E24" w:rsidP="006355F7">
      <w:pPr>
        <w:pStyle w:val="Piedepgina"/>
        <w:tabs>
          <w:tab w:val="clear" w:pos="4252"/>
          <w:tab w:val="clear" w:pos="8504"/>
        </w:tabs>
        <w:jc w:val="both"/>
        <w:rPr>
          <w:b/>
          <w:bCs/>
          <w:sz w:val="24"/>
          <w:szCs w:val="24"/>
        </w:rPr>
      </w:pPr>
    </w:p>
    <w:tbl>
      <w:tblPr>
        <w:tblW w:w="6520" w:type="dxa"/>
        <w:tblInd w:w="70" w:type="dxa"/>
        <w:tblCellMar>
          <w:left w:w="70" w:type="dxa"/>
          <w:right w:w="70" w:type="dxa"/>
        </w:tblCellMar>
        <w:tblLook w:val="04A0" w:firstRow="1" w:lastRow="0" w:firstColumn="1" w:lastColumn="0" w:noHBand="0" w:noVBand="1"/>
      </w:tblPr>
      <w:tblGrid>
        <w:gridCol w:w="780"/>
        <w:gridCol w:w="3540"/>
        <w:gridCol w:w="2200"/>
      </w:tblGrid>
      <w:tr w:rsidR="00FE0E24" w:rsidRPr="00CB4864" w:rsidTr="00184C0A">
        <w:trPr>
          <w:trHeight w:val="255"/>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Grupo</w:t>
            </w:r>
          </w:p>
        </w:tc>
        <w:tc>
          <w:tcPr>
            <w:tcW w:w="3540" w:type="dxa"/>
            <w:tcBorders>
              <w:top w:val="single" w:sz="4" w:space="0" w:color="auto"/>
              <w:left w:val="nil"/>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Denominación</w:t>
            </w:r>
          </w:p>
        </w:tc>
        <w:tc>
          <w:tcPr>
            <w:tcW w:w="2200" w:type="dxa"/>
            <w:tcBorders>
              <w:top w:val="single" w:sz="4" w:space="0" w:color="auto"/>
              <w:left w:val="nil"/>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Importe en miles $</w:t>
            </w:r>
          </w:p>
        </w:tc>
      </w:tr>
      <w:tr w:rsidR="00FE0E24" w:rsidRPr="00CB4864"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0</w:t>
            </w:r>
          </w:p>
        </w:tc>
        <w:tc>
          <w:tcPr>
            <w:tcW w:w="354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both"/>
              <w:rPr>
                <w:sz w:val="20"/>
                <w:szCs w:val="20"/>
              </w:rPr>
            </w:pPr>
            <w:r w:rsidRPr="00CB4864">
              <w:rPr>
                <w:sz w:val="20"/>
                <w:szCs w:val="20"/>
              </w:rPr>
              <w:t>Servicios Personales</w:t>
            </w:r>
          </w:p>
        </w:tc>
        <w:tc>
          <w:tcPr>
            <w:tcW w:w="220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right"/>
              <w:rPr>
                <w:sz w:val="20"/>
                <w:szCs w:val="20"/>
              </w:rPr>
            </w:pPr>
            <w:r w:rsidRPr="00CB4864">
              <w:rPr>
                <w:sz w:val="20"/>
                <w:szCs w:val="20"/>
              </w:rPr>
              <w:t xml:space="preserve">1.268.454     </w:t>
            </w:r>
          </w:p>
        </w:tc>
      </w:tr>
      <w:tr w:rsidR="00FE0E24" w:rsidRPr="00CB4864"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1</w:t>
            </w:r>
          </w:p>
        </w:tc>
        <w:tc>
          <w:tcPr>
            <w:tcW w:w="354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both"/>
              <w:rPr>
                <w:sz w:val="20"/>
                <w:szCs w:val="20"/>
              </w:rPr>
            </w:pPr>
            <w:r w:rsidRPr="00CB4864">
              <w:rPr>
                <w:sz w:val="20"/>
                <w:szCs w:val="20"/>
              </w:rPr>
              <w:t>Bienes de Consumo</w:t>
            </w:r>
          </w:p>
        </w:tc>
        <w:tc>
          <w:tcPr>
            <w:tcW w:w="220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right"/>
              <w:rPr>
                <w:sz w:val="20"/>
                <w:szCs w:val="20"/>
              </w:rPr>
            </w:pPr>
            <w:r w:rsidRPr="00CB4864">
              <w:rPr>
                <w:sz w:val="20"/>
                <w:szCs w:val="20"/>
              </w:rPr>
              <w:t xml:space="preserve">                    11.050     </w:t>
            </w:r>
          </w:p>
        </w:tc>
      </w:tr>
      <w:tr w:rsidR="00FE0E24" w:rsidRPr="00CB4864"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2</w:t>
            </w:r>
          </w:p>
        </w:tc>
        <w:tc>
          <w:tcPr>
            <w:tcW w:w="354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both"/>
              <w:rPr>
                <w:sz w:val="20"/>
                <w:szCs w:val="20"/>
              </w:rPr>
            </w:pPr>
            <w:r w:rsidRPr="00CB4864">
              <w:rPr>
                <w:sz w:val="20"/>
                <w:szCs w:val="20"/>
              </w:rPr>
              <w:t>Servicios no Personales</w:t>
            </w:r>
          </w:p>
        </w:tc>
        <w:tc>
          <w:tcPr>
            <w:tcW w:w="220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right"/>
              <w:rPr>
                <w:sz w:val="20"/>
                <w:szCs w:val="20"/>
              </w:rPr>
            </w:pPr>
            <w:r w:rsidRPr="00CB4864">
              <w:rPr>
                <w:sz w:val="20"/>
                <w:szCs w:val="20"/>
              </w:rPr>
              <w:t xml:space="preserve">                2.343.756     </w:t>
            </w:r>
          </w:p>
        </w:tc>
      </w:tr>
      <w:tr w:rsidR="00FE0E24" w:rsidRPr="00CB4864"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5</w:t>
            </w:r>
          </w:p>
        </w:tc>
        <w:tc>
          <w:tcPr>
            <w:tcW w:w="354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both"/>
              <w:rPr>
                <w:sz w:val="20"/>
                <w:szCs w:val="20"/>
              </w:rPr>
            </w:pPr>
            <w:r w:rsidRPr="00CB4864">
              <w:rPr>
                <w:sz w:val="20"/>
                <w:szCs w:val="20"/>
              </w:rPr>
              <w:t>Transferencias</w:t>
            </w:r>
          </w:p>
        </w:tc>
        <w:tc>
          <w:tcPr>
            <w:tcW w:w="220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right"/>
              <w:rPr>
                <w:sz w:val="20"/>
                <w:szCs w:val="20"/>
              </w:rPr>
            </w:pPr>
            <w:r w:rsidRPr="00CB4864">
              <w:rPr>
                <w:sz w:val="20"/>
                <w:szCs w:val="20"/>
              </w:rPr>
              <w:t xml:space="preserve">                    16.250     </w:t>
            </w:r>
          </w:p>
        </w:tc>
      </w:tr>
      <w:tr w:rsidR="00FE0E24" w:rsidRPr="00CB4864"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CB4864" w:rsidRDefault="00FE0E24" w:rsidP="00184C0A">
            <w:pPr>
              <w:widowControl w:val="0"/>
              <w:jc w:val="center"/>
              <w:rPr>
                <w:sz w:val="20"/>
                <w:szCs w:val="20"/>
              </w:rPr>
            </w:pPr>
            <w:r w:rsidRPr="00CB4864">
              <w:rPr>
                <w:sz w:val="20"/>
                <w:szCs w:val="20"/>
              </w:rPr>
              <w:t>7</w:t>
            </w:r>
          </w:p>
        </w:tc>
        <w:tc>
          <w:tcPr>
            <w:tcW w:w="354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both"/>
              <w:rPr>
                <w:sz w:val="20"/>
                <w:szCs w:val="20"/>
              </w:rPr>
            </w:pPr>
            <w:r w:rsidRPr="00CB4864">
              <w:rPr>
                <w:sz w:val="20"/>
                <w:szCs w:val="20"/>
              </w:rPr>
              <w:t>Gastos no clasificados</w:t>
            </w:r>
          </w:p>
        </w:tc>
        <w:tc>
          <w:tcPr>
            <w:tcW w:w="220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right"/>
              <w:rPr>
                <w:sz w:val="20"/>
                <w:szCs w:val="20"/>
              </w:rPr>
            </w:pPr>
            <w:r w:rsidRPr="00CB4864">
              <w:rPr>
                <w:sz w:val="20"/>
                <w:szCs w:val="20"/>
              </w:rPr>
              <w:t xml:space="preserve">                    81.476     </w:t>
            </w:r>
          </w:p>
        </w:tc>
      </w:tr>
      <w:tr w:rsidR="00FE0E24" w:rsidRPr="00B67484"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CB4864" w:rsidRDefault="00FE0E24" w:rsidP="00184C0A">
            <w:pPr>
              <w:widowControl w:val="0"/>
              <w:jc w:val="center"/>
              <w:rPr>
                <w:b/>
                <w:bCs/>
                <w:sz w:val="20"/>
                <w:szCs w:val="20"/>
              </w:rPr>
            </w:pPr>
            <w:r w:rsidRPr="00CB4864">
              <w:rPr>
                <w:b/>
                <w:bCs/>
                <w:sz w:val="20"/>
                <w:szCs w:val="20"/>
              </w:rPr>
              <w:t> </w:t>
            </w:r>
          </w:p>
        </w:tc>
        <w:tc>
          <w:tcPr>
            <w:tcW w:w="354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center"/>
              <w:rPr>
                <w:b/>
                <w:bCs/>
                <w:sz w:val="20"/>
                <w:szCs w:val="20"/>
              </w:rPr>
            </w:pPr>
            <w:r w:rsidRPr="00CB4864">
              <w:rPr>
                <w:b/>
                <w:bCs/>
                <w:sz w:val="20"/>
                <w:szCs w:val="20"/>
              </w:rPr>
              <w:t>Total</w:t>
            </w:r>
          </w:p>
        </w:tc>
        <w:tc>
          <w:tcPr>
            <w:tcW w:w="2200" w:type="dxa"/>
            <w:tcBorders>
              <w:top w:val="nil"/>
              <w:left w:val="nil"/>
              <w:bottom w:val="single" w:sz="4" w:space="0" w:color="auto"/>
              <w:right w:val="single" w:sz="4" w:space="0" w:color="auto"/>
            </w:tcBorders>
            <w:shd w:val="clear" w:color="auto" w:fill="auto"/>
            <w:hideMark/>
          </w:tcPr>
          <w:p w:rsidR="00FE0E24" w:rsidRPr="00CB4864" w:rsidRDefault="00FE0E24" w:rsidP="00184C0A">
            <w:pPr>
              <w:widowControl w:val="0"/>
              <w:jc w:val="right"/>
              <w:rPr>
                <w:b/>
                <w:bCs/>
                <w:sz w:val="20"/>
                <w:szCs w:val="20"/>
              </w:rPr>
            </w:pPr>
            <w:r w:rsidRPr="00CB4864">
              <w:rPr>
                <w:b/>
                <w:bCs/>
                <w:sz w:val="20"/>
                <w:szCs w:val="20"/>
              </w:rPr>
              <w:t xml:space="preserve">               3.720.986     </w:t>
            </w:r>
          </w:p>
        </w:tc>
      </w:tr>
    </w:tbl>
    <w:p w:rsidR="00FE0E24" w:rsidRDefault="00FE0E24" w:rsidP="006355F7">
      <w:pPr>
        <w:pStyle w:val="Piedepgina"/>
        <w:tabs>
          <w:tab w:val="clear" w:pos="4252"/>
          <w:tab w:val="clear" w:pos="8504"/>
        </w:tabs>
        <w:jc w:val="both"/>
        <w:rPr>
          <w:b/>
          <w:bCs/>
          <w:sz w:val="24"/>
          <w:szCs w:val="24"/>
        </w:rPr>
      </w:pPr>
      <w:r w:rsidRPr="005F2A64">
        <w:rPr>
          <w:b/>
          <w:bCs/>
          <w:sz w:val="24"/>
          <w:szCs w:val="24"/>
        </w:rPr>
        <w:t xml:space="preserve"> </w:t>
      </w:r>
      <w:r>
        <w:rPr>
          <w:b/>
          <w:bCs/>
          <w:sz w:val="24"/>
          <w:szCs w:val="24"/>
        </w:rPr>
        <w:t xml:space="preserve">    </w:t>
      </w:r>
    </w:p>
    <w:p w:rsidR="00FE0E24" w:rsidRDefault="00FE0E24" w:rsidP="006355F7">
      <w:pPr>
        <w:pStyle w:val="Piedepgina"/>
        <w:tabs>
          <w:tab w:val="clear" w:pos="4252"/>
          <w:tab w:val="clear" w:pos="8504"/>
        </w:tabs>
        <w:jc w:val="both"/>
        <w:rPr>
          <w:b/>
          <w:bCs/>
          <w:sz w:val="24"/>
          <w:szCs w:val="24"/>
        </w:rPr>
      </w:pPr>
      <w:r w:rsidRPr="005F2A64">
        <w:rPr>
          <w:b/>
          <w:bCs/>
          <w:sz w:val="24"/>
          <w:szCs w:val="24"/>
        </w:rPr>
        <w:t>Presupu</w:t>
      </w:r>
      <w:r>
        <w:rPr>
          <w:b/>
          <w:bCs/>
          <w:sz w:val="24"/>
          <w:szCs w:val="24"/>
        </w:rPr>
        <w:t>esto de Operaciones Financieras</w:t>
      </w:r>
    </w:p>
    <w:p w:rsidR="00FE0E24" w:rsidRDefault="00FE0E24" w:rsidP="006355F7">
      <w:pPr>
        <w:pStyle w:val="Piedepgina"/>
        <w:tabs>
          <w:tab w:val="clear" w:pos="4252"/>
          <w:tab w:val="clear" w:pos="8504"/>
        </w:tabs>
        <w:jc w:val="both"/>
        <w:rPr>
          <w:b/>
          <w:bCs/>
          <w:sz w:val="24"/>
          <w:szCs w:val="24"/>
        </w:rPr>
      </w:pPr>
    </w:p>
    <w:p w:rsidR="00FE0E24" w:rsidRDefault="00FE0E24" w:rsidP="006355F7">
      <w:pPr>
        <w:pStyle w:val="Piedepgina"/>
        <w:tabs>
          <w:tab w:val="clear" w:pos="4252"/>
          <w:tab w:val="clear" w:pos="8504"/>
        </w:tabs>
        <w:jc w:val="both"/>
        <w:rPr>
          <w:b/>
          <w:bCs/>
          <w:sz w:val="24"/>
          <w:szCs w:val="24"/>
        </w:rPr>
      </w:pPr>
      <w:r>
        <w:rPr>
          <w:noProof/>
          <w:lang w:val="es-UY" w:eastAsia="es-UY"/>
        </w:rPr>
        <w:drawing>
          <wp:inline distT="0" distB="0" distL="0" distR="0">
            <wp:extent cx="4143375" cy="819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819150"/>
                    </a:xfrm>
                    <a:prstGeom prst="rect">
                      <a:avLst/>
                    </a:prstGeom>
                    <a:noFill/>
                    <a:ln>
                      <a:noFill/>
                    </a:ln>
                  </pic:spPr>
                </pic:pic>
              </a:graphicData>
            </a:graphic>
          </wp:inline>
        </w:drawing>
      </w:r>
    </w:p>
    <w:p w:rsidR="00FE0E24" w:rsidRDefault="00FE0E24" w:rsidP="006355F7">
      <w:pPr>
        <w:pStyle w:val="Piedepgina"/>
        <w:tabs>
          <w:tab w:val="clear" w:pos="4252"/>
          <w:tab w:val="clear" w:pos="8504"/>
        </w:tabs>
        <w:jc w:val="both"/>
        <w:rPr>
          <w:b/>
          <w:bCs/>
          <w:sz w:val="24"/>
          <w:szCs w:val="24"/>
        </w:rPr>
      </w:pPr>
    </w:p>
    <w:p w:rsidR="00FE0E24" w:rsidRDefault="00FE0E24" w:rsidP="006355F7">
      <w:pPr>
        <w:pStyle w:val="Piedepgina"/>
        <w:tabs>
          <w:tab w:val="clear" w:pos="4252"/>
          <w:tab w:val="clear" w:pos="8504"/>
        </w:tabs>
        <w:jc w:val="both"/>
        <w:rPr>
          <w:b/>
          <w:bCs/>
          <w:sz w:val="24"/>
          <w:szCs w:val="24"/>
        </w:rPr>
      </w:pPr>
      <w:r>
        <w:rPr>
          <w:b/>
          <w:bCs/>
          <w:sz w:val="24"/>
          <w:szCs w:val="24"/>
        </w:rPr>
        <w:t xml:space="preserve">    Presupuesto de Inversiones</w:t>
      </w:r>
    </w:p>
    <w:p w:rsidR="00FE0E24" w:rsidRPr="00811F06" w:rsidRDefault="00FE0E24" w:rsidP="006355F7">
      <w:pPr>
        <w:pStyle w:val="Piedepgina"/>
        <w:tabs>
          <w:tab w:val="clear" w:pos="4252"/>
          <w:tab w:val="clear" w:pos="8504"/>
          <w:tab w:val="left" w:pos="284"/>
        </w:tabs>
        <w:jc w:val="both"/>
        <w:rPr>
          <w:b/>
          <w:bCs/>
          <w:sz w:val="24"/>
          <w:szCs w:val="24"/>
        </w:rPr>
      </w:pPr>
    </w:p>
    <w:tbl>
      <w:tblPr>
        <w:tblW w:w="6520" w:type="dxa"/>
        <w:tblInd w:w="55" w:type="dxa"/>
        <w:tblCellMar>
          <w:left w:w="70" w:type="dxa"/>
          <w:right w:w="70" w:type="dxa"/>
        </w:tblCellMar>
        <w:tblLook w:val="04A0" w:firstRow="1" w:lastRow="0" w:firstColumn="1" w:lastColumn="0" w:noHBand="0" w:noVBand="1"/>
      </w:tblPr>
      <w:tblGrid>
        <w:gridCol w:w="780"/>
        <w:gridCol w:w="3540"/>
        <w:gridCol w:w="2200"/>
      </w:tblGrid>
      <w:tr w:rsidR="00FE0E24" w:rsidRPr="000177DB" w:rsidTr="00184C0A">
        <w:trPr>
          <w:trHeight w:val="255"/>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FE0E24" w:rsidRPr="000177DB" w:rsidRDefault="00FE0E24" w:rsidP="00184C0A">
            <w:pPr>
              <w:widowControl w:val="0"/>
              <w:jc w:val="center"/>
              <w:rPr>
                <w:sz w:val="20"/>
                <w:szCs w:val="20"/>
              </w:rPr>
            </w:pPr>
            <w:r w:rsidRPr="000177DB">
              <w:rPr>
                <w:sz w:val="20"/>
                <w:szCs w:val="20"/>
              </w:rPr>
              <w:t>Grupo</w:t>
            </w:r>
          </w:p>
        </w:tc>
        <w:tc>
          <w:tcPr>
            <w:tcW w:w="3540" w:type="dxa"/>
            <w:tcBorders>
              <w:top w:val="single" w:sz="4" w:space="0" w:color="auto"/>
              <w:left w:val="nil"/>
              <w:bottom w:val="single" w:sz="4" w:space="0" w:color="auto"/>
              <w:right w:val="single" w:sz="4" w:space="0" w:color="auto"/>
            </w:tcBorders>
            <w:shd w:val="clear" w:color="auto" w:fill="auto"/>
            <w:hideMark/>
          </w:tcPr>
          <w:p w:rsidR="00FE0E24" w:rsidRPr="000177DB" w:rsidRDefault="00FE0E24" w:rsidP="00184C0A">
            <w:pPr>
              <w:widowControl w:val="0"/>
              <w:jc w:val="center"/>
              <w:rPr>
                <w:sz w:val="20"/>
                <w:szCs w:val="20"/>
              </w:rPr>
            </w:pPr>
            <w:r w:rsidRPr="000177DB">
              <w:rPr>
                <w:sz w:val="20"/>
                <w:szCs w:val="20"/>
              </w:rPr>
              <w:t>Denominación</w:t>
            </w:r>
          </w:p>
        </w:tc>
        <w:tc>
          <w:tcPr>
            <w:tcW w:w="2200" w:type="dxa"/>
            <w:tcBorders>
              <w:top w:val="single" w:sz="4" w:space="0" w:color="auto"/>
              <w:left w:val="nil"/>
              <w:bottom w:val="single" w:sz="4" w:space="0" w:color="auto"/>
              <w:right w:val="single" w:sz="4" w:space="0" w:color="auto"/>
            </w:tcBorders>
            <w:shd w:val="clear" w:color="auto" w:fill="auto"/>
            <w:hideMark/>
          </w:tcPr>
          <w:p w:rsidR="00FE0E24" w:rsidRPr="000177DB" w:rsidRDefault="00FE0E24" w:rsidP="00184C0A">
            <w:pPr>
              <w:widowControl w:val="0"/>
              <w:jc w:val="center"/>
              <w:rPr>
                <w:sz w:val="20"/>
                <w:szCs w:val="20"/>
              </w:rPr>
            </w:pPr>
            <w:r w:rsidRPr="000177DB">
              <w:rPr>
                <w:sz w:val="20"/>
                <w:szCs w:val="20"/>
              </w:rPr>
              <w:t>Importe en miles $</w:t>
            </w:r>
          </w:p>
        </w:tc>
      </w:tr>
      <w:tr w:rsidR="00FE0E24" w:rsidRPr="000177DB"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0177DB" w:rsidRDefault="00FE0E24" w:rsidP="00184C0A">
            <w:pPr>
              <w:widowControl w:val="0"/>
              <w:jc w:val="center"/>
              <w:rPr>
                <w:sz w:val="20"/>
                <w:szCs w:val="20"/>
              </w:rPr>
            </w:pPr>
            <w:r w:rsidRPr="000177DB">
              <w:rPr>
                <w:sz w:val="20"/>
                <w:szCs w:val="20"/>
              </w:rPr>
              <w:t>3</w:t>
            </w:r>
          </w:p>
        </w:tc>
        <w:tc>
          <w:tcPr>
            <w:tcW w:w="3540" w:type="dxa"/>
            <w:tcBorders>
              <w:top w:val="nil"/>
              <w:left w:val="nil"/>
              <w:bottom w:val="single" w:sz="4" w:space="0" w:color="auto"/>
              <w:right w:val="single" w:sz="4" w:space="0" w:color="auto"/>
            </w:tcBorders>
            <w:shd w:val="clear" w:color="auto" w:fill="auto"/>
            <w:hideMark/>
          </w:tcPr>
          <w:p w:rsidR="00FE0E24" w:rsidRPr="000177DB" w:rsidRDefault="00FE0E24" w:rsidP="00184C0A">
            <w:pPr>
              <w:widowControl w:val="0"/>
              <w:jc w:val="both"/>
              <w:rPr>
                <w:sz w:val="20"/>
                <w:szCs w:val="20"/>
              </w:rPr>
            </w:pPr>
            <w:r w:rsidRPr="000177DB">
              <w:rPr>
                <w:sz w:val="20"/>
                <w:szCs w:val="20"/>
              </w:rPr>
              <w:t xml:space="preserve">Bienes de Uso </w:t>
            </w:r>
          </w:p>
        </w:tc>
        <w:tc>
          <w:tcPr>
            <w:tcW w:w="2200" w:type="dxa"/>
            <w:tcBorders>
              <w:top w:val="nil"/>
              <w:left w:val="nil"/>
              <w:bottom w:val="single" w:sz="4" w:space="0" w:color="auto"/>
              <w:right w:val="single" w:sz="4" w:space="0" w:color="auto"/>
            </w:tcBorders>
            <w:shd w:val="clear" w:color="auto" w:fill="auto"/>
            <w:hideMark/>
          </w:tcPr>
          <w:p w:rsidR="00FE0E24" w:rsidRPr="000177DB" w:rsidRDefault="00FE0E24" w:rsidP="00184C0A">
            <w:pPr>
              <w:widowControl w:val="0"/>
              <w:jc w:val="right"/>
              <w:rPr>
                <w:sz w:val="20"/>
                <w:szCs w:val="20"/>
              </w:rPr>
            </w:pPr>
            <w:r w:rsidRPr="000177DB">
              <w:rPr>
                <w:sz w:val="20"/>
                <w:szCs w:val="20"/>
              </w:rPr>
              <w:t xml:space="preserve">                  291.36</w:t>
            </w:r>
            <w:r>
              <w:rPr>
                <w:sz w:val="20"/>
                <w:szCs w:val="20"/>
              </w:rPr>
              <w:t>3</w:t>
            </w:r>
            <w:r w:rsidRPr="000177DB">
              <w:rPr>
                <w:sz w:val="20"/>
                <w:szCs w:val="20"/>
              </w:rPr>
              <w:t xml:space="preserve">     </w:t>
            </w:r>
          </w:p>
        </w:tc>
      </w:tr>
      <w:tr w:rsidR="00FE0E24" w:rsidRPr="000177DB" w:rsidTr="00184C0A">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FE0E24" w:rsidRPr="000177DB" w:rsidRDefault="00FE0E24" w:rsidP="00184C0A">
            <w:pPr>
              <w:widowControl w:val="0"/>
              <w:jc w:val="center"/>
              <w:rPr>
                <w:sz w:val="20"/>
                <w:szCs w:val="20"/>
              </w:rPr>
            </w:pPr>
            <w:r w:rsidRPr="000177DB">
              <w:rPr>
                <w:sz w:val="20"/>
                <w:szCs w:val="20"/>
              </w:rPr>
              <w:t> </w:t>
            </w:r>
          </w:p>
        </w:tc>
        <w:tc>
          <w:tcPr>
            <w:tcW w:w="3540" w:type="dxa"/>
            <w:tcBorders>
              <w:top w:val="nil"/>
              <w:left w:val="nil"/>
              <w:bottom w:val="single" w:sz="4" w:space="0" w:color="auto"/>
              <w:right w:val="single" w:sz="4" w:space="0" w:color="auto"/>
            </w:tcBorders>
            <w:shd w:val="clear" w:color="auto" w:fill="auto"/>
            <w:hideMark/>
          </w:tcPr>
          <w:p w:rsidR="00FE0E24" w:rsidRPr="000177DB" w:rsidRDefault="00FE0E24" w:rsidP="00184C0A">
            <w:pPr>
              <w:widowControl w:val="0"/>
              <w:jc w:val="center"/>
              <w:rPr>
                <w:b/>
                <w:bCs/>
                <w:sz w:val="20"/>
                <w:szCs w:val="20"/>
              </w:rPr>
            </w:pPr>
            <w:r w:rsidRPr="000177DB">
              <w:rPr>
                <w:b/>
                <w:bCs/>
                <w:sz w:val="20"/>
                <w:szCs w:val="20"/>
              </w:rPr>
              <w:t>Total</w:t>
            </w:r>
          </w:p>
        </w:tc>
        <w:tc>
          <w:tcPr>
            <w:tcW w:w="2200" w:type="dxa"/>
            <w:tcBorders>
              <w:top w:val="nil"/>
              <w:left w:val="nil"/>
              <w:bottom w:val="single" w:sz="4" w:space="0" w:color="auto"/>
              <w:right w:val="single" w:sz="4" w:space="0" w:color="auto"/>
            </w:tcBorders>
            <w:shd w:val="clear" w:color="auto" w:fill="auto"/>
            <w:hideMark/>
          </w:tcPr>
          <w:p w:rsidR="00FE0E24" w:rsidRPr="000177DB" w:rsidRDefault="00FE0E24" w:rsidP="00184C0A">
            <w:pPr>
              <w:widowControl w:val="0"/>
              <w:jc w:val="right"/>
              <w:rPr>
                <w:b/>
                <w:sz w:val="20"/>
                <w:szCs w:val="20"/>
              </w:rPr>
            </w:pPr>
            <w:r w:rsidRPr="000177DB">
              <w:rPr>
                <w:b/>
                <w:sz w:val="20"/>
                <w:szCs w:val="20"/>
              </w:rPr>
              <w:t xml:space="preserve">                  291.36</w:t>
            </w:r>
            <w:r>
              <w:rPr>
                <w:b/>
                <w:sz w:val="20"/>
                <w:szCs w:val="20"/>
              </w:rPr>
              <w:t>3</w:t>
            </w:r>
            <w:r w:rsidRPr="000177DB">
              <w:rPr>
                <w:b/>
                <w:sz w:val="20"/>
                <w:szCs w:val="20"/>
              </w:rPr>
              <w:t xml:space="preserve">     </w:t>
            </w:r>
          </w:p>
        </w:tc>
      </w:tr>
      <w:tr w:rsidR="00FE0E24" w:rsidRPr="000177DB" w:rsidTr="00184C0A">
        <w:trPr>
          <w:trHeight w:val="270"/>
        </w:trPr>
        <w:tc>
          <w:tcPr>
            <w:tcW w:w="780" w:type="dxa"/>
            <w:tcBorders>
              <w:top w:val="nil"/>
              <w:left w:val="nil"/>
              <w:bottom w:val="nil"/>
              <w:right w:val="nil"/>
            </w:tcBorders>
            <w:shd w:val="clear" w:color="auto" w:fill="auto"/>
            <w:noWrap/>
            <w:vAlign w:val="bottom"/>
            <w:hideMark/>
          </w:tcPr>
          <w:p w:rsidR="00FE0E24" w:rsidRPr="000177DB" w:rsidRDefault="00FE0E24" w:rsidP="00184C0A">
            <w:pPr>
              <w:widowControl w:val="0"/>
              <w:jc w:val="both"/>
              <w:rPr>
                <w:sz w:val="20"/>
                <w:szCs w:val="20"/>
              </w:rPr>
            </w:pPr>
          </w:p>
        </w:tc>
        <w:tc>
          <w:tcPr>
            <w:tcW w:w="3540" w:type="dxa"/>
            <w:tcBorders>
              <w:top w:val="nil"/>
              <w:left w:val="nil"/>
              <w:bottom w:val="nil"/>
              <w:right w:val="nil"/>
            </w:tcBorders>
            <w:shd w:val="clear" w:color="auto" w:fill="auto"/>
            <w:noWrap/>
            <w:vAlign w:val="bottom"/>
            <w:hideMark/>
          </w:tcPr>
          <w:p w:rsidR="00FE0E24" w:rsidRPr="000177DB" w:rsidRDefault="00FE0E24" w:rsidP="00184C0A">
            <w:pPr>
              <w:widowControl w:val="0"/>
              <w:rPr>
                <w:sz w:val="20"/>
                <w:szCs w:val="20"/>
              </w:rPr>
            </w:pPr>
          </w:p>
        </w:tc>
        <w:tc>
          <w:tcPr>
            <w:tcW w:w="2200" w:type="dxa"/>
            <w:tcBorders>
              <w:top w:val="nil"/>
              <w:left w:val="nil"/>
              <w:bottom w:val="nil"/>
              <w:right w:val="nil"/>
            </w:tcBorders>
            <w:shd w:val="clear" w:color="auto" w:fill="auto"/>
            <w:noWrap/>
            <w:vAlign w:val="bottom"/>
            <w:hideMark/>
          </w:tcPr>
          <w:p w:rsidR="00FE0E24" w:rsidRPr="000177DB" w:rsidRDefault="00FE0E24" w:rsidP="00184C0A">
            <w:pPr>
              <w:widowControl w:val="0"/>
              <w:rPr>
                <w:b/>
                <w:sz w:val="20"/>
                <w:szCs w:val="20"/>
              </w:rPr>
            </w:pPr>
          </w:p>
        </w:tc>
      </w:tr>
      <w:tr w:rsidR="00FE0E24" w:rsidRPr="00B67484" w:rsidTr="00184C0A">
        <w:trPr>
          <w:trHeight w:val="270"/>
        </w:trPr>
        <w:tc>
          <w:tcPr>
            <w:tcW w:w="780" w:type="dxa"/>
            <w:tcBorders>
              <w:top w:val="nil"/>
              <w:left w:val="nil"/>
              <w:bottom w:val="nil"/>
              <w:right w:val="nil"/>
            </w:tcBorders>
            <w:shd w:val="clear" w:color="auto" w:fill="auto"/>
            <w:noWrap/>
            <w:vAlign w:val="bottom"/>
            <w:hideMark/>
          </w:tcPr>
          <w:p w:rsidR="00FE0E24" w:rsidRPr="000177DB" w:rsidRDefault="00FE0E24" w:rsidP="00184C0A">
            <w:pPr>
              <w:widowControl w:val="0"/>
              <w:jc w:val="both"/>
              <w:rPr>
                <w:sz w:val="20"/>
                <w:szCs w:val="20"/>
              </w:rPr>
            </w:pPr>
          </w:p>
        </w:tc>
        <w:tc>
          <w:tcPr>
            <w:tcW w:w="3540" w:type="dxa"/>
            <w:tcBorders>
              <w:top w:val="single" w:sz="8" w:space="0" w:color="auto"/>
              <w:left w:val="single" w:sz="8" w:space="0" w:color="auto"/>
              <w:bottom w:val="single" w:sz="8" w:space="0" w:color="auto"/>
              <w:right w:val="nil"/>
            </w:tcBorders>
            <w:shd w:val="clear" w:color="auto" w:fill="auto"/>
            <w:noWrap/>
            <w:vAlign w:val="bottom"/>
            <w:hideMark/>
          </w:tcPr>
          <w:p w:rsidR="00FE0E24" w:rsidRPr="000177DB" w:rsidRDefault="00FE0E24" w:rsidP="00184C0A">
            <w:pPr>
              <w:widowControl w:val="0"/>
              <w:rPr>
                <w:b/>
                <w:bCs/>
                <w:sz w:val="20"/>
                <w:szCs w:val="20"/>
              </w:rPr>
            </w:pPr>
            <w:r w:rsidRPr="000177DB">
              <w:rPr>
                <w:b/>
                <w:bCs/>
                <w:sz w:val="20"/>
                <w:szCs w:val="20"/>
              </w:rPr>
              <w:t xml:space="preserve">Total de Egresos en </w:t>
            </w:r>
            <w:r>
              <w:rPr>
                <w:b/>
                <w:bCs/>
                <w:sz w:val="20"/>
                <w:szCs w:val="20"/>
              </w:rPr>
              <w:t xml:space="preserve">miles de </w:t>
            </w:r>
            <w:r w:rsidRPr="000177DB">
              <w:rPr>
                <w:b/>
                <w:bCs/>
                <w:sz w:val="20"/>
                <w:szCs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FE0E24" w:rsidRPr="00B67484" w:rsidRDefault="00FE0E24" w:rsidP="00184C0A">
            <w:pPr>
              <w:widowControl w:val="0"/>
              <w:rPr>
                <w:b/>
                <w:bCs/>
                <w:sz w:val="20"/>
                <w:szCs w:val="20"/>
              </w:rPr>
            </w:pPr>
            <w:r w:rsidRPr="000177DB">
              <w:rPr>
                <w:b/>
                <w:bCs/>
                <w:sz w:val="20"/>
                <w:szCs w:val="20"/>
              </w:rPr>
              <w:t>9.861.873</w:t>
            </w:r>
            <w:r w:rsidRPr="00B67484">
              <w:rPr>
                <w:b/>
                <w:bCs/>
                <w:sz w:val="20"/>
                <w:szCs w:val="20"/>
              </w:rPr>
              <w:t xml:space="preserve">  </w:t>
            </w:r>
          </w:p>
        </w:tc>
      </w:tr>
    </w:tbl>
    <w:p w:rsidR="00FE0E24" w:rsidRPr="0065541D" w:rsidRDefault="00FE0E24" w:rsidP="006355F7">
      <w:pPr>
        <w:pStyle w:val="Piedepgina"/>
        <w:tabs>
          <w:tab w:val="clear" w:pos="4252"/>
          <w:tab w:val="clear" w:pos="8504"/>
          <w:tab w:val="left" w:pos="284"/>
        </w:tabs>
        <w:jc w:val="both"/>
        <w:rPr>
          <w:b/>
          <w:bCs/>
          <w:sz w:val="24"/>
          <w:szCs w:val="24"/>
          <w:highlight w:val="yellow"/>
        </w:rPr>
      </w:pPr>
    </w:p>
    <w:p w:rsidR="00FE0E24" w:rsidRDefault="00FE0E24" w:rsidP="00B20A76">
      <w:pPr>
        <w:pStyle w:val="Piedepgina"/>
        <w:tabs>
          <w:tab w:val="clear" w:pos="4252"/>
          <w:tab w:val="clear" w:pos="8504"/>
        </w:tabs>
        <w:jc w:val="both"/>
        <w:rPr>
          <w:b/>
          <w:bCs/>
          <w:sz w:val="24"/>
          <w:szCs w:val="24"/>
        </w:rPr>
      </w:pPr>
      <w:r>
        <w:rPr>
          <w:b/>
          <w:bCs/>
          <w:sz w:val="24"/>
          <w:szCs w:val="24"/>
        </w:rPr>
        <w:t xml:space="preserve">   1.3) Análisis del Resultado Presupuestal</w:t>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977"/>
      </w:tblGrid>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center"/>
              <w:rPr>
                <w:bCs/>
                <w:sz w:val="20"/>
                <w:szCs w:val="20"/>
              </w:rPr>
            </w:pPr>
            <w:r w:rsidRPr="003F16CF">
              <w:rPr>
                <w:bCs/>
                <w:sz w:val="20"/>
                <w:szCs w:val="20"/>
              </w:rPr>
              <w:t>CONCEPTO</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center"/>
              <w:rPr>
                <w:bCs/>
                <w:sz w:val="20"/>
                <w:szCs w:val="20"/>
              </w:rPr>
            </w:pPr>
            <w:r w:rsidRPr="003F16CF">
              <w:rPr>
                <w:bCs/>
                <w:sz w:val="20"/>
                <w:szCs w:val="20"/>
              </w:rPr>
              <w:t xml:space="preserve">IMPORTES EN MILES DE </w:t>
            </w:r>
            <w:r>
              <w:rPr>
                <w:bCs/>
                <w:sz w:val="20"/>
                <w:szCs w:val="20"/>
              </w:rPr>
              <w:t>$</w:t>
            </w:r>
          </w:p>
        </w:tc>
      </w:tr>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both"/>
              <w:rPr>
                <w:sz w:val="20"/>
                <w:szCs w:val="20"/>
              </w:rPr>
            </w:pPr>
            <w:r w:rsidRPr="003F16CF">
              <w:rPr>
                <w:b/>
                <w:bCs/>
                <w:sz w:val="20"/>
                <w:szCs w:val="20"/>
              </w:rPr>
              <w:t>INGRESOS</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
                <w:bCs/>
                <w:sz w:val="20"/>
                <w:szCs w:val="20"/>
              </w:rPr>
            </w:pPr>
            <w:r w:rsidRPr="003F16CF">
              <w:rPr>
                <w:b/>
                <w:bCs/>
                <w:sz w:val="20"/>
                <w:szCs w:val="20"/>
              </w:rPr>
              <w:t>9.864.222</w:t>
            </w:r>
          </w:p>
        </w:tc>
      </w:tr>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both"/>
              <w:rPr>
                <w:b/>
                <w:bCs/>
                <w:sz w:val="20"/>
                <w:szCs w:val="20"/>
              </w:rPr>
            </w:pPr>
            <w:r w:rsidRPr="003F16CF">
              <w:rPr>
                <w:b/>
                <w:bCs/>
                <w:sz w:val="20"/>
                <w:szCs w:val="20"/>
              </w:rPr>
              <w:t>EGRESOS</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
                <w:bCs/>
                <w:sz w:val="20"/>
                <w:szCs w:val="20"/>
              </w:rPr>
            </w:pPr>
            <w:r w:rsidRPr="003F16CF">
              <w:rPr>
                <w:b/>
                <w:bCs/>
                <w:sz w:val="20"/>
                <w:szCs w:val="20"/>
              </w:rPr>
              <w:t>9.861.873</w:t>
            </w:r>
          </w:p>
        </w:tc>
      </w:tr>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both"/>
              <w:rPr>
                <w:sz w:val="20"/>
                <w:szCs w:val="20"/>
              </w:rPr>
            </w:pPr>
            <w:r w:rsidRPr="003F16CF">
              <w:rPr>
                <w:sz w:val="20"/>
                <w:szCs w:val="20"/>
              </w:rPr>
              <w:t>Egresos Operativos</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sz w:val="20"/>
                <w:szCs w:val="20"/>
              </w:rPr>
            </w:pPr>
            <w:r w:rsidRPr="003F16CF">
              <w:rPr>
                <w:sz w:val="20"/>
                <w:szCs w:val="20"/>
              </w:rPr>
              <w:t>3.720.986</w:t>
            </w:r>
          </w:p>
        </w:tc>
      </w:tr>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both"/>
              <w:rPr>
                <w:sz w:val="20"/>
                <w:szCs w:val="20"/>
              </w:rPr>
            </w:pPr>
            <w:r w:rsidRPr="003F16CF">
              <w:rPr>
                <w:sz w:val="20"/>
                <w:szCs w:val="20"/>
              </w:rPr>
              <w:t>Operaciones Financieras</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sz w:val="20"/>
                <w:szCs w:val="20"/>
              </w:rPr>
            </w:pPr>
            <w:r w:rsidRPr="003F16CF">
              <w:rPr>
                <w:sz w:val="20"/>
                <w:szCs w:val="20"/>
              </w:rPr>
              <w:t>5.849.52</w:t>
            </w:r>
            <w:r>
              <w:rPr>
                <w:sz w:val="20"/>
                <w:szCs w:val="20"/>
              </w:rPr>
              <w:t>4</w:t>
            </w:r>
          </w:p>
        </w:tc>
      </w:tr>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both"/>
              <w:rPr>
                <w:sz w:val="20"/>
                <w:szCs w:val="20"/>
              </w:rPr>
            </w:pPr>
            <w:r w:rsidRPr="003F16CF">
              <w:rPr>
                <w:sz w:val="20"/>
                <w:szCs w:val="20"/>
              </w:rPr>
              <w:t>Inversiones</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sz w:val="20"/>
                <w:szCs w:val="20"/>
              </w:rPr>
            </w:pPr>
            <w:r w:rsidRPr="003F16CF">
              <w:rPr>
                <w:sz w:val="20"/>
                <w:szCs w:val="20"/>
              </w:rPr>
              <w:t>291.36</w:t>
            </w:r>
            <w:r>
              <w:rPr>
                <w:sz w:val="20"/>
                <w:szCs w:val="20"/>
              </w:rPr>
              <w:t>3</w:t>
            </w:r>
          </w:p>
        </w:tc>
      </w:tr>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
                <w:bCs/>
                <w:sz w:val="20"/>
                <w:szCs w:val="20"/>
              </w:rPr>
            </w:pPr>
            <w:r w:rsidRPr="003F16CF">
              <w:rPr>
                <w:b/>
                <w:bCs/>
                <w:sz w:val="20"/>
                <w:szCs w:val="20"/>
              </w:rPr>
              <w:t>Superávit</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
                <w:bCs/>
                <w:sz w:val="20"/>
                <w:szCs w:val="20"/>
              </w:rPr>
            </w:pPr>
            <w:r w:rsidRPr="003F16CF">
              <w:rPr>
                <w:b/>
                <w:bCs/>
                <w:sz w:val="20"/>
                <w:szCs w:val="20"/>
              </w:rPr>
              <w:t>2.349</w:t>
            </w:r>
          </w:p>
        </w:tc>
      </w:tr>
      <w:tr w:rsidR="00FE0E24" w:rsidRPr="003F16CF"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Cs/>
                <w:sz w:val="20"/>
                <w:szCs w:val="20"/>
              </w:rPr>
            </w:pPr>
            <w:r w:rsidRPr="003F16CF">
              <w:rPr>
                <w:bCs/>
                <w:sz w:val="20"/>
                <w:szCs w:val="20"/>
              </w:rPr>
              <w:t>Financiamiento CAF</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Cs/>
                <w:sz w:val="20"/>
                <w:szCs w:val="20"/>
              </w:rPr>
            </w:pPr>
            <w:r w:rsidRPr="003F16CF">
              <w:rPr>
                <w:bCs/>
                <w:sz w:val="20"/>
                <w:szCs w:val="20"/>
              </w:rPr>
              <w:t>3.625</w:t>
            </w:r>
          </w:p>
        </w:tc>
      </w:tr>
      <w:tr w:rsidR="00FE0E24" w:rsidTr="00184C0A">
        <w:tc>
          <w:tcPr>
            <w:tcW w:w="2518"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
                <w:bCs/>
                <w:sz w:val="20"/>
                <w:szCs w:val="20"/>
              </w:rPr>
            </w:pPr>
            <w:r w:rsidRPr="003F16CF">
              <w:rPr>
                <w:b/>
                <w:bCs/>
                <w:sz w:val="20"/>
                <w:szCs w:val="20"/>
              </w:rPr>
              <w:t>Superávit</w:t>
            </w:r>
          </w:p>
        </w:tc>
        <w:tc>
          <w:tcPr>
            <w:tcW w:w="2977" w:type="dxa"/>
            <w:tcBorders>
              <w:top w:val="single" w:sz="4" w:space="0" w:color="auto"/>
              <w:left w:val="single" w:sz="4" w:space="0" w:color="auto"/>
              <w:bottom w:val="single" w:sz="4" w:space="0" w:color="auto"/>
              <w:right w:val="single" w:sz="4" w:space="0" w:color="auto"/>
            </w:tcBorders>
          </w:tcPr>
          <w:p w:rsidR="00FE0E24" w:rsidRPr="003F16CF" w:rsidRDefault="00FE0E24" w:rsidP="00184C0A">
            <w:pPr>
              <w:spacing w:line="360" w:lineRule="auto"/>
              <w:jc w:val="right"/>
              <w:rPr>
                <w:b/>
                <w:bCs/>
                <w:sz w:val="20"/>
                <w:szCs w:val="20"/>
              </w:rPr>
            </w:pPr>
            <w:r w:rsidRPr="003F16CF">
              <w:rPr>
                <w:b/>
                <w:bCs/>
                <w:sz w:val="20"/>
                <w:szCs w:val="20"/>
              </w:rPr>
              <w:t>5.974</w:t>
            </w:r>
          </w:p>
        </w:tc>
      </w:tr>
    </w:tbl>
    <w:p w:rsidR="00FE0E24" w:rsidRDefault="00FE0E24" w:rsidP="006355F7">
      <w:pPr>
        <w:pStyle w:val="Piedepgina"/>
        <w:tabs>
          <w:tab w:val="clear" w:pos="4252"/>
          <w:tab w:val="clear" w:pos="8504"/>
        </w:tabs>
        <w:spacing w:line="360" w:lineRule="auto"/>
        <w:jc w:val="both"/>
        <w:rPr>
          <w:sz w:val="24"/>
          <w:szCs w:val="24"/>
        </w:rPr>
      </w:pPr>
    </w:p>
    <w:p w:rsidR="00FE0E24" w:rsidRDefault="00FE0E24" w:rsidP="006355F7">
      <w:pPr>
        <w:pStyle w:val="Piedepgina"/>
        <w:tabs>
          <w:tab w:val="clear" w:pos="4252"/>
          <w:tab w:val="clear" w:pos="8504"/>
        </w:tabs>
        <w:spacing w:line="360" w:lineRule="auto"/>
        <w:jc w:val="both"/>
        <w:rPr>
          <w:sz w:val="24"/>
          <w:szCs w:val="24"/>
        </w:rPr>
      </w:pPr>
    </w:p>
    <w:p w:rsidR="00FE0E24" w:rsidRDefault="00FE0E24" w:rsidP="006355F7">
      <w:pPr>
        <w:pStyle w:val="Piedepgina"/>
        <w:tabs>
          <w:tab w:val="clear" w:pos="4252"/>
          <w:tab w:val="clear" w:pos="8504"/>
        </w:tabs>
        <w:spacing w:line="360" w:lineRule="auto"/>
        <w:jc w:val="both"/>
        <w:rPr>
          <w:sz w:val="24"/>
          <w:szCs w:val="24"/>
        </w:rPr>
      </w:pPr>
      <w:r>
        <w:rPr>
          <w:sz w:val="24"/>
          <w:szCs w:val="24"/>
        </w:rPr>
        <w:t xml:space="preserve"> </w:t>
      </w:r>
    </w:p>
    <w:p w:rsidR="00FE0E24" w:rsidRDefault="00FE0E24" w:rsidP="006355F7">
      <w:pPr>
        <w:pStyle w:val="Piedepgina"/>
        <w:tabs>
          <w:tab w:val="clear" w:pos="4252"/>
          <w:tab w:val="clear" w:pos="8504"/>
        </w:tabs>
        <w:spacing w:line="360" w:lineRule="auto"/>
        <w:jc w:val="both"/>
        <w:rPr>
          <w:b/>
          <w:bCs/>
          <w:sz w:val="24"/>
          <w:szCs w:val="24"/>
        </w:rPr>
      </w:pPr>
    </w:p>
    <w:p w:rsidR="00FE0E24" w:rsidRDefault="00FE0E24" w:rsidP="006355F7">
      <w:pPr>
        <w:pStyle w:val="Piedepgina"/>
        <w:tabs>
          <w:tab w:val="clear" w:pos="4252"/>
          <w:tab w:val="clear" w:pos="8504"/>
        </w:tabs>
        <w:spacing w:line="360" w:lineRule="auto"/>
        <w:jc w:val="both"/>
        <w:rPr>
          <w:b/>
          <w:bCs/>
          <w:sz w:val="24"/>
          <w:szCs w:val="24"/>
        </w:rPr>
      </w:pPr>
    </w:p>
    <w:p w:rsidR="00FE0E24" w:rsidRDefault="00FE0E24" w:rsidP="006355F7">
      <w:pPr>
        <w:pStyle w:val="Piedepgina"/>
        <w:tabs>
          <w:tab w:val="clear" w:pos="4252"/>
          <w:tab w:val="clear" w:pos="8504"/>
        </w:tabs>
        <w:spacing w:line="360" w:lineRule="auto"/>
        <w:jc w:val="both"/>
        <w:rPr>
          <w:b/>
          <w:bCs/>
          <w:sz w:val="24"/>
          <w:szCs w:val="24"/>
        </w:rPr>
      </w:pPr>
    </w:p>
    <w:p w:rsidR="00FE0E24" w:rsidRDefault="00FE0E24" w:rsidP="006355F7">
      <w:pPr>
        <w:pStyle w:val="Piedepgina"/>
        <w:tabs>
          <w:tab w:val="clear" w:pos="4252"/>
          <w:tab w:val="clear" w:pos="8504"/>
        </w:tabs>
        <w:spacing w:line="360" w:lineRule="auto"/>
        <w:jc w:val="both"/>
        <w:rPr>
          <w:b/>
          <w:bCs/>
          <w:sz w:val="24"/>
          <w:szCs w:val="24"/>
        </w:rPr>
      </w:pPr>
    </w:p>
    <w:p w:rsidR="00FE0E24" w:rsidRDefault="00FE0E24" w:rsidP="006355F7">
      <w:pPr>
        <w:pStyle w:val="Piedepgina"/>
        <w:tabs>
          <w:tab w:val="clear" w:pos="4252"/>
          <w:tab w:val="clear" w:pos="8504"/>
        </w:tabs>
        <w:spacing w:line="360" w:lineRule="auto"/>
        <w:jc w:val="both"/>
        <w:rPr>
          <w:b/>
          <w:bCs/>
          <w:sz w:val="24"/>
          <w:szCs w:val="24"/>
        </w:rPr>
      </w:pPr>
    </w:p>
    <w:p w:rsidR="00FE0E24" w:rsidRDefault="00FE0E24" w:rsidP="006355F7">
      <w:pPr>
        <w:pStyle w:val="Piedepgina"/>
        <w:tabs>
          <w:tab w:val="clear" w:pos="4252"/>
          <w:tab w:val="clear" w:pos="8504"/>
        </w:tabs>
        <w:spacing w:line="360" w:lineRule="auto"/>
        <w:jc w:val="both"/>
        <w:rPr>
          <w:b/>
          <w:bCs/>
          <w:sz w:val="24"/>
          <w:szCs w:val="24"/>
        </w:rPr>
      </w:pPr>
    </w:p>
    <w:p w:rsidR="00FE0E24" w:rsidRDefault="00FE0E24" w:rsidP="006355F7">
      <w:pPr>
        <w:pStyle w:val="Piedepgina"/>
        <w:tabs>
          <w:tab w:val="clear" w:pos="4252"/>
          <w:tab w:val="clear" w:pos="8504"/>
        </w:tabs>
        <w:spacing w:line="360" w:lineRule="auto"/>
        <w:jc w:val="both"/>
        <w:rPr>
          <w:sz w:val="24"/>
          <w:szCs w:val="24"/>
        </w:rPr>
      </w:pPr>
      <w:r>
        <w:rPr>
          <w:b/>
          <w:bCs/>
          <w:sz w:val="24"/>
          <w:szCs w:val="24"/>
        </w:rPr>
        <w:t>1.4)</w:t>
      </w:r>
      <w:r>
        <w:rPr>
          <w:sz w:val="24"/>
          <w:szCs w:val="24"/>
        </w:rPr>
        <w:t xml:space="preserve"> Los ingresos y egresos previstos fueron calculados a nivel de precios de enero-junio 2018, a un tipo de cambio de $ 29 por dólar americano y un índice de precios al consumo de 180 (con base año Diciembre 2010).</w:t>
      </w:r>
    </w:p>
    <w:p w:rsidR="00FE0E24" w:rsidRDefault="00FE0E24" w:rsidP="006355F7">
      <w:pPr>
        <w:pStyle w:val="Sangradetextonormal"/>
      </w:pPr>
      <w:r>
        <w:t>2</w:t>
      </w:r>
      <w:r w:rsidRPr="00826D2F">
        <w:t>) CUMPLIMIENTO DE NORMAS CONSTITUCIONALES, LEGALES Y REGLAMENTARIAS</w:t>
      </w:r>
    </w:p>
    <w:p w:rsidR="00FE0E24" w:rsidRPr="00707378" w:rsidRDefault="00FE0E24" w:rsidP="006355F7">
      <w:pPr>
        <w:spacing w:line="360" w:lineRule="auto"/>
        <w:jc w:val="both"/>
        <w:rPr>
          <w:lang w:val="es-MX"/>
        </w:rPr>
      </w:pPr>
      <w:r>
        <w:rPr>
          <w:b/>
          <w:bCs/>
          <w:lang w:val="es-MX"/>
        </w:rPr>
        <w:t>2</w:t>
      </w:r>
      <w:r w:rsidRPr="00826D2F">
        <w:rPr>
          <w:b/>
          <w:bCs/>
          <w:lang w:val="es-MX"/>
        </w:rPr>
        <w:t>.1)</w:t>
      </w:r>
      <w:r>
        <w:rPr>
          <w:lang w:val="es-MX"/>
        </w:rPr>
        <w:t xml:space="preserve"> </w:t>
      </w:r>
      <w:r w:rsidRPr="00707378">
        <w:rPr>
          <w:lang w:val="es-MX"/>
        </w:rPr>
        <w:t>El Proyecto de Presupuesto para el ejercicio</w:t>
      </w:r>
      <w:r>
        <w:rPr>
          <w:lang w:val="es-MX"/>
        </w:rPr>
        <w:t xml:space="preserve"> 2019 del Banco Hipotecario del </w:t>
      </w:r>
      <w:r w:rsidRPr="00707378">
        <w:rPr>
          <w:lang w:val="es-MX"/>
        </w:rPr>
        <w:t>Uruguay, comprende los Presupue</w:t>
      </w:r>
      <w:r>
        <w:rPr>
          <w:lang w:val="es-MX"/>
        </w:rPr>
        <w:t xml:space="preserve">stos de Recursos, Operativo, de </w:t>
      </w:r>
      <w:r w:rsidRPr="00707378">
        <w:rPr>
          <w:lang w:val="es-MX"/>
        </w:rPr>
        <w:t>Operaciones Financieras y de Inve</w:t>
      </w:r>
      <w:r>
        <w:rPr>
          <w:lang w:val="es-MX"/>
        </w:rPr>
        <w:t xml:space="preserve">rsiones, aprobado en sesión del </w:t>
      </w:r>
      <w:r w:rsidRPr="00707378">
        <w:rPr>
          <w:lang w:val="es-MX"/>
        </w:rPr>
        <w:t>Directorio el 25 de julio de 2018;</w:t>
      </w:r>
    </w:p>
    <w:p w:rsidR="00FE0E24" w:rsidRPr="00707378" w:rsidRDefault="00FE0E24" w:rsidP="006355F7">
      <w:pPr>
        <w:spacing w:line="360" w:lineRule="auto"/>
        <w:jc w:val="both"/>
        <w:rPr>
          <w:lang w:val="es-MX"/>
        </w:rPr>
      </w:pPr>
      <w:r w:rsidRPr="00F16F2F">
        <w:rPr>
          <w:b/>
          <w:lang w:val="es-MX"/>
        </w:rPr>
        <w:t>2.2)</w:t>
      </w:r>
      <w:r w:rsidRPr="00707378">
        <w:rPr>
          <w:lang w:val="es-MX"/>
        </w:rPr>
        <w:t xml:space="preserve"> El Proyecto referido ingresó a este Tribunal</w:t>
      </w:r>
      <w:r>
        <w:rPr>
          <w:lang w:val="es-MX"/>
        </w:rPr>
        <w:t xml:space="preserve"> para su consideración el 26 de </w:t>
      </w:r>
      <w:r w:rsidRPr="00707378">
        <w:rPr>
          <w:lang w:val="es-MX"/>
        </w:rPr>
        <w:t>julio de 2018, en el plazo previsto por el artícu</w:t>
      </w:r>
      <w:r>
        <w:rPr>
          <w:lang w:val="es-MX"/>
        </w:rPr>
        <w:t xml:space="preserve">lo 221 de la Constitución de la </w:t>
      </w:r>
      <w:r w:rsidRPr="00707378">
        <w:rPr>
          <w:lang w:val="es-MX"/>
        </w:rPr>
        <w:t>República;</w:t>
      </w:r>
    </w:p>
    <w:p w:rsidR="00FE0E24" w:rsidRPr="00707378" w:rsidRDefault="00FE0E24" w:rsidP="006355F7">
      <w:pPr>
        <w:spacing w:line="360" w:lineRule="auto"/>
        <w:jc w:val="both"/>
        <w:rPr>
          <w:lang w:val="es-MX"/>
        </w:rPr>
      </w:pPr>
      <w:r w:rsidRPr="00F16F2F">
        <w:rPr>
          <w:b/>
          <w:lang w:val="es-MX"/>
        </w:rPr>
        <w:t xml:space="preserve">2.3) </w:t>
      </w:r>
      <w:r w:rsidRPr="00707378">
        <w:rPr>
          <w:lang w:val="es-MX"/>
        </w:rPr>
        <w:t>De acuerdo con lo establecido por la Ordenanza Nº 51 de 22 de no</w:t>
      </w:r>
      <w:r>
        <w:rPr>
          <w:lang w:val="es-MX"/>
        </w:rPr>
        <w:t xml:space="preserve">viembre </w:t>
      </w:r>
      <w:r w:rsidRPr="00707378">
        <w:rPr>
          <w:lang w:val="es-MX"/>
        </w:rPr>
        <w:t>de 1972, se le dio entrada oficial a este T</w:t>
      </w:r>
      <w:r>
        <w:rPr>
          <w:lang w:val="es-MX"/>
        </w:rPr>
        <w:t xml:space="preserve">ribunal en sesión de fecha 1 de </w:t>
      </w:r>
      <w:r w:rsidRPr="00707378">
        <w:rPr>
          <w:lang w:val="es-MX"/>
        </w:rPr>
        <w:t>agosto de 2018;</w:t>
      </w:r>
    </w:p>
    <w:p w:rsidR="00FE0E24" w:rsidRPr="00707378" w:rsidRDefault="00FE0E24" w:rsidP="006355F7">
      <w:pPr>
        <w:spacing w:line="360" w:lineRule="auto"/>
        <w:jc w:val="both"/>
        <w:rPr>
          <w:lang w:val="es-MX"/>
        </w:rPr>
      </w:pPr>
      <w:r w:rsidRPr="00F16F2F">
        <w:rPr>
          <w:b/>
          <w:lang w:val="es-MX"/>
        </w:rPr>
        <w:t>2.4)</w:t>
      </w:r>
      <w:r w:rsidRPr="00707378">
        <w:rPr>
          <w:lang w:val="es-MX"/>
        </w:rPr>
        <w:t xml:space="preserve"> El Proyecto se presenta en forma comparat</w:t>
      </w:r>
      <w:r>
        <w:rPr>
          <w:lang w:val="es-MX"/>
        </w:rPr>
        <w:t xml:space="preserve">iva con el presupuesto vigente, </w:t>
      </w:r>
      <w:r w:rsidRPr="00707378">
        <w:rPr>
          <w:lang w:val="es-MX"/>
        </w:rPr>
        <w:t xml:space="preserve">de acuerdo con lo dispuesto por el </w:t>
      </w:r>
      <w:r>
        <w:rPr>
          <w:lang w:val="es-MX"/>
        </w:rPr>
        <w:t xml:space="preserve">inciso 3 del artículo 216 de la </w:t>
      </w:r>
      <w:r w:rsidRPr="00707378">
        <w:rPr>
          <w:lang w:val="es-MX"/>
        </w:rPr>
        <w:t>Constitución de la República;</w:t>
      </w:r>
    </w:p>
    <w:p w:rsidR="00FE0E24" w:rsidRPr="00707378" w:rsidRDefault="00FE0E24" w:rsidP="006355F7">
      <w:pPr>
        <w:spacing w:line="360" w:lineRule="auto"/>
        <w:jc w:val="both"/>
        <w:rPr>
          <w:lang w:val="es-MX"/>
        </w:rPr>
      </w:pPr>
      <w:r w:rsidRPr="00F16F2F">
        <w:rPr>
          <w:b/>
          <w:lang w:val="es-MX"/>
        </w:rPr>
        <w:t>2.5)</w:t>
      </w:r>
      <w:r w:rsidRPr="00707378">
        <w:rPr>
          <w:lang w:val="es-MX"/>
        </w:rPr>
        <w:t xml:space="preserve"> Se acompaña el informe circunstancia</w:t>
      </w:r>
      <w:r>
        <w:rPr>
          <w:lang w:val="es-MX"/>
        </w:rPr>
        <w:t xml:space="preserve">do sobre el cumplimiento de las </w:t>
      </w:r>
      <w:r w:rsidRPr="00707378">
        <w:rPr>
          <w:lang w:val="es-MX"/>
        </w:rPr>
        <w:t>metas y programas, exigido por el artículo 4</w:t>
      </w:r>
      <w:r>
        <w:rPr>
          <w:lang w:val="es-MX"/>
        </w:rPr>
        <w:t xml:space="preserve"> de la Ley Nº 16.211 de fecha 1 </w:t>
      </w:r>
      <w:r w:rsidRPr="00707378">
        <w:rPr>
          <w:lang w:val="es-MX"/>
        </w:rPr>
        <w:t>de octubre de 1991;</w:t>
      </w:r>
    </w:p>
    <w:p w:rsidR="00FE0E24" w:rsidRPr="00707378" w:rsidRDefault="00FE0E24" w:rsidP="006355F7">
      <w:pPr>
        <w:spacing w:line="360" w:lineRule="auto"/>
        <w:jc w:val="both"/>
        <w:rPr>
          <w:lang w:val="es-MX"/>
        </w:rPr>
      </w:pPr>
      <w:r w:rsidRPr="00F16F2F">
        <w:rPr>
          <w:b/>
          <w:lang w:val="es-MX"/>
        </w:rPr>
        <w:t>2.6)</w:t>
      </w:r>
      <w:r w:rsidRPr="00707378">
        <w:rPr>
          <w:lang w:val="es-MX"/>
        </w:rPr>
        <w:t xml:space="preserve"> El artículo 3 que regula las retribuciones de los integrantes del Dire</w:t>
      </w:r>
      <w:r>
        <w:rPr>
          <w:lang w:val="es-MX"/>
        </w:rPr>
        <w:t xml:space="preserve">ctorio, a </w:t>
      </w:r>
      <w:r w:rsidRPr="00707378">
        <w:rPr>
          <w:lang w:val="es-MX"/>
        </w:rPr>
        <w:t>cuyos efectos deberá atender a lo dispuesto p</w:t>
      </w:r>
      <w:r w:rsidR="00DF0EEE">
        <w:rPr>
          <w:lang w:val="es-MX"/>
        </w:rPr>
        <w:t>or los artículos 4 de la Ley Nº</w:t>
      </w:r>
      <w:r w:rsidRPr="00707378">
        <w:rPr>
          <w:lang w:val="es-MX"/>
        </w:rPr>
        <w:t xml:space="preserve">16.462 de 11 de enero de 1994 y </w:t>
      </w:r>
      <w:r>
        <w:rPr>
          <w:lang w:val="es-MX"/>
        </w:rPr>
        <w:t xml:space="preserve">21 de la Ley Nº 17.556 de 18 de setiembre de </w:t>
      </w:r>
      <w:r w:rsidRPr="00707378">
        <w:rPr>
          <w:lang w:val="es-MX"/>
        </w:rPr>
        <w:t xml:space="preserve">2002, en la redacción dada </w:t>
      </w:r>
      <w:r>
        <w:rPr>
          <w:lang w:val="es-MX"/>
        </w:rPr>
        <w:t xml:space="preserve">por el artículo 10 de la Ley Nº 19.438 de 14 de </w:t>
      </w:r>
      <w:r w:rsidRPr="00707378">
        <w:rPr>
          <w:lang w:val="es-MX"/>
        </w:rPr>
        <w:t xml:space="preserve">octubre de 2016. Asimismo, </w:t>
      </w:r>
      <w:r>
        <w:rPr>
          <w:lang w:val="es-MX"/>
        </w:rPr>
        <w:t xml:space="preserve">para el pago del subsidio a los </w:t>
      </w:r>
      <w:r w:rsidRPr="00707378">
        <w:rPr>
          <w:lang w:val="es-MX"/>
        </w:rPr>
        <w:t>ex Directores establecido en el último i</w:t>
      </w:r>
      <w:r>
        <w:rPr>
          <w:lang w:val="es-MX"/>
        </w:rPr>
        <w:t xml:space="preserve">nciso de dicho artículo, deberá </w:t>
      </w:r>
      <w:r w:rsidRPr="00707378">
        <w:rPr>
          <w:lang w:val="es-MX"/>
        </w:rPr>
        <w:t>aplicarse lo dispuesto por los artículos los artículos 65 y 66 de la Le</w:t>
      </w:r>
      <w:r>
        <w:rPr>
          <w:lang w:val="es-MX"/>
        </w:rPr>
        <w:t xml:space="preserve">y Nº 18.719 de 27 de diciembre </w:t>
      </w:r>
      <w:r w:rsidRPr="00707378">
        <w:rPr>
          <w:lang w:val="es-MX"/>
        </w:rPr>
        <w:t>de 2010, y en particular atender a las</w:t>
      </w:r>
      <w:r>
        <w:rPr>
          <w:lang w:val="es-MX"/>
        </w:rPr>
        <w:t xml:space="preserve"> </w:t>
      </w:r>
      <w:r w:rsidRPr="00707378">
        <w:rPr>
          <w:lang w:val="es-MX"/>
        </w:rPr>
        <w:t>inco</w:t>
      </w:r>
      <w:r>
        <w:rPr>
          <w:lang w:val="es-MX"/>
        </w:rPr>
        <w:t xml:space="preserve">mpatibilidades previstas por el </w:t>
      </w:r>
      <w:r w:rsidRPr="00707378">
        <w:rPr>
          <w:lang w:val="es-MX"/>
        </w:rPr>
        <w:t>artículo 67 de la norma citada;</w:t>
      </w:r>
    </w:p>
    <w:p w:rsidR="00FE0E24" w:rsidRPr="00707378" w:rsidRDefault="00FE0E24" w:rsidP="006355F7">
      <w:pPr>
        <w:spacing w:line="360" w:lineRule="auto"/>
        <w:jc w:val="both"/>
        <w:rPr>
          <w:lang w:val="es-MX"/>
        </w:rPr>
      </w:pPr>
      <w:r w:rsidRPr="00F16F2F">
        <w:rPr>
          <w:b/>
          <w:lang w:val="es-MX"/>
        </w:rPr>
        <w:t>2.7)</w:t>
      </w:r>
      <w:r w:rsidRPr="00707378">
        <w:rPr>
          <w:lang w:val="es-MX"/>
        </w:rPr>
        <w:t xml:space="preserve"> El régimen de horas extras establecido en e</w:t>
      </w:r>
      <w:r>
        <w:rPr>
          <w:lang w:val="es-MX"/>
        </w:rPr>
        <w:t xml:space="preserve">l artículo 35, deberá ajustarse a </w:t>
      </w:r>
      <w:r w:rsidRPr="00707378">
        <w:rPr>
          <w:lang w:val="es-MX"/>
        </w:rPr>
        <w:t xml:space="preserve">las previsiones del artículo 588 del Decreto </w:t>
      </w:r>
      <w:r>
        <w:rPr>
          <w:lang w:val="es-MX"/>
        </w:rPr>
        <w:t xml:space="preserve">Ley Nº 14.189 de 30 de abril de </w:t>
      </w:r>
      <w:r w:rsidRPr="00707378">
        <w:rPr>
          <w:lang w:val="es-MX"/>
        </w:rPr>
        <w:t>1984, en la redacción dada por el artículo 7</w:t>
      </w:r>
      <w:r>
        <w:rPr>
          <w:lang w:val="es-MX"/>
        </w:rPr>
        <w:t xml:space="preserve">65 de la Ley Nº 19.355 de 19 de </w:t>
      </w:r>
      <w:r w:rsidRPr="00707378">
        <w:rPr>
          <w:lang w:val="es-MX"/>
        </w:rPr>
        <w:t>diciembre de 2015 y respetar los tope</w:t>
      </w:r>
      <w:r>
        <w:rPr>
          <w:lang w:val="es-MX"/>
        </w:rPr>
        <w:t xml:space="preserve">s máximos de ejecución de horas </w:t>
      </w:r>
      <w:r w:rsidRPr="00707378">
        <w:rPr>
          <w:lang w:val="es-MX"/>
        </w:rPr>
        <w:t>extras diarias, semanales y mensuale</w:t>
      </w:r>
      <w:r>
        <w:rPr>
          <w:lang w:val="es-MX"/>
        </w:rPr>
        <w:t xml:space="preserve">s, establecidos en a las normas </w:t>
      </w:r>
      <w:r w:rsidRPr="00707378">
        <w:rPr>
          <w:lang w:val="es-MX"/>
        </w:rPr>
        <w:t>legales vigentes y los Convenios Intern</w:t>
      </w:r>
      <w:r>
        <w:rPr>
          <w:lang w:val="es-MX"/>
        </w:rPr>
        <w:t xml:space="preserve">acionales de Trabajo. Asimismo, debe consignarse que </w:t>
      </w:r>
      <w:r w:rsidRPr="00707378">
        <w:rPr>
          <w:lang w:val="es-MX"/>
        </w:rPr>
        <w:t>no podrá pe</w:t>
      </w:r>
      <w:r>
        <w:rPr>
          <w:lang w:val="es-MX"/>
        </w:rPr>
        <w:t xml:space="preserve">rcibir compensaciones por dicho </w:t>
      </w:r>
      <w:r w:rsidRPr="00707378">
        <w:rPr>
          <w:lang w:val="es-MX"/>
        </w:rPr>
        <w:t>con</w:t>
      </w:r>
      <w:r>
        <w:rPr>
          <w:lang w:val="es-MX"/>
        </w:rPr>
        <w:t xml:space="preserve">cepto el personal contratado al </w:t>
      </w:r>
      <w:r w:rsidRPr="00707378">
        <w:rPr>
          <w:lang w:val="es-MX"/>
        </w:rPr>
        <w:t xml:space="preserve">amparo de </w:t>
      </w:r>
      <w:r>
        <w:rPr>
          <w:lang w:val="es-MX"/>
        </w:rPr>
        <w:t xml:space="preserve">lo dispuesto por el artículo 23 </w:t>
      </w:r>
      <w:r w:rsidRPr="00707378">
        <w:rPr>
          <w:lang w:val="es-MX"/>
        </w:rPr>
        <w:t>de la Ley Nº 17.556 de fecha 18 de setiembre de 2002;</w:t>
      </w:r>
    </w:p>
    <w:p w:rsidR="00FE0E24" w:rsidRPr="00707378" w:rsidRDefault="00FE0E24" w:rsidP="006355F7">
      <w:pPr>
        <w:spacing w:line="360" w:lineRule="auto"/>
        <w:jc w:val="both"/>
        <w:rPr>
          <w:lang w:val="es-MX"/>
        </w:rPr>
      </w:pPr>
      <w:r w:rsidRPr="00F16F2F">
        <w:rPr>
          <w:b/>
          <w:lang w:val="es-MX"/>
        </w:rPr>
        <w:t>2.8)</w:t>
      </w:r>
      <w:r w:rsidRPr="00707378">
        <w:rPr>
          <w:lang w:val="es-MX"/>
        </w:rPr>
        <w:t xml:space="preserve"> Las partidas especiales previstas en el art</w:t>
      </w:r>
      <w:r>
        <w:rPr>
          <w:lang w:val="es-MX"/>
        </w:rPr>
        <w:t xml:space="preserve">ículo 41 deberán ajustarse a la </w:t>
      </w:r>
      <w:r w:rsidRPr="00707378">
        <w:rPr>
          <w:lang w:val="es-MX"/>
        </w:rPr>
        <w:t xml:space="preserve">reglamentación dictada </w:t>
      </w:r>
      <w:proofErr w:type="gramStart"/>
      <w:r w:rsidRPr="00707378">
        <w:rPr>
          <w:lang w:val="es-MX"/>
        </w:rPr>
        <w:t>previo</w:t>
      </w:r>
      <w:proofErr w:type="gramEnd"/>
      <w:r w:rsidRPr="00707378">
        <w:rPr>
          <w:lang w:val="es-MX"/>
        </w:rPr>
        <w:t xml:space="preserve"> a la apro</w:t>
      </w:r>
      <w:r>
        <w:rPr>
          <w:lang w:val="es-MX"/>
        </w:rPr>
        <w:t xml:space="preserve">bación del presente Proyecto de </w:t>
      </w:r>
      <w:r w:rsidRPr="00707378">
        <w:rPr>
          <w:lang w:val="es-MX"/>
        </w:rPr>
        <w:t>Presupuesto, y la misma deberá mencionarse expresamente en la p</w:t>
      </w:r>
      <w:r>
        <w:rPr>
          <w:lang w:val="es-MX"/>
        </w:rPr>
        <w:t xml:space="preserve">róxima </w:t>
      </w:r>
      <w:r w:rsidRPr="00707378">
        <w:rPr>
          <w:lang w:val="es-MX"/>
        </w:rPr>
        <w:t>instancia presupuestal;</w:t>
      </w:r>
    </w:p>
    <w:p w:rsidR="00FE0E24" w:rsidRPr="00707378" w:rsidRDefault="00FE0E24" w:rsidP="006355F7">
      <w:pPr>
        <w:spacing w:line="360" w:lineRule="auto"/>
        <w:jc w:val="both"/>
        <w:rPr>
          <w:lang w:val="es-MX"/>
        </w:rPr>
      </w:pPr>
      <w:r w:rsidRPr="00F16F2F">
        <w:rPr>
          <w:b/>
          <w:lang w:val="es-MX"/>
        </w:rPr>
        <w:t>2.9)</w:t>
      </w:r>
      <w:r w:rsidRPr="00707378">
        <w:rPr>
          <w:lang w:val="es-MX"/>
        </w:rPr>
        <w:t xml:space="preserve"> El Decreto Nº 342/97 de 17 de setiembre de </w:t>
      </w:r>
      <w:r>
        <w:rPr>
          <w:lang w:val="es-MX"/>
        </w:rPr>
        <w:t xml:space="preserve">1997 (TOI 97) al que refiere el </w:t>
      </w:r>
      <w:r w:rsidRPr="00707378">
        <w:rPr>
          <w:lang w:val="es-MX"/>
        </w:rPr>
        <w:t xml:space="preserve">artículo 52 fue sustituido por el Decreto Nº </w:t>
      </w:r>
      <w:r>
        <w:rPr>
          <w:lang w:val="es-MX"/>
        </w:rPr>
        <w:t xml:space="preserve">123/2012 de 26 de abril de 2012 </w:t>
      </w:r>
      <w:r w:rsidRPr="00707378">
        <w:rPr>
          <w:lang w:val="es-MX"/>
        </w:rPr>
        <w:t>(TOI 2012);</w:t>
      </w:r>
    </w:p>
    <w:p w:rsidR="00FE0E24" w:rsidRPr="00707378" w:rsidRDefault="00FE0E24" w:rsidP="006355F7">
      <w:pPr>
        <w:spacing w:line="360" w:lineRule="auto"/>
        <w:jc w:val="both"/>
        <w:rPr>
          <w:lang w:val="es-MX"/>
        </w:rPr>
      </w:pPr>
      <w:r w:rsidRPr="00F16F2F">
        <w:rPr>
          <w:b/>
          <w:lang w:val="es-MX"/>
        </w:rPr>
        <w:t>2.10)</w:t>
      </w:r>
      <w:r>
        <w:rPr>
          <w:lang w:val="es-MX"/>
        </w:rPr>
        <w:t xml:space="preserve"> </w:t>
      </w:r>
      <w:r w:rsidRPr="00707378">
        <w:rPr>
          <w:lang w:val="es-MX"/>
        </w:rPr>
        <w:t>Al efectuar la supresión de vacantes previstas en el ar</w:t>
      </w:r>
      <w:r>
        <w:rPr>
          <w:lang w:val="es-MX"/>
        </w:rPr>
        <w:t xml:space="preserve">tículo 61, y al proveer </w:t>
      </w:r>
      <w:r w:rsidRPr="00707378">
        <w:rPr>
          <w:lang w:val="es-MX"/>
        </w:rPr>
        <w:t>las vacantes que no se suprimen el organis</w:t>
      </w:r>
      <w:r>
        <w:rPr>
          <w:lang w:val="es-MX"/>
        </w:rPr>
        <w:t xml:space="preserve">mo deberá dar cumplimiento a lo </w:t>
      </w:r>
      <w:r w:rsidRPr="00707378">
        <w:rPr>
          <w:lang w:val="es-MX"/>
        </w:rPr>
        <w:t>dispuesto por los artículos 49 y 50 de la Le</w:t>
      </w:r>
      <w:r>
        <w:rPr>
          <w:lang w:val="es-MX"/>
        </w:rPr>
        <w:t xml:space="preserve">y Nº 18.651 de 19 de febrero de </w:t>
      </w:r>
      <w:r w:rsidRPr="00707378">
        <w:rPr>
          <w:lang w:val="es-MX"/>
        </w:rPr>
        <w:t>2010, el artículo 4 de la Ley Nº</w:t>
      </w:r>
      <w:r w:rsidR="00DF0EEE">
        <w:rPr>
          <w:lang w:val="es-MX"/>
        </w:rPr>
        <w:t xml:space="preserve"> 19.122 de 28 de agosto de 2013;</w:t>
      </w:r>
    </w:p>
    <w:p w:rsidR="00FE0E24" w:rsidRPr="00707378" w:rsidRDefault="00FE0E24" w:rsidP="006355F7">
      <w:pPr>
        <w:spacing w:line="360" w:lineRule="auto"/>
        <w:jc w:val="both"/>
        <w:rPr>
          <w:lang w:val="es-MX"/>
        </w:rPr>
      </w:pPr>
      <w:r w:rsidRPr="00F16F2F">
        <w:rPr>
          <w:b/>
          <w:lang w:val="es-MX"/>
        </w:rPr>
        <w:t>2.11)</w:t>
      </w:r>
      <w:r w:rsidRPr="00707378">
        <w:rPr>
          <w:lang w:val="es-MX"/>
        </w:rPr>
        <w:t xml:space="preserve"> En la implementación de las disposiciones </w:t>
      </w:r>
      <w:r>
        <w:rPr>
          <w:lang w:val="es-MX"/>
        </w:rPr>
        <w:t xml:space="preserve">de los artículos 9, 44, 45, 47, 49, </w:t>
      </w:r>
      <w:r w:rsidRPr="00707378">
        <w:rPr>
          <w:lang w:val="es-MX"/>
        </w:rPr>
        <w:t>57 y 61 (provisión de las vacantes que</w:t>
      </w:r>
      <w:r>
        <w:rPr>
          <w:lang w:val="es-MX"/>
        </w:rPr>
        <w:t xml:space="preserve"> no se suprimen), se deberá dar </w:t>
      </w:r>
      <w:r w:rsidRPr="00707378">
        <w:rPr>
          <w:lang w:val="es-MX"/>
        </w:rPr>
        <w:t xml:space="preserve">cumplimiento a lo dispuesto a lo dispuesto por el </w:t>
      </w:r>
      <w:r>
        <w:rPr>
          <w:lang w:val="es-MX"/>
        </w:rPr>
        <w:t xml:space="preserve">artículo 229 de la Constitución </w:t>
      </w:r>
      <w:r w:rsidRPr="00707378">
        <w:rPr>
          <w:lang w:val="es-MX"/>
        </w:rPr>
        <w:t>y por literal E) del artículo 1 de</w:t>
      </w:r>
      <w:r>
        <w:rPr>
          <w:lang w:val="es-MX"/>
        </w:rPr>
        <w:t xml:space="preserve"> la Ley Nº 16.127 de fecha 7 de </w:t>
      </w:r>
      <w:r w:rsidRPr="00707378">
        <w:rPr>
          <w:lang w:val="es-MX"/>
        </w:rPr>
        <w:t>agosto de 1990;</w:t>
      </w:r>
    </w:p>
    <w:p w:rsidR="00FE0E24" w:rsidRPr="00707378" w:rsidRDefault="00FE0E24" w:rsidP="006355F7">
      <w:pPr>
        <w:spacing w:line="360" w:lineRule="auto"/>
        <w:jc w:val="both"/>
        <w:rPr>
          <w:lang w:val="es-MX"/>
        </w:rPr>
      </w:pPr>
      <w:r w:rsidRPr="00F16F2F">
        <w:rPr>
          <w:b/>
          <w:lang w:val="es-MX"/>
        </w:rPr>
        <w:t>2.12)</w:t>
      </w:r>
      <w:r>
        <w:rPr>
          <w:lang w:val="es-MX"/>
        </w:rPr>
        <w:t xml:space="preserve"> </w:t>
      </w:r>
      <w:r w:rsidRPr="00707378">
        <w:rPr>
          <w:lang w:val="es-MX"/>
        </w:rPr>
        <w:t>A los efectos de las comunicaciones previst</w:t>
      </w:r>
      <w:r>
        <w:rPr>
          <w:lang w:val="es-MX"/>
        </w:rPr>
        <w:t xml:space="preserve">as en los artículos 46, 47, 48, </w:t>
      </w:r>
      <w:r w:rsidRPr="00707378">
        <w:rPr>
          <w:lang w:val="es-MX"/>
        </w:rPr>
        <w:t>49, 51 y 52, se deberá tener en cuenta lo dispuesto por el Tribu</w:t>
      </w:r>
      <w:r>
        <w:rPr>
          <w:lang w:val="es-MX"/>
        </w:rPr>
        <w:t xml:space="preserve">nal de Cuentas </w:t>
      </w:r>
      <w:r w:rsidRPr="00707378">
        <w:rPr>
          <w:lang w:val="es-MX"/>
        </w:rPr>
        <w:t>por Resolución No 1891/20</w:t>
      </w:r>
      <w:r>
        <w:rPr>
          <w:lang w:val="es-MX"/>
        </w:rPr>
        <w:t xml:space="preserve">18 de 6 de junio de 2018: “…las resoluciones que </w:t>
      </w:r>
      <w:r w:rsidRPr="00707378">
        <w:rPr>
          <w:lang w:val="es-MX"/>
        </w:rPr>
        <w:t>adopten los organismos referentes a trasposiciones de</w:t>
      </w:r>
      <w:r>
        <w:rPr>
          <w:lang w:val="es-MX"/>
        </w:rPr>
        <w:t xml:space="preserve"> rubros, adecuaciones </w:t>
      </w:r>
      <w:r w:rsidRPr="00707378">
        <w:rPr>
          <w:lang w:val="es-MX"/>
        </w:rPr>
        <w:t>presupuestal</w:t>
      </w:r>
      <w:r>
        <w:rPr>
          <w:lang w:val="es-MX"/>
        </w:rPr>
        <w:t xml:space="preserve">es e incrementos de partidas no </w:t>
      </w:r>
      <w:r w:rsidRPr="00707378">
        <w:rPr>
          <w:lang w:val="es-MX"/>
        </w:rPr>
        <w:t>limitativas, así como la informac</w:t>
      </w:r>
      <w:r>
        <w:rPr>
          <w:lang w:val="es-MX"/>
        </w:rPr>
        <w:t xml:space="preserve">ión adjunta a las mismas cuando </w:t>
      </w:r>
      <w:r w:rsidRPr="00707378">
        <w:rPr>
          <w:lang w:val="es-MX"/>
        </w:rPr>
        <w:t>cor</w:t>
      </w:r>
      <w:r>
        <w:rPr>
          <w:lang w:val="es-MX"/>
        </w:rPr>
        <w:t xml:space="preserve">responda, deberán comunicarse a </w:t>
      </w:r>
      <w:r w:rsidRPr="00707378">
        <w:rPr>
          <w:lang w:val="es-MX"/>
        </w:rPr>
        <w:t>este</w:t>
      </w:r>
      <w:r>
        <w:rPr>
          <w:lang w:val="es-MX"/>
        </w:rPr>
        <w:t xml:space="preserve"> Tribunal, exclusivamente en la </w:t>
      </w:r>
      <w:r w:rsidRPr="00707378">
        <w:rPr>
          <w:lang w:val="es-MX"/>
        </w:rPr>
        <w:t>instancia an</w:t>
      </w:r>
      <w:r>
        <w:rPr>
          <w:lang w:val="es-MX"/>
        </w:rPr>
        <w:t xml:space="preserve">ual de remisión de los Balances de Ejecución Presupuestal, </w:t>
      </w:r>
      <w:r w:rsidR="00DF0EEE">
        <w:rPr>
          <w:lang w:val="es-MX"/>
        </w:rPr>
        <w:t>incluyéndolas en un anexo”;</w:t>
      </w:r>
    </w:p>
    <w:p w:rsidR="00FE0E24" w:rsidRDefault="00FE0E24" w:rsidP="006355F7">
      <w:pPr>
        <w:spacing w:line="360" w:lineRule="auto"/>
        <w:jc w:val="both"/>
        <w:rPr>
          <w:lang w:val="es-MX"/>
        </w:rPr>
      </w:pPr>
      <w:r w:rsidRPr="00F16F2F">
        <w:rPr>
          <w:b/>
          <w:lang w:val="es-MX"/>
        </w:rPr>
        <w:t>2.13)</w:t>
      </w:r>
      <w:r>
        <w:rPr>
          <w:lang w:val="es-MX"/>
        </w:rPr>
        <w:t xml:space="preserve"> </w:t>
      </w:r>
      <w:r w:rsidRPr="00707378">
        <w:rPr>
          <w:lang w:val="es-MX"/>
        </w:rPr>
        <w:t>Sin perjuicio de lo establecido en el cap</w:t>
      </w:r>
      <w:r>
        <w:rPr>
          <w:lang w:val="es-MX"/>
        </w:rPr>
        <w:t xml:space="preserve">ítulo referido a Perspectiva de </w:t>
      </w:r>
      <w:r w:rsidRPr="00707378">
        <w:rPr>
          <w:lang w:val="es-MX"/>
        </w:rPr>
        <w:t>Género (Página 173), no constan en e</w:t>
      </w:r>
      <w:r>
        <w:rPr>
          <w:lang w:val="es-MX"/>
        </w:rPr>
        <w:t xml:space="preserve">l articulado las medidas ni los recursos </w:t>
      </w:r>
      <w:r w:rsidRPr="00707378">
        <w:rPr>
          <w:lang w:val="es-MX"/>
        </w:rPr>
        <w:t xml:space="preserve">asignados a esos efectos, ni para </w:t>
      </w:r>
      <w:r>
        <w:rPr>
          <w:lang w:val="es-MX"/>
        </w:rPr>
        <w:t xml:space="preserve">dar cumplimiento a lo dispuesto por el </w:t>
      </w:r>
      <w:r w:rsidRPr="00707378">
        <w:rPr>
          <w:lang w:val="es-MX"/>
        </w:rPr>
        <w:t>artículo 20 de la Ley Nº 19.580 de 22 de diciembre de 2017;</w:t>
      </w:r>
    </w:p>
    <w:p w:rsidR="00FE0E24" w:rsidRPr="00C64B18" w:rsidRDefault="00FE0E24" w:rsidP="006355F7">
      <w:pPr>
        <w:spacing w:line="360" w:lineRule="auto"/>
        <w:jc w:val="both"/>
        <w:rPr>
          <w:rFonts w:eastAsia="Calibri" w:cs="Times New Roman"/>
          <w:szCs w:val="22"/>
          <w:lang w:val="es-ES_tradnl" w:eastAsia="en-US"/>
        </w:rPr>
      </w:pPr>
      <w:r w:rsidRPr="00F16F2F">
        <w:rPr>
          <w:b/>
          <w:lang w:val="es-MX"/>
        </w:rPr>
        <w:t>2.14)</w:t>
      </w:r>
      <w:r>
        <w:rPr>
          <w:lang w:val="es-MX"/>
        </w:rPr>
        <w:t xml:space="preserve"> </w:t>
      </w:r>
      <w:r w:rsidRPr="00531C0F">
        <w:rPr>
          <w:rFonts w:eastAsia="Calibri" w:cs="Times New Roman"/>
          <w:szCs w:val="22"/>
          <w:lang w:val="es-ES_tradnl" w:eastAsia="en-US"/>
        </w:rPr>
        <w:t>El procedimiento para el uso y administración de las tarjetas corpor</w:t>
      </w:r>
      <w:r w:rsidRPr="00F16F2F">
        <w:rPr>
          <w:rFonts w:eastAsia="Calibri" w:cs="Times New Roman"/>
          <w:szCs w:val="22"/>
          <w:lang w:val="es-ES_tradnl" w:eastAsia="en-US"/>
        </w:rPr>
        <w:t>ativas que se agrega (</w:t>
      </w:r>
      <w:r>
        <w:rPr>
          <w:rFonts w:eastAsia="Calibri" w:cs="Times New Roman"/>
          <w:szCs w:val="22"/>
          <w:lang w:val="es-ES_tradnl" w:eastAsia="en-US"/>
        </w:rPr>
        <w:t xml:space="preserve">Reglamento Tarjetas Corporativas, </w:t>
      </w:r>
      <w:r w:rsidRPr="00531C0F">
        <w:rPr>
          <w:rFonts w:eastAsia="Calibri" w:cs="Times New Roman"/>
          <w:szCs w:val="22"/>
          <w:lang w:val="es-ES_tradnl" w:eastAsia="en-US"/>
        </w:rPr>
        <w:t>página</w:t>
      </w:r>
      <w:r w:rsidRPr="00F16F2F">
        <w:rPr>
          <w:rFonts w:eastAsia="Calibri" w:cs="Times New Roman"/>
          <w:szCs w:val="22"/>
          <w:lang w:val="es-ES_tradnl" w:eastAsia="en-US"/>
        </w:rPr>
        <w:t xml:space="preserve"> 253</w:t>
      </w:r>
      <w:r w:rsidRPr="00531C0F">
        <w:rPr>
          <w:rFonts w:eastAsia="Calibri" w:cs="Times New Roman"/>
          <w:szCs w:val="22"/>
          <w:lang w:val="es-ES_tradnl" w:eastAsia="en-US"/>
        </w:rPr>
        <w:t xml:space="preserve">) </w:t>
      </w:r>
      <w:r>
        <w:rPr>
          <w:rFonts w:eastAsia="Calibri" w:cs="Times New Roman"/>
          <w:szCs w:val="22"/>
          <w:lang w:val="es-ES_tradnl" w:eastAsia="en-US"/>
        </w:rPr>
        <w:t>ya ha sido remitido a consideración del Tribunal en forma independiente; oportunamente, luego de su estu</w:t>
      </w:r>
      <w:r w:rsidR="00DF0EEE">
        <w:rPr>
          <w:rFonts w:eastAsia="Calibri" w:cs="Times New Roman"/>
          <w:szCs w:val="22"/>
          <w:lang w:val="es-ES_tradnl" w:eastAsia="en-US"/>
        </w:rPr>
        <w:t>dio, se expedirá sobre el mismo;</w:t>
      </w:r>
    </w:p>
    <w:p w:rsidR="00FE0E24" w:rsidRPr="00707378" w:rsidRDefault="00FE0E24" w:rsidP="006355F7">
      <w:pPr>
        <w:spacing w:line="360" w:lineRule="auto"/>
        <w:jc w:val="both"/>
        <w:rPr>
          <w:lang w:val="es-MX"/>
        </w:rPr>
      </w:pPr>
      <w:r w:rsidRPr="00F16F2F">
        <w:rPr>
          <w:b/>
          <w:lang w:val="es-MX"/>
        </w:rPr>
        <w:t>2.15)</w:t>
      </w:r>
      <w:r>
        <w:rPr>
          <w:lang w:val="es-MX"/>
        </w:rPr>
        <w:t xml:space="preserve"> </w:t>
      </w:r>
      <w:r w:rsidRPr="00707378">
        <w:rPr>
          <w:lang w:val="es-MX"/>
        </w:rPr>
        <w:t>De acuerdo con la normativa constitucional v</w:t>
      </w:r>
      <w:r>
        <w:rPr>
          <w:lang w:val="es-MX"/>
        </w:rPr>
        <w:t xml:space="preserve">igente el Directorio del Banco, </w:t>
      </w:r>
      <w:r w:rsidRPr="00707378">
        <w:rPr>
          <w:lang w:val="es-MX"/>
        </w:rPr>
        <w:t>debe tener presente que luego de a</w:t>
      </w:r>
      <w:r>
        <w:rPr>
          <w:lang w:val="es-MX"/>
        </w:rPr>
        <w:t xml:space="preserve">probado el presupuesto no puede </w:t>
      </w:r>
      <w:r w:rsidRPr="00707378">
        <w:rPr>
          <w:lang w:val="es-MX"/>
        </w:rPr>
        <w:t>modificarlo hasta la nueva instancia presupuestal;</w:t>
      </w:r>
    </w:p>
    <w:p w:rsidR="00FE0E24" w:rsidRPr="00707378" w:rsidRDefault="00FE0E24" w:rsidP="006355F7">
      <w:pPr>
        <w:spacing w:line="360" w:lineRule="auto"/>
        <w:jc w:val="both"/>
        <w:rPr>
          <w:lang w:val="es-MX"/>
        </w:rPr>
      </w:pPr>
      <w:r w:rsidRPr="00F16F2F">
        <w:rPr>
          <w:b/>
          <w:lang w:val="es-MX"/>
        </w:rPr>
        <w:t>2.16)</w:t>
      </w:r>
      <w:r>
        <w:rPr>
          <w:lang w:val="es-MX"/>
        </w:rPr>
        <w:t xml:space="preserve"> </w:t>
      </w:r>
      <w:r w:rsidRPr="005126D4">
        <w:rPr>
          <w:lang w:val="es-MX"/>
        </w:rPr>
        <w:t xml:space="preserve">Se da cumplimiento </w:t>
      </w:r>
      <w:r>
        <w:rPr>
          <w:lang w:val="es-MX"/>
        </w:rPr>
        <w:t>a</w:t>
      </w:r>
      <w:r w:rsidRPr="005126D4">
        <w:rPr>
          <w:lang w:val="es-MX"/>
        </w:rPr>
        <w:t xml:space="preserve">l </w:t>
      </w:r>
      <w:r>
        <w:rPr>
          <w:lang w:val="es-MX"/>
        </w:rPr>
        <w:t>a</w:t>
      </w:r>
      <w:r w:rsidRPr="00192344">
        <w:rPr>
          <w:lang w:val="es-MX"/>
        </w:rPr>
        <w:t>rtículo 5 de</w:t>
      </w:r>
      <w:r w:rsidRPr="005126D4">
        <w:rPr>
          <w:lang w:val="es-MX"/>
        </w:rPr>
        <w:t xml:space="preserve"> la Ley </w:t>
      </w:r>
      <w:r>
        <w:rPr>
          <w:lang w:val="es-MX"/>
        </w:rPr>
        <w:t xml:space="preserve">N° </w:t>
      </w:r>
      <w:r w:rsidRPr="005126D4">
        <w:rPr>
          <w:lang w:val="es-MX"/>
        </w:rPr>
        <w:t>16.211 en cuanto a la financiación de las actividades propuestas;</w:t>
      </w:r>
    </w:p>
    <w:p w:rsidR="00FE0E24" w:rsidRPr="00707378" w:rsidRDefault="00FE0E24" w:rsidP="006355F7">
      <w:pPr>
        <w:spacing w:line="360" w:lineRule="auto"/>
        <w:jc w:val="both"/>
        <w:rPr>
          <w:lang w:val="es-MX"/>
        </w:rPr>
      </w:pPr>
      <w:r w:rsidRPr="00F16F2F">
        <w:rPr>
          <w:b/>
          <w:lang w:val="es-MX"/>
        </w:rPr>
        <w:t>2.17)</w:t>
      </w:r>
      <w:r w:rsidRPr="00707378">
        <w:rPr>
          <w:lang w:val="es-MX"/>
        </w:rPr>
        <w:t xml:space="preserve"> </w:t>
      </w:r>
      <w:r>
        <w:rPr>
          <w:bCs/>
          <w:lang w:val="es-UY"/>
        </w:rPr>
        <w:t>Q</w:t>
      </w:r>
      <w:r w:rsidRPr="00300B26">
        <w:rPr>
          <w:bCs/>
          <w:lang w:val="es-UY"/>
        </w:rPr>
        <w:t>ue respecto al cumplimiento de lo previsto</w:t>
      </w:r>
      <w:r>
        <w:rPr>
          <w:bCs/>
          <w:lang w:val="es-UY"/>
        </w:rPr>
        <w:t xml:space="preserve"> </w:t>
      </w:r>
      <w:r w:rsidRPr="00300B26">
        <w:rPr>
          <w:bCs/>
          <w:lang w:val="es-UY"/>
        </w:rPr>
        <w:t>en la Ordenanza Nº 88 de este Tribunal, relativa a la conformidad técnica de</w:t>
      </w:r>
      <w:r>
        <w:rPr>
          <w:bCs/>
          <w:lang w:val="es-UY"/>
        </w:rPr>
        <w:t xml:space="preserve"> </w:t>
      </w:r>
      <w:r w:rsidRPr="00300B26">
        <w:rPr>
          <w:bCs/>
          <w:lang w:val="es-UY"/>
        </w:rPr>
        <w:t xml:space="preserve">los proyectos en la etapa de </w:t>
      </w:r>
      <w:proofErr w:type="spellStart"/>
      <w:r w:rsidRPr="00300B26">
        <w:rPr>
          <w:bCs/>
          <w:lang w:val="es-UY"/>
        </w:rPr>
        <w:t>preinversión</w:t>
      </w:r>
      <w:proofErr w:type="spellEnd"/>
      <w:r w:rsidRPr="00300B26">
        <w:rPr>
          <w:bCs/>
          <w:lang w:val="es-UY"/>
        </w:rPr>
        <w:t>, se verificó que la totalidad de</w:t>
      </w:r>
      <w:r>
        <w:rPr>
          <w:bCs/>
          <w:lang w:val="es-UY"/>
        </w:rPr>
        <w:t xml:space="preserve"> </w:t>
      </w:r>
      <w:r w:rsidRPr="00300B26">
        <w:rPr>
          <w:bCs/>
          <w:lang w:val="es-UY"/>
        </w:rPr>
        <w:t>proyectos en curso en el BHU cuentan con informe de Conformidad Técnica</w:t>
      </w:r>
      <w:r>
        <w:rPr>
          <w:bCs/>
          <w:lang w:val="es-UY"/>
        </w:rPr>
        <w:t xml:space="preserve"> (CT);</w:t>
      </w:r>
    </w:p>
    <w:p w:rsidR="00DF0EEE" w:rsidRDefault="00FE0E24" w:rsidP="00386C92">
      <w:pPr>
        <w:spacing w:line="360" w:lineRule="auto"/>
        <w:jc w:val="both"/>
        <w:rPr>
          <w:lang w:val="es-MX"/>
        </w:rPr>
      </w:pPr>
      <w:r w:rsidRPr="00F16F2F">
        <w:rPr>
          <w:b/>
          <w:lang w:val="es-MX"/>
        </w:rPr>
        <w:t>2.18)</w:t>
      </w:r>
      <w:r>
        <w:rPr>
          <w:lang w:val="es-MX"/>
        </w:rPr>
        <w:t xml:space="preserve"> </w:t>
      </w:r>
      <w:r w:rsidRPr="00707378">
        <w:rPr>
          <w:lang w:val="es-MX"/>
        </w:rPr>
        <w:t>Este Tribunal emite su dictamen sobre el Proyec</w:t>
      </w:r>
      <w:r>
        <w:rPr>
          <w:lang w:val="es-MX"/>
        </w:rPr>
        <w:t xml:space="preserve">to de Presupuesto del </w:t>
      </w:r>
      <w:r w:rsidRPr="00707378">
        <w:rPr>
          <w:lang w:val="es-MX"/>
        </w:rPr>
        <w:t>Banco Hipotecario del Uruguay para</w:t>
      </w:r>
      <w:r>
        <w:rPr>
          <w:lang w:val="es-MX"/>
        </w:rPr>
        <w:t xml:space="preserve"> el ejercicio 2019, en el plazo </w:t>
      </w:r>
      <w:r w:rsidRPr="00707378">
        <w:rPr>
          <w:lang w:val="es-MX"/>
        </w:rPr>
        <w:t>constitucionalmente previsto y con las mayor</w:t>
      </w:r>
      <w:r w:rsidR="00DF0EEE">
        <w:rPr>
          <w:lang w:val="es-MX"/>
        </w:rPr>
        <w:t>ías requeridas a tales efectos;</w:t>
      </w:r>
    </w:p>
    <w:p w:rsidR="00DF0EEE" w:rsidRDefault="00DF0EEE" w:rsidP="00386C92">
      <w:pPr>
        <w:spacing w:line="360" w:lineRule="auto"/>
        <w:jc w:val="both"/>
        <w:rPr>
          <w:lang w:val="es-MX"/>
        </w:rPr>
      </w:pPr>
    </w:p>
    <w:p w:rsidR="00FE0E24" w:rsidRDefault="00FE0E24" w:rsidP="00386C92">
      <w:pPr>
        <w:spacing w:line="360" w:lineRule="auto"/>
        <w:jc w:val="both"/>
        <w:rPr>
          <w:b/>
          <w:bCs/>
        </w:rPr>
      </w:pPr>
      <w:r>
        <w:rPr>
          <w:b/>
          <w:bCs/>
        </w:rPr>
        <w:t>3) OPINIÓN</w:t>
      </w:r>
    </w:p>
    <w:p w:rsidR="00FE0E24" w:rsidRDefault="00FE0E24" w:rsidP="006355F7">
      <w:pPr>
        <w:pStyle w:val="Textoindependiente"/>
        <w:spacing w:line="360" w:lineRule="auto"/>
        <w:rPr>
          <w:rFonts w:ascii="Arial" w:hAnsi="Arial" w:cs="Arial"/>
        </w:rPr>
      </w:pPr>
      <w:r>
        <w:rPr>
          <w:rFonts w:ascii="Arial" w:hAnsi="Arial" w:cs="Arial"/>
        </w:rPr>
        <w:t>En opinión del Tribunal de Cuentas, el Proyecto de Presupuesto del Banco Hipotecario del Uruguay correspondiente al Ejercicio 2019 ha sido preparado en forma razonable de acuerdo con los supuestos efectuados por el Organismo y se presenta de conformidad con las disposiciones constitucionales, legales y reglamentarias vigentes.</w:t>
      </w:r>
    </w:p>
    <w:p w:rsidR="00FE0E24" w:rsidRDefault="00FE0E24" w:rsidP="006355F7">
      <w:pPr>
        <w:pStyle w:val="Textoindependiente"/>
        <w:tabs>
          <w:tab w:val="left" w:pos="708"/>
          <w:tab w:val="left" w:pos="1416"/>
          <w:tab w:val="left" w:pos="2124"/>
          <w:tab w:val="left" w:pos="2832"/>
          <w:tab w:val="left" w:pos="3540"/>
          <w:tab w:val="left" w:pos="4248"/>
          <w:tab w:val="left" w:pos="4956"/>
          <w:tab w:val="left" w:pos="5664"/>
          <w:tab w:val="left" w:pos="7170"/>
        </w:tabs>
        <w:jc w:val="right"/>
        <w:rPr>
          <w:rFonts w:ascii="Arial" w:hAnsi="Arial" w:cs="Arial"/>
        </w:rPr>
      </w:pPr>
      <w:r>
        <w:rPr>
          <w:rFonts w:ascii="Arial" w:hAnsi="Arial" w:cs="Arial"/>
        </w:rPr>
        <w:t>Montevideo, 16 de agosto de 2018</w:t>
      </w:r>
    </w:p>
    <w:p w:rsidR="00FE0E24" w:rsidRDefault="00FE0E24" w:rsidP="006355F7"/>
    <w:p w:rsidR="00FE0E24" w:rsidRDefault="00FE0E24" w:rsidP="006355F7"/>
    <w:p w:rsidR="00FE0E24" w:rsidRDefault="00FE0E24" w:rsidP="006355F7"/>
    <w:p w:rsidR="00FE0E24" w:rsidRDefault="00FE0E24" w:rsidP="006355F7"/>
    <w:p w:rsidR="00FE0E24" w:rsidRDefault="00FE0E24" w:rsidP="006355F7"/>
    <w:p w:rsidR="00FE0E24" w:rsidRDefault="00FE0E24">
      <w:proofErr w:type="spellStart"/>
      <w:proofErr w:type="gramStart"/>
      <w:r>
        <w:t>cr</w:t>
      </w:r>
      <w:proofErr w:type="spellEnd"/>
      <w:proofErr w:type="gramEnd"/>
    </w:p>
    <w:sectPr w:rsidR="00FE0E24" w:rsidSect="009D5E63">
      <w:footerReference w:type="default" r:id="rId10"/>
      <w:pgSz w:w="11906" w:h="16838" w:code="9"/>
      <w:pgMar w:top="3402" w:right="1701" w:bottom="1418"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15D" w:rsidRDefault="009D5E63">
      <w:r>
        <w:separator/>
      </w:r>
    </w:p>
  </w:endnote>
  <w:endnote w:type="continuationSeparator" w:id="0">
    <w:p w:rsidR="0070215D" w:rsidRDefault="009D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8F" w:rsidRDefault="006355F7">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0EEE">
      <w:rPr>
        <w:rStyle w:val="Nmerodepgina"/>
        <w:noProof/>
      </w:rPr>
      <w:t>1</w:t>
    </w:r>
    <w:r>
      <w:rPr>
        <w:rStyle w:val="Nmerodepgina"/>
      </w:rPr>
      <w:fldChar w:fldCharType="end"/>
    </w:r>
  </w:p>
  <w:p w:rsidR="0031028F" w:rsidRDefault="00DF0EEE">
    <w:pPr>
      <w:pStyle w:val="Piedepgina"/>
    </w:pPr>
  </w:p>
  <w:p w:rsidR="0031028F" w:rsidRDefault="00DF0E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15D" w:rsidRDefault="009D5E63">
      <w:r>
        <w:separator/>
      </w:r>
    </w:p>
  </w:footnote>
  <w:footnote w:type="continuationSeparator" w:id="0">
    <w:p w:rsidR="0070215D" w:rsidRDefault="009D5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5B31"/>
    <w:multiLevelType w:val="hybridMultilevel"/>
    <w:tmpl w:val="182E0A00"/>
    <w:lvl w:ilvl="0" w:tplc="53B262C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F7"/>
    <w:rsid w:val="006355F7"/>
    <w:rsid w:val="0070215D"/>
    <w:rsid w:val="009D5E63"/>
    <w:rsid w:val="00DF0EEE"/>
    <w:rsid w:val="00F227FC"/>
    <w:rsid w:val="00FE0E2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F7"/>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6355F7"/>
    <w:pPr>
      <w:keepNext/>
      <w:jc w:val="both"/>
      <w:outlineLvl w:val="1"/>
    </w:pPr>
    <w:rPr>
      <w:rFonts w:ascii="Bookman Old Style" w:hAnsi="Bookman Old Style" w:cs="Times New Roman"/>
      <w:lang w:val="es-MX"/>
    </w:rPr>
  </w:style>
  <w:style w:type="paragraph" w:styleId="Ttulo3">
    <w:name w:val="heading 3"/>
    <w:basedOn w:val="Normal"/>
    <w:next w:val="Normal"/>
    <w:link w:val="Ttulo3Car"/>
    <w:qFormat/>
    <w:rsid w:val="006355F7"/>
    <w:pPr>
      <w:keepNext/>
      <w:jc w:val="center"/>
      <w:outlineLvl w:val="2"/>
    </w:pPr>
    <w:rPr>
      <w:rFonts w:ascii="Bookman Old Style" w:hAnsi="Bookman Old Style" w:cs="Times New Roman"/>
      <w:b/>
      <w:bCs/>
    </w:rPr>
  </w:style>
  <w:style w:type="paragraph" w:styleId="Ttulo5">
    <w:name w:val="heading 5"/>
    <w:basedOn w:val="Normal"/>
    <w:next w:val="Normal"/>
    <w:link w:val="Ttulo5Car"/>
    <w:qFormat/>
    <w:rsid w:val="006355F7"/>
    <w:pPr>
      <w:keepNext/>
      <w:outlineLvl w:val="4"/>
    </w:pPr>
    <w:rPr>
      <w:rFonts w:ascii="Bookman Old Style" w:hAnsi="Bookman Old Style"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355F7"/>
    <w:rPr>
      <w:rFonts w:ascii="Bookman Old Style" w:eastAsia="Times New Roman" w:hAnsi="Bookman Old Style" w:cs="Times New Roman"/>
      <w:sz w:val="24"/>
      <w:szCs w:val="24"/>
      <w:lang w:val="es-MX" w:eastAsia="es-ES"/>
    </w:rPr>
  </w:style>
  <w:style w:type="character" w:customStyle="1" w:styleId="Ttulo3Car">
    <w:name w:val="Título 3 Car"/>
    <w:basedOn w:val="Fuentedeprrafopredeter"/>
    <w:link w:val="Ttulo3"/>
    <w:rsid w:val="006355F7"/>
    <w:rPr>
      <w:rFonts w:ascii="Bookman Old Style" w:eastAsia="Times New Roman" w:hAnsi="Bookman Old Style" w:cs="Times New Roman"/>
      <w:b/>
      <w:bCs/>
      <w:sz w:val="24"/>
      <w:szCs w:val="24"/>
      <w:lang w:val="es-ES" w:eastAsia="es-ES"/>
    </w:rPr>
  </w:style>
  <w:style w:type="character" w:customStyle="1" w:styleId="Ttulo5Car">
    <w:name w:val="Título 5 Car"/>
    <w:basedOn w:val="Fuentedeprrafopredeter"/>
    <w:link w:val="Ttulo5"/>
    <w:rsid w:val="006355F7"/>
    <w:rPr>
      <w:rFonts w:ascii="Bookman Old Style" w:eastAsia="Times New Roman" w:hAnsi="Bookman Old Style" w:cs="Times New Roman"/>
      <w:b/>
      <w:bCs/>
      <w:sz w:val="24"/>
      <w:szCs w:val="24"/>
      <w:lang w:val="es-ES" w:eastAsia="es-ES"/>
    </w:rPr>
  </w:style>
  <w:style w:type="paragraph" w:styleId="Textoindependiente">
    <w:name w:val="Body Text"/>
    <w:basedOn w:val="Normal"/>
    <w:link w:val="TextoindependienteCar"/>
    <w:semiHidden/>
    <w:rsid w:val="006355F7"/>
    <w:pPr>
      <w:jc w:val="both"/>
    </w:pPr>
    <w:rPr>
      <w:rFonts w:ascii="Bookman Old Style" w:hAnsi="Bookman Old Style" w:cs="Times New Roman"/>
      <w:lang w:val="es-MX"/>
    </w:rPr>
  </w:style>
  <w:style w:type="character" w:customStyle="1" w:styleId="TextoindependienteCar">
    <w:name w:val="Texto independiente Car"/>
    <w:basedOn w:val="Fuentedeprrafopredeter"/>
    <w:link w:val="Textoindependiente"/>
    <w:semiHidden/>
    <w:rsid w:val="006355F7"/>
    <w:rPr>
      <w:rFonts w:ascii="Bookman Old Style" w:eastAsia="Times New Roman" w:hAnsi="Bookman Old Style" w:cs="Times New Roman"/>
      <w:sz w:val="24"/>
      <w:szCs w:val="24"/>
      <w:lang w:val="es-MX" w:eastAsia="es-ES"/>
    </w:rPr>
  </w:style>
  <w:style w:type="paragraph" w:styleId="Piedepgina">
    <w:name w:val="footer"/>
    <w:basedOn w:val="Normal"/>
    <w:link w:val="PiedepginaCar"/>
    <w:semiHidden/>
    <w:rsid w:val="006355F7"/>
    <w:pPr>
      <w:tabs>
        <w:tab w:val="center" w:pos="4252"/>
        <w:tab w:val="right" w:pos="8504"/>
      </w:tabs>
    </w:pPr>
    <w:rPr>
      <w:sz w:val="20"/>
      <w:szCs w:val="20"/>
    </w:rPr>
  </w:style>
  <w:style w:type="character" w:customStyle="1" w:styleId="PiedepginaCar">
    <w:name w:val="Pie de página Car"/>
    <w:basedOn w:val="Fuentedeprrafopredeter"/>
    <w:link w:val="Piedepgina"/>
    <w:semiHidden/>
    <w:rsid w:val="006355F7"/>
    <w:rPr>
      <w:rFonts w:ascii="Arial" w:eastAsia="Times New Roman" w:hAnsi="Arial" w:cs="Arial"/>
      <w:sz w:val="20"/>
      <w:szCs w:val="20"/>
      <w:lang w:val="es-ES" w:eastAsia="es-ES"/>
    </w:rPr>
  </w:style>
  <w:style w:type="character" w:styleId="Nmerodepgina">
    <w:name w:val="page number"/>
    <w:semiHidden/>
    <w:rsid w:val="006355F7"/>
    <w:rPr>
      <w:rFonts w:ascii="Times New Roman" w:hAnsi="Times New Roman" w:cs="Times New Roman"/>
    </w:rPr>
  </w:style>
  <w:style w:type="paragraph" w:styleId="Sangradetextonormal">
    <w:name w:val="Body Text Indent"/>
    <w:basedOn w:val="Normal"/>
    <w:link w:val="SangradetextonormalCar"/>
    <w:semiHidden/>
    <w:rsid w:val="006355F7"/>
    <w:pPr>
      <w:spacing w:line="360" w:lineRule="auto"/>
      <w:jc w:val="both"/>
    </w:pPr>
    <w:rPr>
      <w:b/>
      <w:bCs/>
    </w:rPr>
  </w:style>
  <w:style w:type="character" w:customStyle="1" w:styleId="SangradetextonormalCar">
    <w:name w:val="Sangría de texto normal Car"/>
    <w:basedOn w:val="Fuentedeprrafopredeter"/>
    <w:link w:val="Sangradetextonormal"/>
    <w:semiHidden/>
    <w:rsid w:val="006355F7"/>
    <w:rPr>
      <w:rFonts w:ascii="Arial" w:eastAsia="Times New Roman" w:hAnsi="Arial" w:cs="Arial"/>
      <w:b/>
      <w:bCs/>
      <w:sz w:val="24"/>
      <w:szCs w:val="24"/>
      <w:lang w:val="es-ES" w:eastAsia="es-ES"/>
    </w:rPr>
  </w:style>
  <w:style w:type="paragraph" w:styleId="Prrafodelista">
    <w:name w:val="List Paragraph"/>
    <w:basedOn w:val="Normal"/>
    <w:uiPriority w:val="34"/>
    <w:qFormat/>
    <w:rsid w:val="006355F7"/>
    <w:pPr>
      <w:ind w:left="720"/>
      <w:contextualSpacing/>
    </w:pPr>
  </w:style>
  <w:style w:type="paragraph" w:styleId="Textodeglobo">
    <w:name w:val="Balloon Text"/>
    <w:basedOn w:val="Normal"/>
    <w:link w:val="TextodegloboCar"/>
    <w:uiPriority w:val="99"/>
    <w:semiHidden/>
    <w:unhideWhenUsed/>
    <w:rsid w:val="006355F7"/>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5F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F7"/>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6355F7"/>
    <w:pPr>
      <w:keepNext/>
      <w:jc w:val="both"/>
      <w:outlineLvl w:val="1"/>
    </w:pPr>
    <w:rPr>
      <w:rFonts w:ascii="Bookman Old Style" w:hAnsi="Bookman Old Style" w:cs="Times New Roman"/>
      <w:lang w:val="es-MX"/>
    </w:rPr>
  </w:style>
  <w:style w:type="paragraph" w:styleId="Ttulo3">
    <w:name w:val="heading 3"/>
    <w:basedOn w:val="Normal"/>
    <w:next w:val="Normal"/>
    <w:link w:val="Ttulo3Car"/>
    <w:qFormat/>
    <w:rsid w:val="006355F7"/>
    <w:pPr>
      <w:keepNext/>
      <w:jc w:val="center"/>
      <w:outlineLvl w:val="2"/>
    </w:pPr>
    <w:rPr>
      <w:rFonts w:ascii="Bookman Old Style" w:hAnsi="Bookman Old Style" w:cs="Times New Roman"/>
      <w:b/>
      <w:bCs/>
    </w:rPr>
  </w:style>
  <w:style w:type="paragraph" w:styleId="Ttulo5">
    <w:name w:val="heading 5"/>
    <w:basedOn w:val="Normal"/>
    <w:next w:val="Normal"/>
    <w:link w:val="Ttulo5Car"/>
    <w:qFormat/>
    <w:rsid w:val="006355F7"/>
    <w:pPr>
      <w:keepNext/>
      <w:outlineLvl w:val="4"/>
    </w:pPr>
    <w:rPr>
      <w:rFonts w:ascii="Bookman Old Style" w:hAnsi="Bookman Old Style"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355F7"/>
    <w:rPr>
      <w:rFonts w:ascii="Bookman Old Style" w:eastAsia="Times New Roman" w:hAnsi="Bookman Old Style" w:cs="Times New Roman"/>
      <w:sz w:val="24"/>
      <w:szCs w:val="24"/>
      <w:lang w:val="es-MX" w:eastAsia="es-ES"/>
    </w:rPr>
  </w:style>
  <w:style w:type="character" w:customStyle="1" w:styleId="Ttulo3Car">
    <w:name w:val="Título 3 Car"/>
    <w:basedOn w:val="Fuentedeprrafopredeter"/>
    <w:link w:val="Ttulo3"/>
    <w:rsid w:val="006355F7"/>
    <w:rPr>
      <w:rFonts w:ascii="Bookman Old Style" w:eastAsia="Times New Roman" w:hAnsi="Bookman Old Style" w:cs="Times New Roman"/>
      <w:b/>
      <w:bCs/>
      <w:sz w:val="24"/>
      <w:szCs w:val="24"/>
      <w:lang w:val="es-ES" w:eastAsia="es-ES"/>
    </w:rPr>
  </w:style>
  <w:style w:type="character" w:customStyle="1" w:styleId="Ttulo5Car">
    <w:name w:val="Título 5 Car"/>
    <w:basedOn w:val="Fuentedeprrafopredeter"/>
    <w:link w:val="Ttulo5"/>
    <w:rsid w:val="006355F7"/>
    <w:rPr>
      <w:rFonts w:ascii="Bookman Old Style" w:eastAsia="Times New Roman" w:hAnsi="Bookman Old Style" w:cs="Times New Roman"/>
      <w:b/>
      <w:bCs/>
      <w:sz w:val="24"/>
      <w:szCs w:val="24"/>
      <w:lang w:val="es-ES" w:eastAsia="es-ES"/>
    </w:rPr>
  </w:style>
  <w:style w:type="paragraph" w:styleId="Textoindependiente">
    <w:name w:val="Body Text"/>
    <w:basedOn w:val="Normal"/>
    <w:link w:val="TextoindependienteCar"/>
    <w:semiHidden/>
    <w:rsid w:val="006355F7"/>
    <w:pPr>
      <w:jc w:val="both"/>
    </w:pPr>
    <w:rPr>
      <w:rFonts w:ascii="Bookman Old Style" w:hAnsi="Bookman Old Style" w:cs="Times New Roman"/>
      <w:lang w:val="es-MX"/>
    </w:rPr>
  </w:style>
  <w:style w:type="character" w:customStyle="1" w:styleId="TextoindependienteCar">
    <w:name w:val="Texto independiente Car"/>
    <w:basedOn w:val="Fuentedeprrafopredeter"/>
    <w:link w:val="Textoindependiente"/>
    <w:semiHidden/>
    <w:rsid w:val="006355F7"/>
    <w:rPr>
      <w:rFonts w:ascii="Bookman Old Style" w:eastAsia="Times New Roman" w:hAnsi="Bookman Old Style" w:cs="Times New Roman"/>
      <w:sz w:val="24"/>
      <w:szCs w:val="24"/>
      <w:lang w:val="es-MX" w:eastAsia="es-ES"/>
    </w:rPr>
  </w:style>
  <w:style w:type="paragraph" w:styleId="Piedepgina">
    <w:name w:val="footer"/>
    <w:basedOn w:val="Normal"/>
    <w:link w:val="PiedepginaCar"/>
    <w:semiHidden/>
    <w:rsid w:val="006355F7"/>
    <w:pPr>
      <w:tabs>
        <w:tab w:val="center" w:pos="4252"/>
        <w:tab w:val="right" w:pos="8504"/>
      </w:tabs>
    </w:pPr>
    <w:rPr>
      <w:sz w:val="20"/>
      <w:szCs w:val="20"/>
    </w:rPr>
  </w:style>
  <w:style w:type="character" w:customStyle="1" w:styleId="PiedepginaCar">
    <w:name w:val="Pie de página Car"/>
    <w:basedOn w:val="Fuentedeprrafopredeter"/>
    <w:link w:val="Piedepgina"/>
    <w:semiHidden/>
    <w:rsid w:val="006355F7"/>
    <w:rPr>
      <w:rFonts w:ascii="Arial" w:eastAsia="Times New Roman" w:hAnsi="Arial" w:cs="Arial"/>
      <w:sz w:val="20"/>
      <w:szCs w:val="20"/>
      <w:lang w:val="es-ES" w:eastAsia="es-ES"/>
    </w:rPr>
  </w:style>
  <w:style w:type="character" w:styleId="Nmerodepgina">
    <w:name w:val="page number"/>
    <w:semiHidden/>
    <w:rsid w:val="006355F7"/>
    <w:rPr>
      <w:rFonts w:ascii="Times New Roman" w:hAnsi="Times New Roman" w:cs="Times New Roman"/>
    </w:rPr>
  </w:style>
  <w:style w:type="paragraph" w:styleId="Sangradetextonormal">
    <w:name w:val="Body Text Indent"/>
    <w:basedOn w:val="Normal"/>
    <w:link w:val="SangradetextonormalCar"/>
    <w:semiHidden/>
    <w:rsid w:val="006355F7"/>
    <w:pPr>
      <w:spacing w:line="360" w:lineRule="auto"/>
      <w:jc w:val="both"/>
    </w:pPr>
    <w:rPr>
      <w:b/>
      <w:bCs/>
    </w:rPr>
  </w:style>
  <w:style w:type="character" w:customStyle="1" w:styleId="SangradetextonormalCar">
    <w:name w:val="Sangría de texto normal Car"/>
    <w:basedOn w:val="Fuentedeprrafopredeter"/>
    <w:link w:val="Sangradetextonormal"/>
    <w:semiHidden/>
    <w:rsid w:val="006355F7"/>
    <w:rPr>
      <w:rFonts w:ascii="Arial" w:eastAsia="Times New Roman" w:hAnsi="Arial" w:cs="Arial"/>
      <w:b/>
      <w:bCs/>
      <w:sz w:val="24"/>
      <w:szCs w:val="24"/>
      <w:lang w:val="es-ES" w:eastAsia="es-ES"/>
    </w:rPr>
  </w:style>
  <w:style w:type="paragraph" w:styleId="Prrafodelista">
    <w:name w:val="List Paragraph"/>
    <w:basedOn w:val="Normal"/>
    <w:uiPriority w:val="34"/>
    <w:qFormat/>
    <w:rsid w:val="006355F7"/>
    <w:pPr>
      <w:ind w:left="720"/>
      <w:contextualSpacing/>
    </w:pPr>
  </w:style>
  <w:style w:type="paragraph" w:styleId="Textodeglobo">
    <w:name w:val="Balloon Text"/>
    <w:basedOn w:val="Normal"/>
    <w:link w:val="TextodegloboCar"/>
    <w:uiPriority w:val="99"/>
    <w:semiHidden/>
    <w:unhideWhenUsed/>
    <w:rsid w:val="006355F7"/>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5F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8C37C-AAA3-45BF-B26E-DF1945E7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1366</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2018-08-31T16:11:00Z</cp:lastPrinted>
  <dcterms:created xsi:type="dcterms:W3CDTF">2018-08-31T16:12:00Z</dcterms:created>
  <dcterms:modified xsi:type="dcterms:W3CDTF">2018-10-10T19:57:00Z</dcterms:modified>
</cp:coreProperties>
</file>