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D" w:rsidRPr="00786EEB" w:rsidRDefault="00F46E8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2596/18</w:t>
      </w:r>
    </w:p>
    <w:p w:rsidR="00F46E8D" w:rsidRDefault="00F46E8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46E8D" w:rsidRPr="00762B34" w:rsidRDefault="00F46E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46E8D" w:rsidRPr="00762B34" w:rsidRDefault="00F46E8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46E8D" w:rsidRPr="00762B34" w:rsidRDefault="00F46E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46E8D" w:rsidRPr="00762B34" w:rsidRDefault="00F46E8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46E8D" w:rsidRPr="00762B34" w:rsidRDefault="00F46E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AGOSTO </w:t>
      </w:r>
      <w:r>
        <w:rPr>
          <w:rFonts w:ascii="Helvetica" w:hAnsi="Helvetica"/>
          <w:b/>
          <w:lang w:val="es-ES_tradnl"/>
        </w:rPr>
        <w:t>DE 2018</w:t>
      </w:r>
    </w:p>
    <w:p w:rsidR="00F46E8D" w:rsidRPr="00762B34" w:rsidRDefault="00F46E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46E8D" w:rsidRPr="00762B34" w:rsidRDefault="00F46E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2018-17-1-0003318</w:t>
      </w:r>
      <w:r w:rsidRPr="00762B34">
        <w:rPr>
          <w:rFonts w:ascii="Arial" w:hAnsi="Arial" w:cs="Arial"/>
          <w:b/>
          <w:lang w:val="en-US"/>
        </w:rPr>
        <w:t xml:space="preserve">, Ent. N° </w:t>
      </w:r>
      <w:r>
        <w:rPr>
          <w:rFonts w:ascii="Arial" w:hAnsi="Arial" w:cs="Arial"/>
          <w:b/>
          <w:lang w:val="en-US"/>
        </w:rPr>
        <w:t>3657/18</w:t>
      </w:r>
      <w:r w:rsidRPr="00762B34">
        <w:rPr>
          <w:rFonts w:ascii="Arial" w:hAnsi="Arial" w:cs="Arial"/>
          <w:b/>
          <w:lang w:val="en-US"/>
        </w:rPr>
        <w:t>)</w:t>
      </w:r>
    </w:p>
    <w:p w:rsidR="00F46E8D" w:rsidRDefault="00F46E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F46E8D" w:rsidRDefault="004077B0" w:rsidP="00F46E8D">
      <w:pPr>
        <w:spacing w:line="360" w:lineRule="auto"/>
        <w:ind w:firstLine="851"/>
        <w:jc w:val="both"/>
        <w:rPr>
          <w:rFonts w:ascii="Arial" w:hAnsi="Arial" w:cs="Arial"/>
        </w:rPr>
      </w:pPr>
      <w:r w:rsidRPr="00782CFA">
        <w:rPr>
          <w:rFonts w:ascii="Arial" w:hAnsi="Arial" w:cs="Arial"/>
          <w:b/>
          <w:bCs/>
        </w:rPr>
        <w:t xml:space="preserve">VISTO: </w:t>
      </w:r>
      <w:r w:rsidRPr="009B3C90">
        <w:rPr>
          <w:rFonts w:ascii="Arial" w:hAnsi="Arial" w:cs="Arial"/>
        </w:rPr>
        <w:t>los antecedentes remitidos por</w:t>
      </w:r>
      <w:r w:rsidRPr="009B3C90">
        <w:rPr>
          <w:rFonts w:ascii="Arial" w:hAnsi="Arial" w:cs="Arial"/>
          <w:spacing w:val="-3"/>
          <w:lang w:val="es-ES_tradnl"/>
        </w:rPr>
        <w:t xml:space="preserve"> la </w:t>
      </w:r>
      <w:r w:rsidRPr="009B3C90">
        <w:rPr>
          <w:rFonts w:ascii="Arial" w:hAnsi="Arial" w:cs="Arial"/>
        </w:rPr>
        <w:t>Administración Nacional de Usinas y Transmisiones Eléctricas (UTE), relacionados con la suscripción de un convenio de cooperación y servicios con el Instituto Nacion</w:t>
      </w:r>
      <w:r w:rsidR="00F46E8D">
        <w:rPr>
          <w:rFonts w:ascii="Arial" w:hAnsi="Arial" w:cs="Arial"/>
        </w:rPr>
        <w:t>al de Cooperativismo (INACOOP);</w:t>
      </w:r>
    </w:p>
    <w:p w:rsidR="001363EB" w:rsidRDefault="004077B0" w:rsidP="001363EB">
      <w:pPr>
        <w:spacing w:line="360" w:lineRule="auto"/>
        <w:ind w:firstLine="851"/>
        <w:jc w:val="both"/>
        <w:rPr>
          <w:rFonts w:ascii="Arial" w:hAnsi="Arial" w:cs="Arial"/>
        </w:rPr>
      </w:pPr>
      <w:r w:rsidRPr="009B3C90">
        <w:rPr>
          <w:rFonts w:ascii="Arial" w:hAnsi="Arial" w:cs="Arial"/>
          <w:b/>
          <w:bCs/>
        </w:rPr>
        <w:t>RESULTANDO:</w:t>
      </w:r>
      <w:r w:rsidRPr="009B3C90">
        <w:rPr>
          <w:rFonts w:ascii="Arial" w:hAnsi="Arial" w:cs="Arial"/>
        </w:rPr>
        <w:t xml:space="preserve"> </w:t>
      </w:r>
      <w:r w:rsidRPr="009B3C90">
        <w:rPr>
          <w:rFonts w:ascii="Arial" w:hAnsi="Arial" w:cs="Arial"/>
          <w:b/>
        </w:rPr>
        <w:t>1)</w:t>
      </w:r>
      <w:r w:rsidRPr="009B3C90">
        <w:rPr>
          <w:rFonts w:ascii="Arial" w:hAnsi="Arial" w:cs="Arial"/>
        </w:rPr>
        <w:t xml:space="preserve"> que por Resolución adoptada con fecha </w:t>
      </w:r>
      <w:r w:rsidR="008D265D" w:rsidRPr="009B3C90">
        <w:rPr>
          <w:rFonts w:ascii="Arial" w:hAnsi="Arial" w:cs="Arial"/>
          <w:bCs/>
          <w:spacing w:val="-3"/>
          <w:lang w:val="es-ES_tradnl"/>
        </w:rPr>
        <w:t>6/6/18</w:t>
      </w:r>
      <w:r w:rsidRPr="009B3C90">
        <w:rPr>
          <w:rFonts w:ascii="Arial" w:hAnsi="Arial" w:cs="Arial"/>
        </w:rPr>
        <w:t>, este</w:t>
      </w:r>
      <w:r w:rsidRPr="00EB12A5">
        <w:rPr>
          <w:rFonts w:ascii="Arial" w:hAnsi="Arial" w:cs="Arial"/>
        </w:rPr>
        <w:t xml:space="preserve"> Tribunal  </w:t>
      </w:r>
      <w:r w:rsidRPr="00EB12A5">
        <w:rPr>
          <w:rFonts w:ascii="Arial" w:hAnsi="Arial" w:cs="Arial"/>
          <w:lang w:val="es-MX"/>
        </w:rPr>
        <w:t xml:space="preserve">observó  el gasto emergente del  convenio </w:t>
      </w:r>
      <w:r w:rsidR="008D265D" w:rsidRPr="00EB12A5">
        <w:rPr>
          <w:rFonts w:ascii="Arial" w:hAnsi="Arial" w:cs="Arial"/>
          <w:lang w:val="es-MX"/>
        </w:rPr>
        <w:t>específico</w:t>
      </w:r>
      <w:r w:rsidRPr="00EB12A5">
        <w:rPr>
          <w:rFonts w:ascii="Arial" w:hAnsi="Arial" w:cs="Arial"/>
          <w:lang w:val="es-MX"/>
        </w:rPr>
        <w:t xml:space="preserve">  a </w:t>
      </w:r>
      <w:r w:rsidR="008D265D" w:rsidRPr="00EB12A5">
        <w:rPr>
          <w:rFonts w:ascii="Arial" w:hAnsi="Arial" w:cs="Arial"/>
          <w:lang w:val="es-MX"/>
        </w:rPr>
        <w:t>suscribir</w:t>
      </w:r>
      <w:r w:rsidRPr="00EB12A5">
        <w:rPr>
          <w:rFonts w:ascii="Arial" w:hAnsi="Arial" w:cs="Arial"/>
          <w:lang w:val="es-MX"/>
        </w:rPr>
        <w:t xml:space="preserve"> por UTE con INACOOP</w:t>
      </w:r>
      <w:r w:rsidR="0025237E">
        <w:rPr>
          <w:rFonts w:ascii="Arial" w:hAnsi="Arial" w:cs="Arial"/>
          <w:lang w:val="es-MX"/>
        </w:rPr>
        <w:t>,</w:t>
      </w:r>
      <w:r w:rsidRPr="00EB12A5">
        <w:rPr>
          <w:rFonts w:ascii="Arial" w:hAnsi="Arial" w:cs="Arial"/>
          <w:lang w:val="es-MX"/>
        </w:rPr>
        <w:t xml:space="preserve"> cuyo</w:t>
      </w:r>
      <w:r w:rsidRPr="00EB12A5">
        <w:rPr>
          <w:rFonts w:ascii="Arial" w:hAnsi="Arial" w:cs="Arial"/>
        </w:rPr>
        <w:t xml:space="preserve"> objeto consiste en que INACOOP provea a UTE de cooperativas con conocimiento técnico acreditado en instalaciones eléctricas, a efectos de que puedan llevar adelante la regularización de las instalaciones eléctricas interiores de las viviendas en condiciones de vulnerabilidad socioeconómica que UTE indique;</w:t>
      </w:r>
    </w:p>
    <w:p w:rsidR="001363EB" w:rsidRDefault="004077B0" w:rsidP="001363EB">
      <w:pPr>
        <w:spacing w:line="360" w:lineRule="auto"/>
        <w:ind w:firstLine="2694"/>
        <w:jc w:val="both"/>
        <w:rPr>
          <w:rFonts w:ascii="Arial" w:hAnsi="Arial" w:cs="Arial"/>
        </w:rPr>
      </w:pPr>
      <w:r w:rsidRPr="00EB12A5">
        <w:rPr>
          <w:rFonts w:ascii="Arial" w:hAnsi="Arial" w:cs="Arial"/>
          <w:b/>
        </w:rPr>
        <w:t>2)</w:t>
      </w:r>
      <w:r>
        <w:rPr>
          <w:rFonts w:cs="Arial"/>
        </w:rPr>
        <w:t xml:space="preserve"> </w:t>
      </w:r>
      <w:r w:rsidRPr="00EB12A5">
        <w:rPr>
          <w:rFonts w:ascii="Arial" w:hAnsi="Arial" w:cs="Arial"/>
        </w:rPr>
        <w:t>que dicha observación</w:t>
      </w:r>
      <w:r w:rsidR="009B3C90">
        <w:rPr>
          <w:rFonts w:ascii="Arial" w:hAnsi="Arial" w:cs="Arial"/>
        </w:rPr>
        <w:t>,</w:t>
      </w:r>
      <w:r w:rsidRPr="00EB12A5">
        <w:rPr>
          <w:rFonts w:ascii="Arial" w:hAnsi="Arial" w:cs="Arial"/>
        </w:rPr>
        <w:t xml:space="preserve"> se fundamentó </w:t>
      </w:r>
      <w:r w:rsidR="00EF4364" w:rsidRPr="00EB12A5">
        <w:rPr>
          <w:rFonts w:ascii="Arial" w:hAnsi="Arial" w:cs="Arial"/>
        </w:rPr>
        <w:t>en que</w:t>
      </w:r>
      <w:r w:rsidR="009B3C90">
        <w:rPr>
          <w:rFonts w:ascii="Arial" w:hAnsi="Arial" w:cs="Arial"/>
        </w:rPr>
        <w:t>,</w:t>
      </w:r>
      <w:r w:rsidR="00EF4364" w:rsidRPr="00EB12A5">
        <w:rPr>
          <w:rFonts w:ascii="Arial" w:hAnsi="Arial" w:cs="Arial"/>
        </w:rPr>
        <w:t xml:space="preserve"> si bien el convenio encuadra en las atribuciones conferidas a cada Organismo </w:t>
      </w:r>
      <w:r w:rsidR="003B6090">
        <w:rPr>
          <w:rFonts w:ascii="Arial" w:hAnsi="Arial" w:cs="Arial"/>
        </w:rPr>
        <w:t xml:space="preserve">y que resulta aplicable </w:t>
      </w:r>
      <w:r w:rsidR="00EF4364" w:rsidRPr="00EB12A5">
        <w:rPr>
          <w:rFonts w:ascii="Arial" w:hAnsi="Arial" w:cs="Arial"/>
        </w:rPr>
        <w:t>la ex</w:t>
      </w:r>
      <w:r w:rsidR="00EB12A5" w:rsidRPr="00EB12A5">
        <w:rPr>
          <w:rFonts w:ascii="Arial" w:hAnsi="Arial" w:cs="Arial"/>
        </w:rPr>
        <w:t>cepció</w:t>
      </w:r>
      <w:r w:rsidR="00EF4364" w:rsidRPr="00EB12A5">
        <w:rPr>
          <w:rFonts w:ascii="Arial" w:hAnsi="Arial" w:cs="Arial"/>
        </w:rPr>
        <w:t xml:space="preserve">n prevista en el </w:t>
      </w:r>
      <w:r w:rsidR="001363EB">
        <w:rPr>
          <w:rFonts w:ascii="Arial" w:hAnsi="Arial" w:cs="Arial"/>
        </w:rPr>
        <w:t>A</w:t>
      </w:r>
      <w:r w:rsidR="00EB12A5" w:rsidRPr="00EB12A5">
        <w:rPr>
          <w:rFonts w:ascii="Arial" w:hAnsi="Arial" w:cs="Arial"/>
        </w:rPr>
        <w:t>rtículo</w:t>
      </w:r>
      <w:r w:rsidR="00EF4364" w:rsidRPr="00EB12A5">
        <w:rPr>
          <w:rFonts w:ascii="Arial" w:hAnsi="Arial" w:cs="Arial"/>
        </w:rPr>
        <w:t xml:space="preserve"> 33, </w:t>
      </w:r>
      <w:r w:rsidR="001363EB">
        <w:rPr>
          <w:rFonts w:ascii="Arial" w:hAnsi="Arial" w:cs="Arial"/>
        </w:rPr>
        <w:t>L</w:t>
      </w:r>
      <w:r w:rsidR="00EB12A5" w:rsidRPr="00EB12A5">
        <w:rPr>
          <w:rFonts w:ascii="Arial" w:hAnsi="Arial" w:cs="Arial"/>
        </w:rPr>
        <w:t>iteral</w:t>
      </w:r>
      <w:r w:rsidR="00EF4364" w:rsidRPr="00EB12A5">
        <w:rPr>
          <w:rFonts w:ascii="Arial" w:hAnsi="Arial" w:cs="Arial"/>
        </w:rPr>
        <w:t xml:space="preserve"> C), </w:t>
      </w:r>
      <w:r w:rsidR="001363EB">
        <w:rPr>
          <w:rFonts w:ascii="Arial" w:hAnsi="Arial" w:cs="Arial"/>
        </w:rPr>
        <w:t>N</w:t>
      </w:r>
      <w:r w:rsidR="00EB12A5" w:rsidRPr="00EB12A5">
        <w:rPr>
          <w:rFonts w:ascii="Arial" w:hAnsi="Arial" w:cs="Arial"/>
        </w:rPr>
        <w:t>umeral</w:t>
      </w:r>
      <w:r w:rsidR="00EF4364" w:rsidRPr="00EB12A5">
        <w:rPr>
          <w:rFonts w:ascii="Arial" w:hAnsi="Arial" w:cs="Arial"/>
        </w:rPr>
        <w:t xml:space="preserve"> 1) del TOCAF, la referida </w:t>
      </w:r>
      <w:r w:rsidR="00EB12A5" w:rsidRPr="00EB12A5">
        <w:rPr>
          <w:rFonts w:ascii="Arial" w:hAnsi="Arial" w:cs="Arial"/>
        </w:rPr>
        <w:t>disposición</w:t>
      </w:r>
      <w:r w:rsidR="00EF4364" w:rsidRPr="00EB12A5">
        <w:rPr>
          <w:rFonts w:ascii="Arial" w:hAnsi="Arial" w:cs="Arial"/>
        </w:rPr>
        <w:t xml:space="preserve"> también prev</w:t>
      </w:r>
      <w:r w:rsidR="00EB12A5" w:rsidRPr="00EB12A5">
        <w:rPr>
          <w:rFonts w:ascii="Arial" w:hAnsi="Arial" w:cs="Arial"/>
        </w:rPr>
        <w:t>é</w:t>
      </w:r>
      <w:r w:rsidR="00EF4364" w:rsidRPr="00EB12A5">
        <w:rPr>
          <w:rFonts w:ascii="Arial" w:hAnsi="Arial" w:cs="Arial"/>
        </w:rPr>
        <w:t xml:space="preserve">  que di</w:t>
      </w:r>
      <w:r w:rsidR="00EB12A5" w:rsidRPr="00EB12A5">
        <w:rPr>
          <w:rFonts w:ascii="Arial" w:hAnsi="Arial" w:cs="Arial"/>
        </w:rPr>
        <w:t>c</w:t>
      </w:r>
      <w:r w:rsidR="00EF4364" w:rsidRPr="00EB12A5">
        <w:rPr>
          <w:rFonts w:ascii="Arial" w:hAnsi="Arial" w:cs="Arial"/>
        </w:rPr>
        <w:t xml:space="preserve">ha causal de </w:t>
      </w:r>
      <w:r w:rsidR="00EB12A5" w:rsidRPr="00EB12A5">
        <w:rPr>
          <w:rFonts w:ascii="Arial" w:hAnsi="Arial" w:cs="Arial"/>
        </w:rPr>
        <w:t>excepción</w:t>
      </w:r>
      <w:r w:rsidR="00EF4364" w:rsidRPr="00EB12A5">
        <w:rPr>
          <w:rFonts w:ascii="Arial" w:hAnsi="Arial" w:cs="Arial"/>
        </w:rPr>
        <w:t xml:space="preserve"> no puede incluir  la </w:t>
      </w:r>
      <w:r w:rsidR="00EB12A5" w:rsidRPr="00EB12A5">
        <w:rPr>
          <w:rFonts w:ascii="Arial" w:hAnsi="Arial" w:cs="Arial"/>
        </w:rPr>
        <w:t>participación</w:t>
      </w:r>
      <w:r w:rsidR="00EF4364" w:rsidRPr="00EB12A5">
        <w:rPr>
          <w:rFonts w:ascii="Arial" w:hAnsi="Arial" w:cs="Arial"/>
        </w:rPr>
        <w:t xml:space="preserve"> directa o indirecta de empresas </w:t>
      </w:r>
      <w:r w:rsidR="00EB12A5" w:rsidRPr="00EB12A5">
        <w:rPr>
          <w:rFonts w:ascii="Arial" w:hAnsi="Arial" w:cs="Arial"/>
        </w:rPr>
        <w:t>privadas</w:t>
      </w:r>
      <w:r w:rsidR="00EF4364" w:rsidRPr="00EB12A5">
        <w:rPr>
          <w:rFonts w:ascii="Arial" w:hAnsi="Arial" w:cs="Arial"/>
        </w:rPr>
        <w:t>. Asimismo, las contrataciones directas a empresas cooperativas especializadas en instalaciones eléctricas interiores previs</w:t>
      </w:r>
      <w:r w:rsidR="009B3C90">
        <w:rPr>
          <w:rFonts w:ascii="Arial" w:hAnsi="Arial" w:cs="Arial"/>
        </w:rPr>
        <w:t>tas en el convenio que realizará</w:t>
      </w:r>
      <w:r w:rsidR="00EF4364" w:rsidRPr="00EB12A5">
        <w:rPr>
          <w:rFonts w:ascii="Arial" w:hAnsi="Arial" w:cs="Arial"/>
        </w:rPr>
        <w:t xml:space="preserve"> INACOOP, no se </w:t>
      </w:r>
      <w:r w:rsidR="00EB12A5" w:rsidRPr="00EB12A5">
        <w:rPr>
          <w:rFonts w:ascii="Arial" w:hAnsi="Arial" w:cs="Arial"/>
        </w:rPr>
        <w:t>encuentra</w:t>
      </w:r>
      <w:r w:rsidR="00EF4364" w:rsidRPr="00EB12A5">
        <w:rPr>
          <w:rFonts w:ascii="Arial" w:hAnsi="Arial" w:cs="Arial"/>
        </w:rPr>
        <w:t xml:space="preserve"> amparada en ninguna causal de </w:t>
      </w:r>
      <w:r w:rsidR="00EB12A5" w:rsidRPr="00EB12A5">
        <w:rPr>
          <w:rFonts w:ascii="Arial" w:hAnsi="Arial" w:cs="Arial"/>
        </w:rPr>
        <w:t>excepción</w:t>
      </w:r>
      <w:r w:rsidR="00EF4364" w:rsidRPr="00EB12A5">
        <w:rPr>
          <w:rFonts w:ascii="Arial" w:hAnsi="Arial" w:cs="Arial"/>
        </w:rPr>
        <w:t xml:space="preserve"> para </w:t>
      </w:r>
      <w:r w:rsidR="00EB12A5" w:rsidRPr="00EB12A5">
        <w:rPr>
          <w:rFonts w:ascii="Arial" w:hAnsi="Arial" w:cs="Arial"/>
        </w:rPr>
        <w:t>prescindir</w:t>
      </w:r>
      <w:r w:rsidR="00EF4364" w:rsidRPr="00EB12A5">
        <w:rPr>
          <w:rFonts w:ascii="Arial" w:hAnsi="Arial" w:cs="Arial"/>
        </w:rPr>
        <w:t xml:space="preserve"> del procedimi</w:t>
      </w:r>
      <w:r w:rsidR="00EB12A5" w:rsidRPr="00EB12A5">
        <w:rPr>
          <w:rFonts w:ascii="Arial" w:hAnsi="Arial" w:cs="Arial"/>
        </w:rPr>
        <w:t>e</w:t>
      </w:r>
      <w:r w:rsidR="00EF4364" w:rsidRPr="00EB12A5">
        <w:rPr>
          <w:rFonts w:ascii="Arial" w:hAnsi="Arial" w:cs="Arial"/>
        </w:rPr>
        <w:t>n</w:t>
      </w:r>
      <w:r w:rsidR="00EB12A5" w:rsidRPr="00EB12A5">
        <w:rPr>
          <w:rFonts w:ascii="Arial" w:hAnsi="Arial" w:cs="Arial"/>
        </w:rPr>
        <w:t>t</w:t>
      </w:r>
      <w:r w:rsidR="00EF4364" w:rsidRPr="00EB12A5">
        <w:rPr>
          <w:rFonts w:ascii="Arial" w:hAnsi="Arial" w:cs="Arial"/>
        </w:rPr>
        <w:t>o competitivo que</w:t>
      </w:r>
      <w:r w:rsidR="00AA0AC5">
        <w:rPr>
          <w:rFonts w:ascii="Arial" w:hAnsi="Arial" w:cs="Arial"/>
        </w:rPr>
        <w:t xml:space="preserve"> en</w:t>
      </w:r>
      <w:r w:rsidR="00EF4364" w:rsidRPr="00EB12A5">
        <w:rPr>
          <w:rFonts w:ascii="Arial" w:hAnsi="Arial" w:cs="Arial"/>
        </w:rPr>
        <w:t xml:space="preserve"> atención al monto total del gasto corresponde;</w:t>
      </w:r>
    </w:p>
    <w:p w:rsidR="0020595D" w:rsidRDefault="004077B0" w:rsidP="0020595D">
      <w:pPr>
        <w:spacing w:line="360" w:lineRule="auto"/>
        <w:ind w:firstLine="2694"/>
        <w:jc w:val="both"/>
        <w:rPr>
          <w:rFonts w:ascii="Arial" w:hAnsi="Arial" w:cs="Arial"/>
          <w:bCs/>
          <w:spacing w:val="-3"/>
          <w:lang w:val="es-ES_tradnl"/>
        </w:rPr>
      </w:pPr>
      <w:r w:rsidRPr="00782CFA">
        <w:rPr>
          <w:rFonts w:ascii="Arial" w:hAnsi="Arial" w:cs="Arial"/>
          <w:b/>
          <w:bCs/>
          <w:spacing w:val="-3"/>
          <w:lang w:val="es-ES_tradnl"/>
        </w:rPr>
        <w:lastRenderedPageBreak/>
        <w:t>3)</w:t>
      </w:r>
      <w:r w:rsidRPr="00782CFA">
        <w:rPr>
          <w:rFonts w:ascii="Arial" w:hAnsi="Arial" w:cs="Arial"/>
          <w:bCs/>
          <w:spacing w:val="-3"/>
          <w:lang w:val="es-ES_tradnl"/>
        </w:rPr>
        <w:t xml:space="preserve"> que en esta oportunidad</w:t>
      </w:r>
      <w:r>
        <w:rPr>
          <w:rFonts w:ascii="Arial" w:hAnsi="Arial" w:cs="Arial"/>
          <w:bCs/>
          <w:spacing w:val="-3"/>
          <w:lang w:val="es-ES_tradnl"/>
        </w:rPr>
        <w:t>,</w:t>
      </w:r>
      <w:r w:rsidRPr="00782CFA">
        <w:rPr>
          <w:rFonts w:ascii="Arial" w:hAnsi="Arial" w:cs="Arial"/>
          <w:bCs/>
          <w:spacing w:val="-3"/>
          <w:lang w:val="es-ES_tradnl"/>
        </w:rPr>
        <w:t xml:space="preserve"> se remite Resolución del Directorio de UTE Nº 1</w:t>
      </w:r>
      <w:r w:rsidR="00EF4364">
        <w:rPr>
          <w:rFonts w:ascii="Arial" w:hAnsi="Arial" w:cs="Arial"/>
          <w:bCs/>
          <w:spacing w:val="-3"/>
          <w:lang w:val="es-ES_tradnl"/>
        </w:rPr>
        <w:t>8</w:t>
      </w:r>
      <w:r w:rsidRPr="00782CFA">
        <w:rPr>
          <w:rFonts w:ascii="Arial" w:hAnsi="Arial" w:cs="Arial"/>
          <w:bCs/>
          <w:spacing w:val="-3"/>
          <w:lang w:val="es-ES_tradnl"/>
        </w:rPr>
        <w:t>-</w:t>
      </w:r>
      <w:r w:rsidR="00EF4364">
        <w:rPr>
          <w:rFonts w:ascii="Arial" w:hAnsi="Arial" w:cs="Arial"/>
          <w:bCs/>
          <w:spacing w:val="-3"/>
          <w:lang w:val="es-ES_tradnl"/>
        </w:rPr>
        <w:t>1677</w:t>
      </w:r>
      <w:r w:rsidRPr="00782CFA">
        <w:rPr>
          <w:rFonts w:ascii="Arial" w:hAnsi="Arial" w:cs="Arial"/>
          <w:bCs/>
          <w:spacing w:val="-3"/>
          <w:lang w:val="es-ES_tradnl"/>
        </w:rPr>
        <w:t xml:space="preserve"> del </w:t>
      </w:r>
      <w:r w:rsidR="00EF4364">
        <w:rPr>
          <w:rFonts w:ascii="Arial" w:hAnsi="Arial" w:cs="Arial"/>
          <w:bCs/>
          <w:spacing w:val="-3"/>
          <w:lang w:val="es-ES_tradnl"/>
        </w:rPr>
        <w:t>12</w:t>
      </w:r>
      <w:r w:rsidRPr="00782CFA">
        <w:rPr>
          <w:rFonts w:ascii="Arial" w:hAnsi="Arial" w:cs="Arial"/>
          <w:bCs/>
          <w:spacing w:val="-3"/>
          <w:lang w:val="es-ES_tradnl"/>
        </w:rPr>
        <w:t>/</w:t>
      </w:r>
      <w:r w:rsidR="00EF4364">
        <w:rPr>
          <w:rFonts w:ascii="Arial" w:hAnsi="Arial" w:cs="Arial"/>
          <w:bCs/>
          <w:spacing w:val="-3"/>
          <w:lang w:val="es-ES_tradnl"/>
        </w:rPr>
        <w:t>7</w:t>
      </w:r>
      <w:r w:rsidRPr="00782CFA">
        <w:rPr>
          <w:rFonts w:ascii="Arial" w:hAnsi="Arial" w:cs="Arial"/>
          <w:bCs/>
          <w:spacing w:val="-3"/>
          <w:lang w:val="es-ES_tradnl"/>
        </w:rPr>
        <w:t>/1</w:t>
      </w:r>
      <w:r w:rsidR="00EF4364">
        <w:rPr>
          <w:rFonts w:ascii="Arial" w:hAnsi="Arial" w:cs="Arial"/>
          <w:bCs/>
          <w:spacing w:val="-3"/>
          <w:lang w:val="es-ES_tradnl"/>
        </w:rPr>
        <w:t>8</w:t>
      </w:r>
      <w:r w:rsidRPr="00782CFA">
        <w:rPr>
          <w:rFonts w:ascii="Arial" w:hAnsi="Arial" w:cs="Arial"/>
          <w:bCs/>
          <w:spacing w:val="-3"/>
          <w:lang w:val="es-ES_tradnl"/>
        </w:rPr>
        <w:t>,  por intermedio de la cual se dispone reiterar el gasto observado por este Tribunal con fecha 6/</w:t>
      </w:r>
      <w:r w:rsidR="00EF4364">
        <w:rPr>
          <w:rFonts w:ascii="Arial" w:hAnsi="Arial" w:cs="Arial"/>
          <w:bCs/>
          <w:spacing w:val="-3"/>
          <w:lang w:val="es-ES_tradnl"/>
        </w:rPr>
        <w:t>6</w:t>
      </w:r>
      <w:r w:rsidRPr="00782CFA">
        <w:rPr>
          <w:rFonts w:ascii="Arial" w:hAnsi="Arial" w:cs="Arial"/>
          <w:bCs/>
          <w:spacing w:val="-3"/>
          <w:lang w:val="es-ES_tradnl"/>
        </w:rPr>
        <w:t>/1</w:t>
      </w:r>
      <w:r w:rsidR="00EF4364">
        <w:rPr>
          <w:rFonts w:ascii="Arial" w:hAnsi="Arial" w:cs="Arial"/>
          <w:bCs/>
          <w:spacing w:val="-3"/>
          <w:lang w:val="es-ES_tradnl"/>
        </w:rPr>
        <w:t>8</w:t>
      </w:r>
      <w:r w:rsidRPr="00782CFA">
        <w:rPr>
          <w:rFonts w:ascii="Arial" w:hAnsi="Arial" w:cs="Arial"/>
          <w:bCs/>
          <w:spacing w:val="-3"/>
          <w:lang w:val="es-ES_tradnl"/>
        </w:rPr>
        <w:t xml:space="preserve">, </w:t>
      </w:r>
      <w:r w:rsidR="009B3C90">
        <w:rPr>
          <w:rFonts w:ascii="Arial" w:hAnsi="Arial" w:cs="Arial"/>
          <w:bCs/>
          <w:spacing w:val="-3"/>
          <w:lang w:val="es-ES_tradnl"/>
        </w:rPr>
        <w:t>en virtud que</w:t>
      </w:r>
      <w:r w:rsidR="00B43CD5">
        <w:rPr>
          <w:rFonts w:ascii="Arial" w:hAnsi="Arial" w:cs="Arial"/>
          <w:bCs/>
          <w:spacing w:val="-3"/>
          <w:lang w:val="es-ES_tradnl"/>
        </w:rPr>
        <w:t>:</w:t>
      </w:r>
    </w:p>
    <w:p w:rsidR="0020595D" w:rsidRDefault="0020595D" w:rsidP="0020595D">
      <w:pPr>
        <w:spacing w:line="360" w:lineRule="auto"/>
        <w:ind w:firstLine="2694"/>
        <w:jc w:val="both"/>
        <w:rPr>
          <w:rFonts w:ascii="Arial" w:hAnsi="Arial" w:cs="Arial"/>
          <w:bCs/>
          <w:spacing w:val="-3"/>
          <w:lang w:val="es-ES_tradnl"/>
        </w:rPr>
      </w:pPr>
      <w:r w:rsidRPr="0020595D">
        <w:rPr>
          <w:rFonts w:ascii="Arial" w:hAnsi="Arial" w:cs="Arial"/>
          <w:b/>
          <w:bCs/>
          <w:spacing w:val="-3"/>
          <w:lang w:val="es-ES_tradnl"/>
        </w:rPr>
        <w:t>3.1)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no se comparte la asimilación de las cooperativas al concepto de empresa privada, en virtud que las referidas entidades gozan de un status  diverso al de las </w:t>
      </w:r>
      <w:r w:rsidR="00EB12A5">
        <w:rPr>
          <w:rFonts w:ascii="Arial" w:hAnsi="Arial" w:cs="Arial"/>
          <w:bCs/>
          <w:spacing w:val="-3"/>
          <w:lang w:val="es-ES_tradnl"/>
        </w:rPr>
        <w:t>asociaciones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prevista</w:t>
      </w:r>
      <w:r w:rsidR="009B3C90">
        <w:rPr>
          <w:rFonts w:ascii="Arial" w:hAnsi="Arial" w:cs="Arial"/>
          <w:bCs/>
          <w:spacing w:val="-3"/>
          <w:lang w:val="es-ES_tradnl"/>
        </w:rPr>
        <w:t>s</w:t>
      </w:r>
      <w:r>
        <w:rPr>
          <w:rFonts w:ascii="Arial" w:hAnsi="Arial" w:cs="Arial"/>
          <w:bCs/>
          <w:spacing w:val="-3"/>
          <w:lang w:val="es-ES_tradnl"/>
        </w:rPr>
        <w:t xml:space="preserve"> en la L</w:t>
      </w:r>
      <w:r w:rsidR="00B43CD5">
        <w:rPr>
          <w:rFonts w:ascii="Arial" w:hAnsi="Arial" w:cs="Arial"/>
          <w:bCs/>
          <w:spacing w:val="-3"/>
          <w:lang w:val="es-ES_tradnl"/>
        </w:rPr>
        <w:t xml:space="preserve">ey Nº 16.060 y se rigen por un derecho autónomo, diferente, </w:t>
      </w:r>
      <w:r w:rsidR="009B3C90">
        <w:rPr>
          <w:rFonts w:ascii="Arial" w:hAnsi="Arial" w:cs="Arial"/>
          <w:bCs/>
          <w:spacing w:val="-3"/>
          <w:lang w:val="es-ES_tradnl"/>
        </w:rPr>
        <w:t xml:space="preserve">denominado </w:t>
      </w:r>
      <w:r w:rsidR="00B43CD5">
        <w:rPr>
          <w:rFonts w:ascii="Arial" w:hAnsi="Arial" w:cs="Arial"/>
          <w:bCs/>
          <w:spacing w:val="-3"/>
          <w:lang w:val="es-ES_tradnl"/>
        </w:rPr>
        <w:t>derecho cooperativo. Tal afirmación surge expresamente del</w:t>
      </w:r>
      <w:r w:rsidR="00EB12A5">
        <w:rPr>
          <w:rFonts w:ascii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A</w:t>
      </w:r>
      <w:r w:rsidR="00B43CD5">
        <w:rPr>
          <w:rFonts w:ascii="Arial" w:hAnsi="Arial" w:cs="Arial"/>
          <w:bCs/>
          <w:spacing w:val="-3"/>
          <w:lang w:val="es-ES_tradnl"/>
        </w:rPr>
        <w:t>rt</w:t>
      </w:r>
      <w:r w:rsidR="00EB12A5">
        <w:rPr>
          <w:rFonts w:ascii="Arial" w:hAnsi="Arial" w:cs="Arial"/>
          <w:bCs/>
          <w:spacing w:val="-3"/>
          <w:lang w:val="es-ES_tradnl"/>
        </w:rPr>
        <w:t>í</w:t>
      </w:r>
      <w:r>
        <w:rPr>
          <w:rFonts w:ascii="Arial" w:hAnsi="Arial" w:cs="Arial"/>
          <w:bCs/>
          <w:spacing w:val="-3"/>
          <w:lang w:val="es-ES_tradnl"/>
        </w:rPr>
        <w:t>culo 3º de la Ley 18407 que só</w:t>
      </w:r>
      <w:r w:rsidR="00B43CD5">
        <w:rPr>
          <w:rFonts w:ascii="Arial" w:hAnsi="Arial" w:cs="Arial"/>
          <w:bCs/>
          <w:spacing w:val="-3"/>
          <w:lang w:val="es-ES_tradnl"/>
        </w:rPr>
        <w:t xml:space="preserve">lo admite que las </w:t>
      </w:r>
      <w:r w:rsidR="00EB12A5">
        <w:rPr>
          <w:rFonts w:ascii="Arial" w:hAnsi="Arial" w:cs="Arial"/>
          <w:bCs/>
          <w:spacing w:val="-3"/>
          <w:lang w:val="es-ES_tradnl"/>
        </w:rPr>
        <w:t>disposiciones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sobre </w:t>
      </w:r>
      <w:r w:rsidR="00EB12A5">
        <w:rPr>
          <w:rFonts w:ascii="Arial" w:hAnsi="Arial" w:cs="Arial"/>
          <w:bCs/>
          <w:spacing w:val="-3"/>
          <w:lang w:val="es-ES_tradnl"/>
        </w:rPr>
        <w:t>sociedades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comerciales apliquen a las </w:t>
      </w:r>
      <w:r w:rsidR="00EB12A5">
        <w:rPr>
          <w:rFonts w:ascii="Arial" w:hAnsi="Arial" w:cs="Arial"/>
          <w:bCs/>
          <w:spacing w:val="-3"/>
          <w:lang w:val="es-ES_tradnl"/>
        </w:rPr>
        <w:t>cooperativas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en lo no </w:t>
      </w:r>
      <w:r w:rsidR="00EB12A5">
        <w:rPr>
          <w:rFonts w:ascii="Arial" w:hAnsi="Arial" w:cs="Arial"/>
          <w:bCs/>
          <w:spacing w:val="-3"/>
          <w:lang w:val="es-ES_tradnl"/>
        </w:rPr>
        <w:t>previsto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expresame</w:t>
      </w:r>
      <w:r>
        <w:rPr>
          <w:rFonts w:ascii="Arial" w:hAnsi="Arial" w:cs="Arial"/>
          <w:bCs/>
          <w:spacing w:val="-3"/>
          <w:lang w:val="es-ES_tradnl"/>
        </w:rPr>
        <w:t>nte por la L</w:t>
      </w:r>
      <w:r w:rsidR="00B43CD5">
        <w:rPr>
          <w:rFonts w:ascii="Arial" w:hAnsi="Arial" w:cs="Arial"/>
          <w:bCs/>
          <w:spacing w:val="-3"/>
          <w:lang w:val="es-ES_tradnl"/>
        </w:rPr>
        <w:t>ey referida</w:t>
      </w:r>
      <w:r w:rsidR="003B6090">
        <w:rPr>
          <w:rFonts w:ascii="Arial" w:hAnsi="Arial" w:cs="Arial"/>
          <w:bCs/>
          <w:spacing w:val="-3"/>
          <w:lang w:val="es-ES_tradnl"/>
        </w:rPr>
        <w:t>;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y</w:t>
      </w:r>
    </w:p>
    <w:p w:rsidR="00686D16" w:rsidRDefault="0020595D" w:rsidP="0020595D">
      <w:pPr>
        <w:spacing w:line="360" w:lineRule="auto"/>
        <w:ind w:firstLine="2694"/>
        <w:jc w:val="both"/>
        <w:rPr>
          <w:rFonts w:ascii="Arial" w:hAnsi="Arial" w:cs="Arial"/>
          <w:bCs/>
          <w:spacing w:val="-3"/>
          <w:lang w:val="es-ES_tradnl"/>
        </w:rPr>
      </w:pPr>
      <w:r w:rsidRPr="0020595D">
        <w:rPr>
          <w:rFonts w:ascii="Arial" w:hAnsi="Arial" w:cs="Arial"/>
          <w:b/>
          <w:bCs/>
          <w:spacing w:val="-3"/>
          <w:lang w:val="es-ES_tradnl"/>
        </w:rPr>
        <w:t>3.2)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que la referencia al monto total de la </w:t>
      </w:r>
      <w:r w:rsidR="00EB12A5">
        <w:rPr>
          <w:rFonts w:ascii="Arial" w:hAnsi="Arial" w:cs="Arial"/>
          <w:bCs/>
          <w:spacing w:val="-3"/>
          <w:lang w:val="es-ES_tradnl"/>
        </w:rPr>
        <w:t>contratación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a </w:t>
      </w:r>
      <w:r w:rsidR="00EB12A5">
        <w:rPr>
          <w:rFonts w:ascii="Arial" w:hAnsi="Arial" w:cs="Arial"/>
          <w:bCs/>
          <w:spacing w:val="-3"/>
          <w:lang w:val="es-ES_tradnl"/>
        </w:rPr>
        <w:t>efectos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de extraer de allí que las contrat</w:t>
      </w:r>
      <w:r w:rsidR="00EB12A5">
        <w:rPr>
          <w:rFonts w:ascii="Arial" w:hAnsi="Arial" w:cs="Arial"/>
          <w:bCs/>
          <w:spacing w:val="-3"/>
          <w:lang w:val="es-ES_tradnl"/>
        </w:rPr>
        <w:t>ac</w:t>
      </w:r>
      <w:r w:rsidR="00B43CD5">
        <w:rPr>
          <w:rFonts w:ascii="Arial" w:hAnsi="Arial" w:cs="Arial"/>
          <w:bCs/>
          <w:spacing w:val="-3"/>
          <w:lang w:val="es-ES_tradnl"/>
        </w:rPr>
        <w:t xml:space="preserve">iones a </w:t>
      </w:r>
      <w:r w:rsidR="00EB12A5">
        <w:rPr>
          <w:rFonts w:ascii="Arial" w:hAnsi="Arial" w:cs="Arial"/>
          <w:bCs/>
          <w:spacing w:val="-3"/>
          <w:lang w:val="es-ES_tradnl"/>
        </w:rPr>
        <w:t>efectuar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con las </w:t>
      </w:r>
      <w:r w:rsidR="00EB12A5">
        <w:rPr>
          <w:rFonts w:ascii="Arial" w:hAnsi="Arial" w:cs="Arial"/>
          <w:bCs/>
          <w:spacing w:val="-3"/>
          <w:lang w:val="es-ES_tradnl"/>
        </w:rPr>
        <w:t>cooperativas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por </w:t>
      </w:r>
      <w:r w:rsidR="00EB12A5">
        <w:rPr>
          <w:rFonts w:ascii="Arial" w:hAnsi="Arial" w:cs="Arial"/>
          <w:bCs/>
          <w:spacing w:val="-3"/>
          <w:lang w:val="es-ES_tradnl"/>
        </w:rPr>
        <w:t>parte de I</w:t>
      </w:r>
      <w:r w:rsidR="0025237E">
        <w:rPr>
          <w:rFonts w:ascii="Arial" w:hAnsi="Arial" w:cs="Arial"/>
          <w:bCs/>
          <w:spacing w:val="-3"/>
          <w:lang w:val="es-ES_tradnl"/>
        </w:rPr>
        <w:t>N</w:t>
      </w:r>
      <w:r w:rsidR="00EB12A5">
        <w:rPr>
          <w:rFonts w:ascii="Arial" w:hAnsi="Arial" w:cs="Arial"/>
          <w:bCs/>
          <w:spacing w:val="-3"/>
          <w:lang w:val="es-ES_tradnl"/>
        </w:rPr>
        <w:t>ACOOP superará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</w:t>
      </w:r>
      <w:r w:rsidR="00EB12A5">
        <w:rPr>
          <w:rFonts w:ascii="Arial" w:hAnsi="Arial" w:cs="Arial"/>
          <w:bCs/>
          <w:spacing w:val="-3"/>
          <w:lang w:val="es-ES_tradnl"/>
        </w:rPr>
        <w:t>el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de </w:t>
      </w:r>
      <w:r w:rsidR="0025237E">
        <w:rPr>
          <w:rFonts w:ascii="Arial" w:hAnsi="Arial" w:cs="Arial"/>
          <w:bCs/>
          <w:spacing w:val="-3"/>
          <w:lang w:val="es-ES_tradnl"/>
        </w:rPr>
        <w:t>l</w:t>
      </w:r>
      <w:r w:rsidR="00B43CD5">
        <w:rPr>
          <w:rFonts w:ascii="Arial" w:hAnsi="Arial" w:cs="Arial"/>
          <w:bCs/>
          <w:spacing w:val="-3"/>
          <w:lang w:val="es-ES_tradnl"/>
        </w:rPr>
        <w:t xml:space="preserve">a compra directa, no resulta de recibo siendo que serán </w:t>
      </w:r>
      <w:r w:rsidR="00EB12A5">
        <w:rPr>
          <w:rFonts w:ascii="Arial" w:hAnsi="Arial" w:cs="Arial"/>
          <w:bCs/>
          <w:spacing w:val="-3"/>
          <w:lang w:val="es-ES_tradnl"/>
        </w:rPr>
        <w:t>múltiples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las cooperativas a </w:t>
      </w:r>
      <w:r w:rsidR="00EB12A5">
        <w:rPr>
          <w:rFonts w:ascii="Arial" w:hAnsi="Arial" w:cs="Arial"/>
          <w:bCs/>
          <w:spacing w:val="-3"/>
          <w:lang w:val="es-ES_tradnl"/>
        </w:rPr>
        <w:t>contratar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con ámbitos geográficos y </w:t>
      </w:r>
      <w:r w:rsidR="00EB12A5">
        <w:rPr>
          <w:rFonts w:ascii="Arial" w:hAnsi="Arial" w:cs="Arial"/>
          <w:bCs/>
          <w:spacing w:val="-3"/>
          <w:lang w:val="es-ES_tradnl"/>
        </w:rPr>
        <w:t>magnitud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de actuación </w:t>
      </w:r>
      <w:r w:rsidR="00EB12A5">
        <w:rPr>
          <w:rFonts w:ascii="Arial" w:hAnsi="Arial" w:cs="Arial"/>
          <w:bCs/>
          <w:spacing w:val="-3"/>
          <w:lang w:val="es-ES_tradnl"/>
        </w:rPr>
        <w:t>diversos</w:t>
      </w:r>
      <w:r w:rsidR="00B43CD5">
        <w:rPr>
          <w:rFonts w:ascii="Arial" w:hAnsi="Arial" w:cs="Arial"/>
          <w:bCs/>
          <w:spacing w:val="-3"/>
          <w:lang w:val="es-ES_tradnl"/>
        </w:rPr>
        <w:t>, debiendo tener presente que se p</w:t>
      </w:r>
      <w:r w:rsidR="00EB12A5">
        <w:rPr>
          <w:rFonts w:ascii="Arial" w:hAnsi="Arial" w:cs="Arial"/>
          <w:bCs/>
          <w:spacing w:val="-3"/>
          <w:lang w:val="es-ES_tradnl"/>
        </w:rPr>
        <w:t>revé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que cada regularización implica un </w:t>
      </w:r>
      <w:r w:rsidR="00EB12A5">
        <w:rPr>
          <w:rFonts w:ascii="Arial" w:hAnsi="Arial" w:cs="Arial"/>
          <w:bCs/>
          <w:spacing w:val="-3"/>
          <w:lang w:val="es-ES_tradnl"/>
        </w:rPr>
        <w:t>costo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aproximado de $ 26.500, ajustable </w:t>
      </w:r>
      <w:r w:rsidR="00EB12A5">
        <w:rPr>
          <w:rFonts w:ascii="Arial" w:hAnsi="Arial" w:cs="Arial"/>
          <w:bCs/>
          <w:spacing w:val="-3"/>
          <w:lang w:val="es-ES_tradnl"/>
        </w:rPr>
        <w:t>anualmente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por la Unida </w:t>
      </w:r>
      <w:r w:rsidR="00EB12A5">
        <w:rPr>
          <w:rFonts w:ascii="Arial" w:hAnsi="Arial" w:cs="Arial"/>
          <w:bCs/>
          <w:spacing w:val="-3"/>
          <w:lang w:val="es-ES_tradnl"/>
        </w:rPr>
        <w:t>Básica</w:t>
      </w:r>
      <w:r w:rsidR="00B43CD5">
        <w:rPr>
          <w:rFonts w:ascii="Arial" w:hAnsi="Arial" w:cs="Arial"/>
          <w:bCs/>
          <w:spacing w:val="-3"/>
          <w:lang w:val="es-ES_tradnl"/>
        </w:rPr>
        <w:t xml:space="preserve"> de Tasa (UBT)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con lo cual no es </w:t>
      </w:r>
      <w:r w:rsidR="00EB12A5">
        <w:rPr>
          <w:rFonts w:ascii="Arial" w:hAnsi="Arial" w:cs="Arial"/>
          <w:bCs/>
          <w:spacing w:val="-3"/>
          <w:lang w:val="es-ES_tradnl"/>
        </w:rPr>
        <w:t>posible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afirmar a</w:t>
      </w:r>
      <w:r w:rsidR="00EB12A5">
        <w:rPr>
          <w:rFonts w:ascii="Arial" w:hAnsi="Arial" w:cs="Arial"/>
          <w:bCs/>
          <w:spacing w:val="-3"/>
          <w:lang w:val="es-ES_tradnl"/>
        </w:rPr>
        <w:t xml:space="preserve"> </w:t>
      </w:r>
      <w:r w:rsidR="00686D16">
        <w:rPr>
          <w:rFonts w:ascii="Arial" w:hAnsi="Arial" w:cs="Arial"/>
          <w:bCs/>
          <w:spacing w:val="-3"/>
          <w:lang w:val="es-ES_tradnl"/>
        </w:rPr>
        <w:t>prior</w:t>
      </w:r>
      <w:r w:rsidR="00EB12A5">
        <w:rPr>
          <w:rFonts w:ascii="Arial" w:hAnsi="Arial" w:cs="Arial"/>
          <w:bCs/>
          <w:spacing w:val="-3"/>
          <w:lang w:val="es-ES_tradnl"/>
        </w:rPr>
        <w:t>i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que cada contr</w:t>
      </w:r>
      <w:r w:rsidR="00EB12A5">
        <w:rPr>
          <w:rFonts w:ascii="Arial" w:hAnsi="Arial" w:cs="Arial"/>
          <w:bCs/>
          <w:spacing w:val="-3"/>
          <w:lang w:val="es-ES_tradnl"/>
        </w:rPr>
        <w:t>atació</w:t>
      </w:r>
      <w:r w:rsidR="00686D16">
        <w:rPr>
          <w:rFonts w:ascii="Arial" w:hAnsi="Arial" w:cs="Arial"/>
          <w:bCs/>
          <w:spacing w:val="-3"/>
          <w:lang w:val="es-ES_tradnl"/>
        </w:rPr>
        <w:t xml:space="preserve">n </w:t>
      </w:r>
      <w:r w:rsidR="00EB12A5">
        <w:rPr>
          <w:rFonts w:ascii="Arial" w:hAnsi="Arial" w:cs="Arial"/>
          <w:bCs/>
          <w:spacing w:val="-3"/>
          <w:lang w:val="es-ES_tradnl"/>
        </w:rPr>
        <w:t>superar</w:t>
      </w:r>
      <w:r w:rsidR="009B3C90">
        <w:rPr>
          <w:rFonts w:ascii="Arial" w:hAnsi="Arial" w:cs="Arial"/>
          <w:bCs/>
          <w:spacing w:val="-3"/>
          <w:lang w:val="es-ES_tradnl"/>
        </w:rPr>
        <w:t>á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el </w:t>
      </w:r>
      <w:r w:rsidR="00EB12A5">
        <w:rPr>
          <w:rFonts w:ascii="Arial" w:hAnsi="Arial" w:cs="Arial"/>
          <w:bCs/>
          <w:spacing w:val="-3"/>
          <w:lang w:val="es-ES_tradnl"/>
        </w:rPr>
        <w:t>límite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previsto por el TOCAF para l</w:t>
      </w:r>
      <w:r w:rsidR="00EB12A5">
        <w:rPr>
          <w:rFonts w:ascii="Arial" w:hAnsi="Arial" w:cs="Arial"/>
          <w:bCs/>
          <w:spacing w:val="-3"/>
          <w:lang w:val="es-ES_tradnl"/>
        </w:rPr>
        <w:t>a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compra directa.</w:t>
      </w:r>
      <w:r w:rsidR="00EB12A5">
        <w:rPr>
          <w:rFonts w:ascii="Arial" w:hAnsi="Arial" w:cs="Arial"/>
          <w:bCs/>
          <w:spacing w:val="-3"/>
          <w:lang w:val="es-ES_tradnl"/>
        </w:rPr>
        <w:t xml:space="preserve"> </w:t>
      </w:r>
      <w:r w:rsidR="00686D16">
        <w:rPr>
          <w:rFonts w:ascii="Arial" w:hAnsi="Arial" w:cs="Arial"/>
          <w:bCs/>
          <w:spacing w:val="-3"/>
          <w:lang w:val="es-ES_tradnl"/>
        </w:rPr>
        <w:t xml:space="preserve">Por lo </w:t>
      </w:r>
      <w:r w:rsidR="00EB12A5">
        <w:rPr>
          <w:rFonts w:ascii="Arial" w:hAnsi="Arial" w:cs="Arial"/>
          <w:bCs/>
          <w:spacing w:val="-3"/>
          <w:lang w:val="es-ES_tradnl"/>
        </w:rPr>
        <w:t>tanto</w:t>
      </w:r>
      <w:r w:rsidR="00686D16">
        <w:rPr>
          <w:rFonts w:ascii="Arial" w:hAnsi="Arial" w:cs="Arial"/>
          <w:bCs/>
          <w:spacing w:val="-3"/>
          <w:lang w:val="es-ES_tradnl"/>
        </w:rPr>
        <w:t xml:space="preserve">, no es </w:t>
      </w:r>
      <w:r w:rsidR="00EB12A5">
        <w:rPr>
          <w:rFonts w:ascii="Arial" w:hAnsi="Arial" w:cs="Arial"/>
          <w:bCs/>
          <w:spacing w:val="-3"/>
          <w:lang w:val="es-ES_tradnl"/>
        </w:rPr>
        <w:t>posible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que se pueda concluir que no apli</w:t>
      </w:r>
      <w:r w:rsidR="00EB12A5">
        <w:rPr>
          <w:rFonts w:ascii="Arial" w:hAnsi="Arial" w:cs="Arial"/>
          <w:bCs/>
          <w:spacing w:val="-3"/>
          <w:lang w:val="es-ES_tradnl"/>
        </w:rPr>
        <w:t>cará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la causal de ex</w:t>
      </w:r>
      <w:r w:rsidR="00EB12A5">
        <w:rPr>
          <w:rFonts w:ascii="Arial" w:hAnsi="Arial" w:cs="Arial"/>
          <w:bCs/>
          <w:spacing w:val="-3"/>
          <w:lang w:val="es-ES_tradnl"/>
        </w:rPr>
        <w:t>cepció</w:t>
      </w:r>
      <w:r w:rsidR="00686D16">
        <w:rPr>
          <w:rFonts w:ascii="Arial" w:hAnsi="Arial" w:cs="Arial"/>
          <w:bCs/>
          <w:spacing w:val="-3"/>
          <w:lang w:val="es-ES_tradnl"/>
        </w:rPr>
        <w:t>n que habilita la contra</w:t>
      </w:r>
      <w:r w:rsidR="00EB12A5">
        <w:rPr>
          <w:rFonts w:ascii="Arial" w:hAnsi="Arial" w:cs="Arial"/>
          <w:bCs/>
          <w:spacing w:val="-3"/>
          <w:lang w:val="es-ES_tradnl"/>
        </w:rPr>
        <w:t>tació</w:t>
      </w:r>
      <w:r w:rsidR="00686D16">
        <w:rPr>
          <w:rFonts w:ascii="Arial" w:hAnsi="Arial" w:cs="Arial"/>
          <w:bCs/>
          <w:spacing w:val="-3"/>
          <w:lang w:val="es-ES_tradnl"/>
        </w:rPr>
        <w:t xml:space="preserve">n directa por monto, </w:t>
      </w:r>
      <w:r w:rsidR="00EB12A5">
        <w:rPr>
          <w:rFonts w:ascii="Arial" w:hAnsi="Arial" w:cs="Arial"/>
          <w:bCs/>
          <w:spacing w:val="-3"/>
          <w:lang w:val="es-ES_tradnl"/>
        </w:rPr>
        <w:t>tomando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en cuenta solamente el monto </w:t>
      </w:r>
      <w:r w:rsidR="00EB12A5">
        <w:rPr>
          <w:rFonts w:ascii="Arial" w:hAnsi="Arial" w:cs="Arial"/>
          <w:bCs/>
          <w:spacing w:val="-3"/>
          <w:lang w:val="es-ES_tradnl"/>
        </w:rPr>
        <w:t>global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ordenad</w:t>
      </w:r>
      <w:r w:rsidR="009B3C90">
        <w:rPr>
          <w:rFonts w:ascii="Arial" w:hAnsi="Arial" w:cs="Arial"/>
          <w:bCs/>
          <w:spacing w:val="-3"/>
          <w:lang w:val="es-ES_tradnl"/>
        </w:rPr>
        <w:t>o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el </w:t>
      </w:r>
      <w:r w:rsidR="00EB12A5">
        <w:rPr>
          <w:rFonts w:ascii="Arial" w:hAnsi="Arial" w:cs="Arial"/>
          <w:bCs/>
          <w:spacing w:val="-3"/>
          <w:lang w:val="es-ES_tradnl"/>
        </w:rPr>
        <w:t>cual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rige para la </w:t>
      </w:r>
      <w:r w:rsidR="00EB12A5">
        <w:rPr>
          <w:rFonts w:ascii="Arial" w:hAnsi="Arial" w:cs="Arial"/>
          <w:bCs/>
          <w:spacing w:val="-3"/>
          <w:lang w:val="es-ES_tradnl"/>
        </w:rPr>
        <w:t>transferencia</w:t>
      </w:r>
      <w:r w:rsidR="00686D16">
        <w:rPr>
          <w:rFonts w:ascii="Arial" w:hAnsi="Arial" w:cs="Arial"/>
          <w:bCs/>
          <w:spacing w:val="-3"/>
          <w:lang w:val="es-ES_tradnl"/>
        </w:rPr>
        <w:t xml:space="preserve"> a INACOOP;</w:t>
      </w:r>
    </w:p>
    <w:p w:rsidR="0020595D" w:rsidRDefault="004077B0" w:rsidP="0020595D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782CFA">
        <w:rPr>
          <w:rFonts w:ascii="Arial" w:hAnsi="Arial" w:cs="Arial"/>
          <w:b/>
          <w:bCs/>
        </w:rPr>
        <w:t>CONSIDERANDO:</w:t>
      </w:r>
      <w:r w:rsidRPr="00782CFA">
        <w:rPr>
          <w:rFonts w:ascii="Arial" w:hAnsi="Arial" w:cs="Arial"/>
        </w:rPr>
        <w:t xml:space="preserve"> </w:t>
      </w:r>
      <w:r w:rsidRPr="00782CFA">
        <w:rPr>
          <w:rFonts w:ascii="Arial" w:hAnsi="Arial" w:cs="Arial"/>
          <w:b/>
          <w:bCs/>
          <w:lang w:val="es-MX"/>
        </w:rPr>
        <w:t xml:space="preserve">1) </w:t>
      </w:r>
      <w:r w:rsidRPr="00782CFA">
        <w:rPr>
          <w:rFonts w:ascii="Arial" w:hAnsi="Arial" w:cs="Arial"/>
          <w:lang w:val="es-MX"/>
        </w:rPr>
        <w:t>que el Artículo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20595D" w:rsidRDefault="000431FF" w:rsidP="0020595D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 w:rsidRPr="00EB12A5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que en cuanto </w:t>
      </w:r>
      <w:r w:rsidR="009B3C90">
        <w:rPr>
          <w:rFonts w:ascii="Arial" w:hAnsi="Arial" w:cs="Arial"/>
          <w:lang w:val="es-MX"/>
        </w:rPr>
        <w:t xml:space="preserve">a lo señalado por UTE en el sentido </w:t>
      </w:r>
      <w:r w:rsidR="007249E8">
        <w:rPr>
          <w:rFonts w:ascii="Arial" w:hAnsi="Arial" w:cs="Arial"/>
          <w:lang w:val="es-MX"/>
        </w:rPr>
        <w:t xml:space="preserve"> </w:t>
      </w:r>
      <w:r w:rsidR="009B3C90">
        <w:rPr>
          <w:rFonts w:ascii="Arial" w:hAnsi="Arial" w:cs="Arial"/>
          <w:lang w:val="es-MX"/>
        </w:rPr>
        <w:t xml:space="preserve">que no comparte la inclusión de las cooperativas en el concepto de </w:t>
      </w:r>
      <w:r w:rsidR="009B3C90">
        <w:rPr>
          <w:rFonts w:ascii="Arial" w:hAnsi="Arial" w:cs="Arial"/>
          <w:lang w:val="es-MX"/>
        </w:rPr>
        <w:lastRenderedPageBreak/>
        <w:t>empresa privada</w:t>
      </w:r>
      <w:r w:rsidR="007249E8">
        <w:rPr>
          <w:rFonts w:ascii="Arial" w:hAnsi="Arial" w:cs="Arial"/>
          <w:lang w:val="es-MX"/>
        </w:rPr>
        <w:t xml:space="preserve">, corresponde señalar que la circunstancia de que las </w:t>
      </w:r>
      <w:r w:rsidR="00EB12A5">
        <w:rPr>
          <w:rFonts w:ascii="Arial" w:hAnsi="Arial" w:cs="Arial"/>
          <w:lang w:val="es-MX"/>
        </w:rPr>
        <w:t>cooperativas</w:t>
      </w:r>
      <w:r w:rsidR="007249E8">
        <w:rPr>
          <w:rFonts w:ascii="Arial" w:hAnsi="Arial" w:cs="Arial"/>
          <w:lang w:val="es-MX"/>
        </w:rPr>
        <w:t xml:space="preserve"> gocen de un st</w:t>
      </w:r>
      <w:r w:rsidR="00EB12A5">
        <w:rPr>
          <w:rFonts w:ascii="Arial" w:hAnsi="Arial" w:cs="Arial"/>
          <w:lang w:val="es-MX"/>
        </w:rPr>
        <w:t>at</w:t>
      </w:r>
      <w:r w:rsidR="007249E8">
        <w:rPr>
          <w:rFonts w:ascii="Arial" w:hAnsi="Arial" w:cs="Arial"/>
          <w:lang w:val="es-MX"/>
        </w:rPr>
        <w:t xml:space="preserve">us </w:t>
      </w:r>
      <w:r w:rsidR="00EB12A5">
        <w:rPr>
          <w:rFonts w:ascii="Arial" w:hAnsi="Arial" w:cs="Arial"/>
          <w:lang w:val="es-MX"/>
        </w:rPr>
        <w:t>jurídico</w:t>
      </w:r>
      <w:r w:rsidR="007249E8">
        <w:rPr>
          <w:rFonts w:ascii="Arial" w:hAnsi="Arial" w:cs="Arial"/>
          <w:lang w:val="es-MX"/>
        </w:rPr>
        <w:t xml:space="preserve"> </w:t>
      </w:r>
      <w:r w:rsidR="009F65C6">
        <w:rPr>
          <w:rFonts w:ascii="Arial" w:hAnsi="Arial" w:cs="Arial"/>
          <w:lang w:val="es-MX"/>
        </w:rPr>
        <w:t xml:space="preserve">propio y </w:t>
      </w:r>
      <w:r w:rsidR="007249E8">
        <w:rPr>
          <w:rFonts w:ascii="Arial" w:hAnsi="Arial" w:cs="Arial"/>
          <w:lang w:val="es-MX"/>
        </w:rPr>
        <w:t>diverso a la de l</w:t>
      </w:r>
      <w:r w:rsidR="00EB12A5">
        <w:rPr>
          <w:rFonts w:ascii="Arial" w:hAnsi="Arial" w:cs="Arial"/>
          <w:lang w:val="es-MX"/>
        </w:rPr>
        <w:t>as</w:t>
      </w:r>
      <w:r w:rsidR="007249E8">
        <w:rPr>
          <w:rFonts w:ascii="Arial" w:hAnsi="Arial" w:cs="Arial"/>
          <w:lang w:val="es-MX"/>
        </w:rPr>
        <w:t xml:space="preserve"> aso</w:t>
      </w:r>
      <w:r w:rsidR="00EB12A5">
        <w:rPr>
          <w:rFonts w:ascii="Arial" w:hAnsi="Arial" w:cs="Arial"/>
          <w:lang w:val="es-MX"/>
        </w:rPr>
        <w:t>c</w:t>
      </w:r>
      <w:r w:rsidR="007249E8">
        <w:rPr>
          <w:rFonts w:ascii="Arial" w:hAnsi="Arial" w:cs="Arial"/>
          <w:lang w:val="es-MX"/>
        </w:rPr>
        <w:t>i</w:t>
      </w:r>
      <w:r w:rsidR="00EB12A5">
        <w:rPr>
          <w:rFonts w:ascii="Arial" w:hAnsi="Arial" w:cs="Arial"/>
          <w:lang w:val="es-MX"/>
        </w:rPr>
        <w:t>aciones</w:t>
      </w:r>
      <w:r w:rsidR="007249E8">
        <w:rPr>
          <w:rFonts w:ascii="Arial" w:hAnsi="Arial" w:cs="Arial"/>
          <w:lang w:val="es-MX"/>
        </w:rPr>
        <w:t xml:space="preserve"> prevista</w:t>
      </w:r>
      <w:r w:rsidR="00EB12A5">
        <w:rPr>
          <w:rFonts w:ascii="Arial" w:hAnsi="Arial" w:cs="Arial"/>
          <w:lang w:val="es-MX"/>
        </w:rPr>
        <w:t>s</w:t>
      </w:r>
      <w:r w:rsidR="007249E8">
        <w:rPr>
          <w:rFonts w:ascii="Arial" w:hAnsi="Arial" w:cs="Arial"/>
          <w:lang w:val="es-MX"/>
        </w:rPr>
        <w:t xml:space="preserve"> en l</w:t>
      </w:r>
      <w:r w:rsidR="00EB12A5">
        <w:rPr>
          <w:rFonts w:ascii="Arial" w:hAnsi="Arial" w:cs="Arial"/>
          <w:lang w:val="es-MX"/>
        </w:rPr>
        <w:t>a</w:t>
      </w:r>
      <w:r w:rsidR="0020595D">
        <w:rPr>
          <w:rFonts w:ascii="Arial" w:hAnsi="Arial" w:cs="Arial"/>
          <w:lang w:val="es-MX"/>
        </w:rPr>
        <w:t xml:space="preserve"> L</w:t>
      </w:r>
      <w:r w:rsidR="007249E8">
        <w:rPr>
          <w:rFonts w:ascii="Arial" w:hAnsi="Arial" w:cs="Arial"/>
          <w:lang w:val="es-MX"/>
        </w:rPr>
        <w:t>ey 16</w:t>
      </w:r>
      <w:r w:rsidR="00AA0AC5">
        <w:rPr>
          <w:rFonts w:ascii="Arial" w:hAnsi="Arial" w:cs="Arial"/>
          <w:lang w:val="es-MX"/>
        </w:rPr>
        <w:t>.</w:t>
      </w:r>
      <w:r w:rsidR="007249E8">
        <w:rPr>
          <w:rFonts w:ascii="Arial" w:hAnsi="Arial" w:cs="Arial"/>
          <w:lang w:val="es-MX"/>
        </w:rPr>
        <w:t>060</w:t>
      </w:r>
      <w:r w:rsidR="009F65C6">
        <w:rPr>
          <w:rFonts w:ascii="Arial" w:hAnsi="Arial" w:cs="Arial"/>
          <w:lang w:val="es-MX"/>
        </w:rPr>
        <w:t xml:space="preserve"> (sociedades comerciales)</w:t>
      </w:r>
      <w:r w:rsidR="007249E8">
        <w:rPr>
          <w:rFonts w:ascii="Arial" w:hAnsi="Arial" w:cs="Arial"/>
          <w:lang w:val="es-MX"/>
        </w:rPr>
        <w:t>, no obsta a que las mismas sean consideradas</w:t>
      </w:r>
      <w:r w:rsidR="003B6090">
        <w:rPr>
          <w:rFonts w:ascii="Arial" w:hAnsi="Arial" w:cs="Arial"/>
          <w:lang w:val="es-MX"/>
        </w:rPr>
        <w:t>,</w:t>
      </w:r>
      <w:r w:rsidR="007249E8">
        <w:rPr>
          <w:rFonts w:ascii="Arial" w:hAnsi="Arial" w:cs="Arial"/>
          <w:lang w:val="es-MX"/>
        </w:rPr>
        <w:t xml:space="preserve"> a los efectos a que refiere el presente pr</w:t>
      </w:r>
      <w:r w:rsidR="00EB12A5">
        <w:rPr>
          <w:rFonts w:ascii="Arial" w:hAnsi="Arial" w:cs="Arial"/>
          <w:lang w:val="es-MX"/>
        </w:rPr>
        <w:t>o</w:t>
      </w:r>
      <w:r w:rsidR="007249E8">
        <w:rPr>
          <w:rFonts w:ascii="Arial" w:hAnsi="Arial" w:cs="Arial"/>
          <w:lang w:val="es-MX"/>
        </w:rPr>
        <w:t>nun</w:t>
      </w:r>
      <w:r w:rsidR="00EB12A5">
        <w:rPr>
          <w:rFonts w:ascii="Arial" w:hAnsi="Arial" w:cs="Arial"/>
          <w:lang w:val="es-MX"/>
        </w:rPr>
        <w:t>c</w:t>
      </w:r>
      <w:r w:rsidR="007249E8">
        <w:rPr>
          <w:rFonts w:ascii="Arial" w:hAnsi="Arial" w:cs="Arial"/>
          <w:lang w:val="es-MX"/>
        </w:rPr>
        <w:t>i</w:t>
      </w:r>
      <w:r w:rsidR="00EB12A5">
        <w:rPr>
          <w:rFonts w:ascii="Arial" w:hAnsi="Arial" w:cs="Arial"/>
          <w:lang w:val="es-MX"/>
        </w:rPr>
        <w:t>ami</w:t>
      </w:r>
      <w:r w:rsidR="007249E8">
        <w:rPr>
          <w:rFonts w:ascii="Arial" w:hAnsi="Arial" w:cs="Arial"/>
          <w:lang w:val="es-MX"/>
        </w:rPr>
        <w:t>ento</w:t>
      </w:r>
      <w:r w:rsidR="003B6090">
        <w:rPr>
          <w:rFonts w:ascii="Arial" w:hAnsi="Arial" w:cs="Arial"/>
          <w:lang w:val="es-MX"/>
        </w:rPr>
        <w:t>,</w:t>
      </w:r>
      <w:r w:rsidR="007249E8">
        <w:rPr>
          <w:rFonts w:ascii="Arial" w:hAnsi="Arial" w:cs="Arial"/>
          <w:lang w:val="es-MX"/>
        </w:rPr>
        <w:t xml:space="preserve"> como </w:t>
      </w:r>
      <w:r w:rsidR="009F65C6">
        <w:rPr>
          <w:rFonts w:ascii="Arial" w:hAnsi="Arial" w:cs="Arial"/>
          <w:lang w:val="es-MX"/>
        </w:rPr>
        <w:t xml:space="preserve">personas </w:t>
      </w:r>
      <w:r w:rsidR="007249E8">
        <w:rPr>
          <w:rFonts w:ascii="Arial" w:hAnsi="Arial" w:cs="Arial"/>
          <w:lang w:val="es-MX"/>
        </w:rPr>
        <w:t xml:space="preserve"> </w:t>
      </w:r>
      <w:r w:rsidR="006B13C9">
        <w:rPr>
          <w:rFonts w:ascii="Arial" w:hAnsi="Arial" w:cs="Arial"/>
          <w:lang w:val="es-MX"/>
        </w:rPr>
        <w:t xml:space="preserve">de carácter </w:t>
      </w:r>
      <w:r w:rsidR="007249E8">
        <w:rPr>
          <w:rFonts w:ascii="Arial" w:hAnsi="Arial" w:cs="Arial"/>
          <w:lang w:val="es-MX"/>
        </w:rPr>
        <w:t>privad</w:t>
      </w:r>
      <w:r w:rsidR="006B13C9">
        <w:rPr>
          <w:rFonts w:ascii="Arial" w:hAnsi="Arial" w:cs="Arial"/>
          <w:lang w:val="es-MX"/>
        </w:rPr>
        <w:t>o</w:t>
      </w:r>
      <w:r w:rsidR="007249E8">
        <w:rPr>
          <w:rFonts w:ascii="Arial" w:hAnsi="Arial" w:cs="Arial"/>
          <w:lang w:val="es-MX"/>
        </w:rPr>
        <w:t>, esto es</w:t>
      </w:r>
      <w:r w:rsidR="009F65C6">
        <w:rPr>
          <w:rFonts w:ascii="Arial" w:hAnsi="Arial" w:cs="Arial"/>
          <w:lang w:val="es-MX"/>
        </w:rPr>
        <w:t xml:space="preserve">, </w:t>
      </w:r>
      <w:r w:rsidR="007249E8">
        <w:rPr>
          <w:rFonts w:ascii="Arial" w:hAnsi="Arial" w:cs="Arial"/>
          <w:lang w:val="es-MX"/>
        </w:rPr>
        <w:t xml:space="preserve"> no pública</w:t>
      </w:r>
      <w:r w:rsidR="009F65C6">
        <w:rPr>
          <w:rFonts w:ascii="Arial" w:hAnsi="Arial" w:cs="Arial"/>
          <w:lang w:val="es-MX"/>
        </w:rPr>
        <w:t>s</w:t>
      </w:r>
      <w:r w:rsidR="007249E8">
        <w:rPr>
          <w:rFonts w:ascii="Arial" w:hAnsi="Arial" w:cs="Arial"/>
          <w:lang w:val="es-MX"/>
        </w:rPr>
        <w:t>;</w:t>
      </w:r>
    </w:p>
    <w:p w:rsidR="0020595D" w:rsidRDefault="00EB12A5" w:rsidP="0020595D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 w:rsidRPr="0020595D">
        <w:rPr>
          <w:rFonts w:ascii="Arial" w:hAnsi="Arial" w:cs="Arial"/>
          <w:b/>
          <w:lang w:val="es-MX"/>
        </w:rPr>
        <w:t>3</w:t>
      </w:r>
      <w:r w:rsidR="004077B0" w:rsidRPr="0020595D">
        <w:rPr>
          <w:rFonts w:ascii="Arial" w:hAnsi="Arial" w:cs="Arial"/>
          <w:b/>
          <w:lang w:val="es-MX"/>
        </w:rPr>
        <w:t>)</w:t>
      </w:r>
      <w:r w:rsidR="004077B0" w:rsidRPr="0020595D">
        <w:rPr>
          <w:rFonts w:ascii="Arial" w:hAnsi="Arial" w:cs="Arial"/>
          <w:lang w:val="es-MX"/>
        </w:rPr>
        <w:t xml:space="preserve"> que </w:t>
      </w:r>
      <w:r w:rsidR="00686D16" w:rsidRPr="0020595D">
        <w:rPr>
          <w:rFonts w:ascii="Arial" w:hAnsi="Arial" w:cs="Arial"/>
          <w:lang w:val="es-MX"/>
        </w:rPr>
        <w:t xml:space="preserve">por su parte, </w:t>
      </w:r>
      <w:r w:rsidR="00D26DBD" w:rsidRPr="0020595D">
        <w:rPr>
          <w:rFonts w:ascii="Arial" w:hAnsi="Arial" w:cs="Arial"/>
          <w:lang w:val="es-MX"/>
        </w:rPr>
        <w:t xml:space="preserve">mas </w:t>
      </w:r>
      <w:r w:rsidRPr="0020595D">
        <w:rPr>
          <w:rFonts w:ascii="Arial" w:hAnsi="Arial" w:cs="Arial"/>
          <w:lang w:val="es-MX"/>
        </w:rPr>
        <w:t>allá</w:t>
      </w:r>
      <w:r w:rsidR="00D26DBD" w:rsidRPr="0020595D">
        <w:rPr>
          <w:rFonts w:ascii="Arial" w:hAnsi="Arial" w:cs="Arial"/>
          <w:lang w:val="es-MX"/>
        </w:rPr>
        <w:t xml:space="preserve"> de que el convenio remitid</w:t>
      </w:r>
      <w:r w:rsidR="00AA0AC5" w:rsidRPr="0020595D">
        <w:rPr>
          <w:rFonts w:ascii="Arial" w:hAnsi="Arial" w:cs="Arial"/>
          <w:lang w:val="es-MX"/>
        </w:rPr>
        <w:t xml:space="preserve">o </w:t>
      </w:r>
      <w:r w:rsidR="00D26DBD" w:rsidRPr="0020595D">
        <w:rPr>
          <w:rFonts w:ascii="Arial" w:hAnsi="Arial" w:cs="Arial"/>
          <w:lang w:val="es-MX"/>
        </w:rPr>
        <w:t xml:space="preserve">prevea en su ejecución la </w:t>
      </w:r>
      <w:r w:rsidRPr="0020595D">
        <w:rPr>
          <w:rFonts w:ascii="Arial" w:hAnsi="Arial" w:cs="Arial"/>
          <w:lang w:val="es-MX"/>
        </w:rPr>
        <w:t>celebració</w:t>
      </w:r>
      <w:r w:rsidR="00D26DBD" w:rsidRPr="0020595D">
        <w:rPr>
          <w:rFonts w:ascii="Arial" w:hAnsi="Arial" w:cs="Arial"/>
          <w:lang w:val="es-MX"/>
        </w:rPr>
        <w:t xml:space="preserve">n de </w:t>
      </w:r>
      <w:r w:rsidRPr="0020595D">
        <w:rPr>
          <w:rFonts w:ascii="Arial" w:hAnsi="Arial" w:cs="Arial"/>
          <w:lang w:val="es-MX"/>
        </w:rPr>
        <w:t>múltiples</w:t>
      </w:r>
      <w:r w:rsidR="00D26DBD" w:rsidRPr="0020595D">
        <w:rPr>
          <w:rFonts w:ascii="Arial" w:hAnsi="Arial" w:cs="Arial"/>
          <w:lang w:val="es-MX"/>
        </w:rPr>
        <w:t xml:space="preserve"> contr</w:t>
      </w:r>
      <w:r w:rsidRPr="0020595D">
        <w:rPr>
          <w:rFonts w:ascii="Arial" w:hAnsi="Arial" w:cs="Arial"/>
          <w:lang w:val="es-MX"/>
        </w:rPr>
        <w:t>a</w:t>
      </w:r>
      <w:r w:rsidR="00D26DBD" w:rsidRPr="0020595D">
        <w:rPr>
          <w:rFonts w:ascii="Arial" w:hAnsi="Arial" w:cs="Arial"/>
          <w:lang w:val="es-MX"/>
        </w:rPr>
        <w:t xml:space="preserve">tos con empresas </w:t>
      </w:r>
      <w:r w:rsidRPr="0020595D">
        <w:rPr>
          <w:rFonts w:ascii="Arial" w:hAnsi="Arial" w:cs="Arial"/>
          <w:lang w:val="es-MX"/>
        </w:rPr>
        <w:t>cooperativas</w:t>
      </w:r>
      <w:r w:rsidR="00D26DBD" w:rsidRPr="0020595D">
        <w:rPr>
          <w:rFonts w:ascii="Arial" w:hAnsi="Arial" w:cs="Arial"/>
          <w:lang w:val="es-MX"/>
        </w:rPr>
        <w:t>,</w:t>
      </w:r>
      <w:r w:rsidR="0025237E" w:rsidRPr="0020595D">
        <w:rPr>
          <w:rFonts w:ascii="Arial" w:hAnsi="Arial" w:cs="Arial"/>
          <w:lang w:val="es-MX"/>
        </w:rPr>
        <w:t xml:space="preserve"> dicho convenio, como tal, constituye un </w:t>
      </w:r>
      <w:r w:rsidRPr="0020595D">
        <w:rPr>
          <w:rFonts w:ascii="Arial" w:hAnsi="Arial" w:cs="Arial"/>
          <w:lang w:val="es-MX"/>
        </w:rPr>
        <w:t>negocio</w:t>
      </w:r>
      <w:r w:rsidR="00D26DBD" w:rsidRPr="0020595D">
        <w:rPr>
          <w:rFonts w:ascii="Arial" w:hAnsi="Arial" w:cs="Arial"/>
          <w:lang w:val="es-MX"/>
        </w:rPr>
        <w:t xml:space="preserve"> </w:t>
      </w:r>
      <w:r w:rsidRPr="0020595D">
        <w:rPr>
          <w:rFonts w:ascii="Arial" w:hAnsi="Arial" w:cs="Arial"/>
          <w:lang w:val="es-MX"/>
        </w:rPr>
        <w:t>jurídico</w:t>
      </w:r>
      <w:r w:rsidR="00D26DBD" w:rsidRPr="0020595D">
        <w:rPr>
          <w:rFonts w:ascii="Arial" w:hAnsi="Arial" w:cs="Arial"/>
          <w:lang w:val="es-MX"/>
        </w:rPr>
        <w:t xml:space="preserve"> </w:t>
      </w:r>
      <w:r w:rsidR="0025237E" w:rsidRPr="0020595D">
        <w:rPr>
          <w:rFonts w:ascii="Arial" w:hAnsi="Arial" w:cs="Arial"/>
          <w:lang w:val="es-MX"/>
        </w:rPr>
        <w:t>singular</w:t>
      </w:r>
      <w:r w:rsidR="00AA0AC5" w:rsidRPr="0020595D">
        <w:rPr>
          <w:rFonts w:ascii="Arial" w:hAnsi="Arial" w:cs="Arial"/>
          <w:lang w:val="es-MX"/>
        </w:rPr>
        <w:t xml:space="preserve">, </w:t>
      </w:r>
      <w:r w:rsidR="0025237E" w:rsidRPr="0020595D">
        <w:rPr>
          <w:rFonts w:ascii="Arial" w:hAnsi="Arial" w:cs="Arial"/>
          <w:lang w:val="es-MX"/>
        </w:rPr>
        <w:t>el cual</w:t>
      </w:r>
      <w:r w:rsidR="00D26DBD" w:rsidRPr="0020595D">
        <w:rPr>
          <w:rFonts w:ascii="Arial" w:hAnsi="Arial" w:cs="Arial"/>
          <w:lang w:val="es-MX"/>
        </w:rPr>
        <w:t xml:space="preserve"> tiende a </w:t>
      </w:r>
      <w:r w:rsidRPr="0020595D">
        <w:rPr>
          <w:rFonts w:ascii="Arial" w:hAnsi="Arial" w:cs="Arial"/>
          <w:lang w:val="es-MX"/>
        </w:rPr>
        <w:t>satisfacer</w:t>
      </w:r>
      <w:r w:rsidR="00D26DBD" w:rsidRPr="0020595D">
        <w:rPr>
          <w:rFonts w:ascii="Arial" w:hAnsi="Arial" w:cs="Arial"/>
          <w:lang w:val="es-MX"/>
        </w:rPr>
        <w:t xml:space="preserve"> una </w:t>
      </w:r>
      <w:r w:rsidRPr="0020595D">
        <w:rPr>
          <w:rFonts w:ascii="Arial" w:hAnsi="Arial" w:cs="Arial"/>
          <w:lang w:val="es-MX"/>
        </w:rPr>
        <w:t>única</w:t>
      </w:r>
      <w:r w:rsidR="00D26DBD" w:rsidRPr="0020595D">
        <w:rPr>
          <w:rFonts w:ascii="Arial" w:hAnsi="Arial" w:cs="Arial"/>
          <w:lang w:val="es-MX"/>
        </w:rPr>
        <w:t xml:space="preserve"> n</w:t>
      </w:r>
      <w:r w:rsidRPr="0020595D">
        <w:rPr>
          <w:rFonts w:ascii="Arial" w:hAnsi="Arial" w:cs="Arial"/>
          <w:lang w:val="es-MX"/>
        </w:rPr>
        <w:t>e</w:t>
      </w:r>
      <w:r w:rsidR="00D26DBD" w:rsidRPr="0020595D">
        <w:rPr>
          <w:rFonts w:ascii="Arial" w:hAnsi="Arial" w:cs="Arial"/>
          <w:lang w:val="es-MX"/>
        </w:rPr>
        <w:t>ces</w:t>
      </w:r>
      <w:r w:rsidRPr="0020595D">
        <w:rPr>
          <w:rFonts w:ascii="Arial" w:hAnsi="Arial" w:cs="Arial"/>
          <w:lang w:val="es-MX"/>
        </w:rPr>
        <w:t>i</w:t>
      </w:r>
      <w:r w:rsidR="00D26DBD" w:rsidRPr="0020595D">
        <w:rPr>
          <w:rFonts w:ascii="Arial" w:hAnsi="Arial" w:cs="Arial"/>
          <w:lang w:val="es-MX"/>
        </w:rPr>
        <w:t>da</w:t>
      </w:r>
      <w:r w:rsidRPr="0020595D">
        <w:rPr>
          <w:rFonts w:ascii="Arial" w:hAnsi="Arial" w:cs="Arial"/>
          <w:lang w:val="es-MX"/>
        </w:rPr>
        <w:t>d</w:t>
      </w:r>
      <w:r w:rsidR="00D26DBD" w:rsidRPr="0020595D">
        <w:rPr>
          <w:rFonts w:ascii="Arial" w:hAnsi="Arial" w:cs="Arial"/>
          <w:lang w:val="es-MX"/>
        </w:rPr>
        <w:t>, est</w:t>
      </w:r>
      <w:r w:rsidR="003B6090" w:rsidRPr="0020595D">
        <w:rPr>
          <w:rFonts w:ascii="Arial" w:hAnsi="Arial" w:cs="Arial"/>
          <w:lang w:val="es-MX"/>
        </w:rPr>
        <w:t xml:space="preserve">o </w:t>
      </w:r>
      <w:r w:rsidR="00D26DBD" w:rsidRPr="0020595D">
        <w:rPr>
          <w:rFonts w:ascii="Arial" w:hAnsi="Arial" w:cs="Arial"/>
          <w:lang w:val="es-MX"/>
        </w:rPr>
        <w:t>es, la regularización de las instal</w:t>
      </w:r>
      <w:r w:rsidRPr="0020595D">
        <w:rPr>
          <w:rFonts w:ascii="Arial" w:hAnsi="Arial" w:cs="Arial"/>
          <w:lang w:val="es-MX"/>
        </w:rPr>
        <w:t>a</w:t>
      </w:r>
      <w:r w:rsidR="00D26DBD" w:rsidRPr="0020595D">
        <w:rPr>
          <w:rFonts w:ascii="Arial" w:hAnsi="Arial" w:cs="Arial"/>
          <w:lang w:val="es-MX"/>
        </w:rPr>
        <w:t>cion</w:t>
      </w:r>
      <w:r w:rsidRPr="0020595D">
        <w:rPr>
          <w:rFonts w:ascii="Arial" w:hAnsi="Arial" w:cs="Arial"/>
          <w:lang w:val="es-MX"/>
        </w:rPr>
        <w:t>e</w:t>
      </w:r>
      <w:r w:rsidR="00D26DBD" w:rsidRPr="0020595D">
        <w:rPr>
          <w:rFonts w:ascii="Arial" w:hAnsi="Arial" w:cs="Arial"/>
          <w:lang w:val="es-MX"/>
        </w:rPr>
        <w:t xml:space="preserve">s </w:t>
      </w:r>
      <w:r w:rsidRPr="0020595D">
        <w:rPr>
          <w:rFonts w:ascii="Arial" w:hAnsi="Arial" w:cs="Arial"/>
          <w:lang w:val="es-MX"/>
        </w:rPr>
        <w:t>eléctricas</w:t>
      </w:r>
      <w:r w:rsidR="00D26DBD" w:rsidRPr="0020595D">
        <w:rPr>
          <w:rFonts w:ascii="Arial" w:hAnsi="Arial" w:cs="Arial"/>
          <w:lang w:val="es-MX"/>
        </w:rPr>
        <w:t xml:space="preserve"> int</w:t>
      </w:r>
      <w:r w:rsidRPr="0020595D">
        <w:rPr>
          <w:rFonts w:ascii="Arial" w:hAnsi="Arial" w:cs="Arial"/>
          <w:lang w:val="es-MX"/>
        </w:rPr>
        <w:t>e</w:t>
      </w:r>
      <w:r w:rsidR="00D26DBD" w:rsidRPr="0020595D">
        <w:rPr>
          <w:rFonts w:ascii="Arial" w:hAnsi="Arial" w:cs="Arial"/>
          <w:lang w:val="es-MX"/>
        </w:rPr>
        <w:t>rio</w:t>
      </w:r>
      <w:r w:rsidRPr="0020595D">
        <w:rPr>
          <w:rFonts w:ascii="Arial" w:hAnsi="Arial" w:cs="Arial"/>
          <w:lang w:val="es-MX"/>
        </w:rPr>
        <w:t>res</w:t>
      </w:r>
      <w:r w:rsidR="00D26DBD" w:rsidRPr="0020595D">
        <w:rPr>
          <w:rFonts w:ascii="Arial" w:hAnsi="Arial" w:cs="Arial"/>
          <w:lang w:val="es-MX"/>
        </w:rPr>
        <w:t xml:space="preserve"> de las viviendas en condi</w:t>
      </w:r>
      <w:r w:rsidRPr="0020595D">
        <w:rPr>
          <w:rFonts w:ascii="Arial" w:hAnsi="Arial" w:cs="Arial"/>
          <w:lang w:val="es-MX"/>
        </w:rPr>
        <w:t>ci</w:t>
      </w:r>
      <w:r w:rsidR="00D26DBD" w:rsidRPr="0020595D">
        <w:rPr>
          <w:rFonts w:ascii="Arial" w:hAnsi="Arial" w:cs="Arial"/>
          <w:lang w:val="es-MX"/>
        </w:rPr>
        <w:t>on</w:t>
      </w:r>
      <w:r w:rsidRPr="0020595D">
        <w:rPr>
          <w:rFonts w:ascii="Arial" w:hAnsi="Arial" w:cs="Arial"/>
          <w:lang w:val="es-MX"/>
        </w:rPr>
        <w:t>e</w:t>
      </w:r>
      <w:r w:rsidR="00D26DBD" w:rsidRPr="0020595D">
        <w:rPr>
          <w:rFonts w:ascii="Arial" w:hAnsi="Arial" w:cs="Arial"/>
          <w:lang w:val="es-MX"/>
        </w:rPr>
        <w:t xml:space="preserve">s de </w:t>
      </w:r>
      <w:r w:rsidRPr="0020595D">
        <w:rPr>
          <w:rFonts w:ascii="Arial" w:hAnsi="Arial" w:cs="Arial"/>
          <w:lang w:val="es-MX"/>
        </w:rPr>
        <w:t>vulnerabilidad</w:t>
      </w:r>
      <w:r w:rsidR="00D26DBD" w:rsidRPr="0020595D">
        <w:rPr>
          <w:rFonts w:ascii="Arial" w:hAnsi="Arial" w:cs="Arial"/>
          <w:lang w:val="es-MX"/>
        </w:rPr>
        <w:t xml:space="preserve"> </w:t>
      </w:r>
      <w:r w:rsidRPr="0020595D">
        <w:rPr>
          <w:rFonts w:ascii="Arial" w:hAnsi="Arial" w:cs="Arial"/>
          <w:lang w:val="es-MX"/>
        </w:rPr>
        <w:t>socioeconómica</w:t>
      </w:r>
      <w:r w:rsidR="000431FF" w:rsidRPr="0020595D">
        <w:rPr>
          <w:rFonts w:ascii="Arial" w:hAnsi="Arial" w:cs="Arial"/>
          <w:lang w:val="es-MX"/>
        </w:rPr>
        <w:t>;</w:t>
      </w:r>
    </w:p>
    <w:p w:rsidR="0020595D" w:rsidRDefault="00EB12A5" w:rsidP="0020595D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 w:rsidRPr="0020595D">
        <w:rPr>
          <w:rFonts w:ascii="Arial" w:hAnsi="Arial" w:cs="Arial"/>
          <w:b/>
          <w:lang w:val="es-MX"/>
        </w:rPr>
        <w:t>4</w:t>
      </w:r>
      <w:r w:rsidR="000431FF" w:rsidRPr="0020595D">
        <w:rPr>
          <w:rFonts w:ascii="Arial" w:hAnsi="Arial" w:cs="Arial"/>
          <w:b/>
          <w:lang w:val="es-MX"/>
        </w:rPr>
        <w:t>)</w:t>
      </w:r>
      <w:r w:rsidR="000431FF" w:rsidRPr="0020595D">
        <w:rPr>
          <w:rFonts w:ascii="Arial" w:hAnsi="Arial" w:cs="Arial"/>
          <w:lang w:val="es-MX"/>
        </w:rPr>
        <w:t xml:space="preserve"> que en virtud de ello, al momento de </w:t>
      </w:r>
      <w:r w:rsidRPr="0020595D">
        <w:rPr>
          <w:rFonts w:ascii="Arial" w:hAnsi="Arial" w:cs="Arial"/>
          <w:lang w:val="es-MX"/>
        </w:rPr>
        <w:t>efectuar</w:t>
      </w:r>
      <w:r w:rsidR="000431FF" w:rsidRPr="0020595D">
        <w:rPr>
          <w:rFonts w:ascii="Arial" w:hAnsi="Arial" w:cs="Arial"/>
          <w:lang w:val="es-MX"/>
        </w:rPr>
        <w:t xml:space="preserve"> el </w:t>
      </w:r>
      <w:r w:rsidRPr="0020595D">
        <w:rPr>
          <w:rFonts w:ascii="Arial" w:hAnsi="Arial" w:cs="Arial"/>
          <w:lang w:val="es-MX"/>
        </w:rPr>
        <w:t xml:space="preserve">análisis </w:t>
      </w:r>
      <w:r w:rsidR="000431FF" w:rsidRPr="0020595D">
        <w:rPr>
          <w:rFonts w:ascii="Arial" w:hAnsi="Arial" w:cs="Arial"/>
          <w:lang w:val="es-MX"/>
        </w:rPr>
        <w:t xml:space="preserve">de la legalidad de gasto </w:t>
      </w:r>
      <w:r w:rsidR="008D265D" w:rsidRPr="0020595D">
        <w:rPr>
          <w:rFonts w:ascii="Arial" w:hAnsi="Arial" w:cs="Arial"/>
          <w:lang w:val="es-MX"/>
        </w:rPr>
        <w:t>d</w:t>
      </w:r>
      <w:r w:rsidR="000431FF" w:rsidRPr="0020595D">
        <w:rPr>
          <w:rFonts w:ascii="Arial" w:hAnsi="Arial" w:cs="Arial"/>
          <w:lang w:val="es-MX"/>
        </w:rPr>
        <w:t>el convenio</w:t>
      </w:r>
      <w:r w:rsidR="00AA0AC5" w:rsidRPr="0020595D">
        <w:rPr>
          <w:rFonts w:ascii="Arial" w:hAnsi="Arial" w:cs="Arial"/>
          <w:lang w:val="es-MX"/>
        </w:rPr>
        <w:t xml:space="preserve"> remitido</w:t>
      </w:r>
      <w:r w:rsidR="009F65C6" w:rsidRPr="0020595D">
        <w:rPr>
          <w:rFonts w:ascii="Arial" w:hAnsi="Arial" w:cs="Arial"/>
          <w:lang w:val="es-MX"/>
        </w:rPr>
        <w:t>,</w:t>
      </w:r>
      <w:r w:rsidR="000431FF" w:rsidRPr="0020595D">
        <w:rPr>
          <w:rFonts w:ascii="Arial" w:hAnsi="Arial" w:cs="Arial"/>
          <w:lang w:val="es-MX"/>
        </w:rPr>
        <w:t xml:space="preserve"> </w:t>
      </w:r>
      <w:r w:rsidRPr="0020595D">
        <w:rPr>
          <w:rFonts w:ascii="Arial" w:hAnsi="Arial" w:cs="Arial"/>
          <w:lang w:val="es-MX"/>
        </w:rPr>
        <w:t>corresponde</w:t>
      </w:r>
      <w:r w:rsidR="000431FF" w:rsidRPr="0020595D">
        <w:rPr>
          <w:rFonts w:ascii="Arial" w:hAnsi="Arial" w:cs="Arial"/>
          <w:lang w:val="es-MX"/>
        </w:rPr>
        <w:t xml:space="preserve"> </w:t>
      </w:r>
      <w:r w:rsidR="00AA0AC5" w:rsidRPr="0020595D">
        <w:rPr>
          <w:rFonts w:ascii="Arial" w:hAnsi="Arial" w:cs="Arial"/>
          <w:lang w:val="es-MX"/>
        </w:rPr>
        <w:t>estar</w:t>
      </w:r>
      <w:r w:rsidR="000431FF" w:rsidRPr="0020595D">
        <w:rPr>
          <w:rFonts w:ascii="Arial" w:hAnsi="Arial" w:cs="Arial"/>
          <w:lang w:val="es-MX"/>
        </w:rPr>
        <w:t xml:space="preserve"> </w:t>
      </w:r>
      <w:r w:rsidR="00AA0AC5" w:rsidRPr="0020595D">
        <w:rPr>
          <w:rFonts w:ascii="Arial" w:hAnsi="Arial" w:cs="Arial"/>
          <w:lang w:val="es-MX"/>
        </w:rPr>
        <w:t>a</w:t>
      </w:r>
      <w:r w:rsidR="008D265D" w:rsidRPr="0020595D">
        <w:rPr>
          <w:rFonts w:ascii="Arial" w:hAnsi="Arial" w:cs="Arial"/>
          <w:lang w:val="es-MX"/>
        </w:rPr>
        <w:t>l</w:t>
      </w:r>
      <w:r w:rsidR="000431FF" w:rsidRPr="0020595D">
        <w:rPr>
          <w:rFonts w:ascii="Arial" w:hAnsi="Arial" w:cs="Arial"/>
          <w:lang w:val="es-MX"/>
        </w:rPr>
        <w:t xml:space="preserve"> monto</w:t>
      </w:r>
      <w:r w:rsidR="008D265D" w:rsidRPr="0020595D">
        <w:rPr>
          <w:rFonts w:ascii="Arial" w:hAnsi="Arial" w:cs="Arial"/>
          <w:lang w:val="es-MX"/>
        </w:rPr>
        <w:t xml:space="preserve"> total que </w:t>
      </w:r>
      <w:r w:rsidRPr="0020595D">
        <w:rPr>
          <w:rFonts w:ascii="Arial" w:hAnsi="Arial" w:cs="Arial"/>
          <w:lang w:val="es-MX"/>
        </w:rPr>
        <w:t>emerge</w:t>
      </w:r>
      <w:r w:rsidR="008D265D" w:rsidRPr="0020595D">
        <w:rPr>
          <w:rFonts w:ascii="Arial" w:hAnsi="Arial" w:cs="Arial"/>
          <w:lang w:val="es-MX"/>
        </w:rPr>
        <w:t xml:space="preserve"> </w:t>
      </w:r>
      <w:r w:rsidR="000431FF" w:rsidRPr="0020595D">
        <w:rPr>
          <w:rFonts w:ascii="Arial" w:hAnsi="Arial" w:cs="Arial"/>
          <w:lang w:val="es-MX"/>
        </w:rPr>
        <w:t>del mismo</w:t>
      </w:r>
      <w:r w:rsidR="008D265D" w:rsidRPr="0020595D">
        <w:rPr>
          <w:rFonts w:ascii="Arial" w:hAnsi="Arial" w:cs="Arial"/>
          <w:lang w:val="es-MX"/>
        </w:rPr>
        <w:t>, el cual</w:t>
      </w:r>
      <w:r w:rsidR="00AA0AC5" w:rsidRPr="0020595D">
        <w:rPr>
          <w:rFonts w:ascii="Arial" w:hAnsi="Arial" w:cs="Arial"/>
          <w:lang w:val="es-MX"/>
        </w:rPr>
        <w:t>,</w:t>
      </w:r>
      <w:r w:rsidR="008D265D" w:rsidRPr="0020595D">
        <w:rPr>
          <w:rFonts w:ascii="Arial" w:hAnsi="Arial" w:cs="Arial"/>
          <w:lang w:val="es-MX"/>
        </w:rPr>
        <w:t xml:space="preserve"> por otra parte</w:t>
      </w:r>
      <w:r w:rsidR="00AA0AC5">
        <w:rPr>
          <w:rFonts w:cs="Arial"/>
          <w:lang w:val="es-MX"/>
        </w:rPr>
        <w:t>,</w:t>
      </w:r>
      <w:r w:rsidR="008D265D">
        <w:rPr>
          <w:rFonts w:cs="Arial"/>
          <w:lang w:val="es-MX"/>
        </w:rPr>
        <w:t xml:space="preserve"> </w:t>
      </w:r>
      <w:r w:rsidR="008D265D" w:rsidRPr="0020595D">
        <w:rPr>
          <w:rFonts w:ascii="Arial" w:hAnsi="Arial" w:cs="Arial"/>
          <w:lang w:val="es-MX"/>
        </w:rPr>
        <w:t xml:space="preserve">fue el que se </w:t>
      </w:r>
      <w:r w:rsidRPr="0020595D">
        <w:rPr>
          <w:rFonts w:ascii="Arial" w:hAnsi="Arial" w:cs="Arial"/>
          <w:lang w:val="es-MX"/>
        </w:rPr>
        <w:t>remitió</w:t>
      </w:r>
      <w:r w:rsidR="008D265D" w:rsidRPr="0020595D">
        <w:rPr>
          <w:rFonts w:ascii="Arial" w:hAnsi="Arial" w:cs="Arial"/>
          <w:lang w:val="es-MX"/>
        </w:rPr>
        <w:t xml:space="preserve"> a consideración de este Tribunal;</w:t>
      </w:r>
    </w:p>
    <w:p w:rsidR="009F65C6" w:rsidRPr="0020595D" w:rsidRDefault="009F65C6" w:rsidP="0020595D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 w:rsidRPr="0020595D">
        <w:rPr>
          <w:rFonts w:ascii="Arial" w:hAnsi="Arial" w:cs="Arial"/>
          <w:b/>
          <w:lang w:val="es-MX"/>
        </w:rPr>
        <w:t>5)</w:t>
      </w:r>
      <w:r w:rsidRPr="0020595D">
        <w:rPr>
          <w:rFonts w:ascii="Arial" w:hAnsi="Arial" w:cs="Arial"/>
          <w:lang w:val="es-MX"/>
        </w:rPr>
        <w:t xml:space="preserve"> que atento a todo lo expuesto, no resultan de recibo los argumentos expresado</w:t>
      </w:r>
      <w:r w:rsidR="0025237E" w:rsidRPr="0020595D">
        <w:rPr>
          <w:rFonts w:ascii="Arial" w:hAnsi="Arial" w:cs="Arial"/>
          <w:lang w:val="es-MX"/>
        </w:rPr>
        <w:t>s</w:t>
      </w:r>
      <w:r w:rsidRPr="0020595D">
        <w:rPr>
          <w:rFonts w:ascii="Arial" w:hAnsi="Arial" w:cs="Arial"/>
          <w:lang w:val="es-MX"/>
        </w:rPr>
        <w:t xml:space="preserve"> por UTE para </w:t>
      </w:r>
      <w:r w:rsidR="006B13C9" w:rsidRPr="0020595D">
        <w:rPr>
          <w:rFonts w:ascii="Arial" w:hAnsi="Arial" w:cs="Arial"/>
          <w:lang w:val="es-MX"/>
        </w:rPr>
        <w:t>reiterar el gasto, correspondiendo en consecuencia mantener la observación oportunamente formulada por este Tribunal con fecha 6/6/17;</w:t>
      </w:r>
      <w:r w:rsidRPr="0020595D">
        <w:rPr>
          <w:rFonts w:ascii="Arial" w:hAnsi="Arial" w:cs="Arial"/>
          <w:lang w:val="es-MX"/>
        </w:rPr>
        <w:t xml:space="preserve"> </w:t>
      </w:r>
    </w:p>
    <w:p w:rsidR="004077B0" w:rsidRPr="00782CFA" w:rsidRDefault="004077B0" w:rsidP="0020595D">
      <w:pPr>
        <w:pStyle w:val="Textoindependiente"/>
        <w:ind w:firstLine="851"/>
        <w:rPr>
          <w:rFonts w:cs="Arial"/>
        </w:rPr>
      </w:pPr>
      <w:r w:rsidRPr="00782CFA">
        <w:rPr>
          <w:rFonts w:cs="Arial"/>
          <w:b/>
          <w:bCs/>
        </w:rPr>
        <w:t xml:space="preserve">ATENTO, </w:t>
      </w:r>
      <w:r w:rsidRPr="00782CFA">
        <w:rPr>
          <w:rFonts w:cs="Arial"/>
        </w:rPr>
        <w:t>a lo precedentemente expu</w:t>
      </w:r>
      <w:r w:rsidR="0020595D">
        <w:rPr>
          <w:rFonts w:cs="Arial"/>
        </w:rPr>
        <w:t>esto y a lo establecido por el Artículo 211 L</w:t>
      </w:r>
      <w:r w:rsidRPr="00782CFA">
        <w:rPr>
          <w:rFonts w:cs="Arial"/>
        </w:rPr>
        <w:t xml:space="preserve">iteral B) de la Constitución de la República; </w:t>
      </w:r>
    </w:p>
    <w:p w:rsidR="004077B0" w:rsidRPr="00782CFA" w:rsidRDefault="004077B0" w:rsidP="004077B0">
      <w:pPr>
        <w:pStyle w:val="Textoindependiente"/>
        <w:jc w:val="center"/>
        <w:rPr>
          <w:rFonts w:cs="Arial"/>
          <w:b/>
          <w:bCs/>
        </w:rPr>
      </w:pPr>
      <w:r w:rsidRPr="00782CFA">
        <w:rPr>
          <w:rFonts w:cs="Arial"/>
          <w:b/>
          <w:bCs/>
        </w:rPr>
        <w:t>EL TRIBUNAL ACUERDA</w:t>
      </w:r>
    </w:p>
    <w:p w:rsidR="004077B0" w:rsidRPr="00782CFA" w:rsidRDefault="004077B0" w:rsidP="0020595D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es-ES_tradnl"/>
        </w:rPr>
      </w:pPr>
      <w:r w:rsidRPr="00782CFA">
        <w:rPr>
          <w:rFonts w:ascii="Arial" w:hAnsi="Arial" w:cs="Arial"/>
          <w:lang w:val="es-MX"/>
        </w:rPr>
        <w:t xml:space="preserve">Mantener la observación formulada con fecha </w:t>
      </w:r>
      <w:r w:rsidR="00EB12A5">
        <w:rPr>
          <w:rFonts w:ascii="Arial" w:hAnsi="Arial" w:cs="Arial"/>
          <w:lang w:val="es-MX"/>
        </w:rPr>
        <w:t>6</w:t>
      </w:r>
      <w:r>
        <w:rPr>
          <w:rFonts w:ascii="Arial" w:hAnsi="Arial" w:cs="Arial"/>
        </w:rPr>
        <w:t xml:space="preserve"> </w:t>
      </w:r>
      <w:r w:rsidR="00EB12A5">
        <w:rPr>
          <w:rFonts w:ascii="Arial" w:hAnsi="Arial" w:cs="Arial"/>
        </w:rPr>
        <w:t>de junio</w:t>
      </w:r>
      <w:r>
        <w:rPr>
          <w:rFonts w:ascii="Arial" w:hAnsi="Arial" w:cs="Arial"/>
        </w:rPr>
        <w:t xml:space="preserve"> de 201</w:t>
      </w:r>
      <w:r w:rsidR="00EB12A5">
        <w:rPr>
          <w:rFonts w:ascii="Arial" w:hAnsi="Arial" w:cs="Arial"/>
        </w:rPr>
        <w:t>8</w:t>
      </w:r>
      <w:r w:rsidRPr="00782CFA">
        <w:rPr>
          <w:rFonts w:ascii="Arial" w:hAnsi="Arial" w:cs="Arial"/>
          <w:lang w:val="es-ES_tradnl"/>
        </w:rPr>
        <w:t>;</w:t>
      </w:r>
    </w:p>
    <w:p w:rsidR="004077B0" w:rsidRPr="00782CFA" w:rsidRDefault="004077B0" w:rsidP="004077B0">
      <w:pPr>
        <w:spacing w:line="360" w:lineRule="auto"/>
        <w:jc w:val="both"/>
        <w:rPr>
          <w:rFonts w:ascii="Arial" w:hAnsi="Arial" w:cs="Arial"/>
          <w:lang w:val="es-MX"/>
        </w:rPr>
      </w:pPr>
      <w:r w:rsidRPr="00782CFA">
        <w:rPr>
          <w:rFonts w:ascii="Arial" w:hAnsi="Arial" w:cs="Arial"/>
          <w:b/>
          <w:bCs/>
          <w:lang w:val="es-MX"/>
        </w:rPr>
        <w:t>2)</w:t>
      </w:r>
      <w:r w:rsidRPr="00782CFA">
        <w:rPr>
          <w:rFonts w:ascii="Arial" w:hAnsi="Arial" w:cs="Arial"/>
          <w:lang w:val="es-MX"/>
        </w:rPr>
        <w:t xml:space="preserve">  </w:t>
      </w:r>
      <w:r w:rsidR="003B6090">
        <w:rPr>
          <w:rFonts w:ascii="Arial" w:hAnsi="Arial" w:cs="Arial"/>
          <w:lang w:val="es-MX"/>
        </w:rPr>
        <w:t>Dar cuenta a la Asamblea General</w:t>
      </w:r>
      <w:r w:rsidRPr="00782CFA">
        <w:rPr>
          <w:rFonts w:ascii="Arial" w:hAnsi="Arial" w:cs="Arial"/>
          <w:lang w:val="es-MX"/>
        </w:rPr>
        <w:t xml:space="preserve">; y </w:t>
      </w:r>
    </w:p>
    <w:p w:rsidR="004077B0" w:rsidRDefault="004077B0" w:rsidP="004077B0">
      <w:pPr>
        <w:spacing w:line="360" w:lineRule="auto"/>
        <w:jc w:val="both"/>
        <w:rPr>
          <w:rFonts w:ascii="Arial" w:hAnsi="Arial" w:cs="Arial"/>
        </w:rPr>
      </w:pPr>
      <w:r w:rsidRPr="00782CFA">
        <w:rPr>
          <w:rFonts w:ascii="Arial" w:hAnsi="Arial" w:cs="Arial"/>
          <w:b/>
          <w:bCs/>
        </w:rPr>
        <w:t>3)</w:t>
      </w:r>
      <w:r w:rsidRPr="00782CFA">
        <w:rPr>
          <w:rFonts w:ascii="Arial" w:hAnsi="Arial" w:cs="Arial"/>
        </w:rPr>
        <w:t xml:space="preserve"> Oficiar a la Administración actuante.</w:t>
      </w:r>
    </w:p>
    <w:p w:rsidR="0020595D" w:rsidRDefault="0020595D" w:rsidP="004077B0">
      <w:pPr>
        <w:spacing w:line="360" w:lineRule="auto"/>
        <w:jc w:val="both"/>
        <w:rPr>
          <w:rFonts w:ascii="Arial" w:hAnsi="Arial" w:cs="Arial"/>
        </w:rPr>
      </w:pPr>
    </w:p>
    <w:p w:rsidR="0020595D" w:rsidRDefault="0020595D" w:rsidP="004077B0">
      <w:pPr>
        <w:spacing w:line="360" w:lineRule="auto"/>
        <w:jc w:val="both"/>
        <w:rPr>
          <w:rFonts w:ascii="Arial" w:hAnsi="Arial" w:cs="Arial"/>
        </w:rPr>
      </w:pPr>
    </w:p>
    <w:p w:rsidR="00005103" w:rsidRDefault="00005103" w:rsidP="004077B0">
      <w:pPr>
        <w:spacing w:line="360" w:lineRule="auto"/>
        <w:jc w:val="both"/>
        <w:rPr>
          <w:rFonts w:ascii="Arial" w:hAnsi="Arial" w:cs="Arial"/>
        </w:rPr>
      </w:pPr>
    </w:p>
    <w:p w:rsidR="00005103" w:rsidRDefault="00005103" w:rsidP="004077B0">
      <w:pPr>
        <w:spacing w:line="360" w:lineRule="auto"/>
        <w:jc w:val="both"/>
        <w:rPr>
          <w:rFonts w:ascii="Arial" w:hAnsi="Arial" w:cs="Arial"/>
        </w:rPr>
      </w:pPr>
    </w:p>
    <w:p w:rsidR="00AF73E8" w:rsidRPr="00AF73E8" w:rsidRDefault="00005103" w:rsidP="00AF73E8">
      <w:pPr>
        <w:pStyle w:val="Ttulo1"/>
        <w:spacing w:line="360" w:lineRule="auto"/>
        <w:jc w:val="both"/>
        <w:rPr>
          <w:rFonts w:ascii="Arial" w:hAnsi="Arial" w:cs="Arial"/>
          <w:b w:val="0"/>
        </w:rPr>
      </w:pPr>
      <w:r w:rsidRPr="00593774">
        <w:rPr>
          <w:rFonts w:ascii="Arial" w:hAnsi="Arial" w:cs="Arial"/>
          <w:lang w:val="es-UY"/>
        </w:rPr>
        <w:lastRenderedPageBreak/>
        <w:t xml:space="preserve">CONSTANCIA DE FUNDAMENTO DE VOTO DISCORDE DEL MINISTRO               ING. MIGUEL AUMENTO: </w:t>
      </w:r>
      <w:r w:rsidR="00593774">
        <w:rPr>
          <w:rFonts w:ascii="Arial" w:hAnsi="Arial" w:cs="Arial"/>
          <w:lang w:val="es-UY"/>
        </w:rPr>
        <w:t>“</w:t>
      </w:r>
      <w:r w:rsidR="00AF73E8" w:rsidRPr="00AF73E8">
        <w:rPr>
          <w:rFonts w:ascii="Arial" w:hAnsi="Arial" w:cs="Arial"/>
          <w:b w:val="0"/>
        </w:rPr>
        <w:t xml:space="preserve">He votado en forma discorde la Resolución recaída en este expediente, en tanto resultan de recibo los argumentos esgrimidos por la Administración Actuante, según lucen en el Resultando 3). </w:t>
      </w:r>
    </w:p>
    <w:p w:rsidR="00AF73E8" w:rsidRPr="00AF73E8" w:rsidRDefault="00AF73E8" w:rsidP="00AF73E8">
      <w:pPr>
        <w:pStyle w:val="Ttulo1"/>
        <w:spacing w:line="360" w:lineRule="auto"/>
        <w:jc w:val="both"/>
        <w:rPr>
          <w:rFonts w:ascii="Arial" w:hAnsi="Arial" w:cs="Arial"/>
          <w:b w:val="0"/>
        </w:rPr>
      </w:pPr>
      <w:r w:rsidRPr="00AF73E8">
        <w:rPr>
          <w:rFonts w:ascii="Arial" w:hAnsi="Arial" w:cs="Arial"/>
          <w:b w:val="0"/>
        </w:rPr>
        <w:t>En ocasión del análisis por parte del Tribunal de Cuentas del convenio en cuestión (Sesión del 6 de junio 2018), mi posición final fue la de emitir un voto con SALVEDAD, dado que no compartía la interpretación de asimilar -sin más- el concepto de empresa privada con la de una cooperativa (por la razones esgrimidas ahora por la Administración al reiterar el gasto)</w:t>
      </w:r>
      <w:r w:rsidR="00593774">
        <w:rPr>
          <w:rFonts w:ascii="Arial" w:hAnsi="Arial" w:cs="Arial"/>
          <w:b w:val="0"/>
        </w:rPr>
        <w:t>”</w:t>
      </w:r>
      <w:bookmarkStart w:id="0" w:name="_GoBack"/>
      <w:bookmarkEnd w:id="0"/>
      <w:r w:rsidRPr="00AF73E8">
        <w:rPr>
          <w:rFonts w:ascii="Arial" w:hAnsi="Arial" w:cs="Arial"/>
          <w:b w:val="0"/>
        </w:rPr>
        <w:t xml:space="preserve">.- </w:t>
      </w:r>
    </w:p>
    <w:p w:rsidR="00005103" w:rsidRPr="00AF73E8" w:rsidRDefault="00005103" w:rsidP="00AF73E8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005103" w:rsidRDefault="00005103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005103" w:rsidRPr="00FB4277" w:rsidRDefault="00005103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005103" w:rsidRPr="00FB4277" w:rsidRDefault="00005103" w:rsidP="00BF5137">
      <w:pPr>
        <w:spacing w:line="360" w:lineRule="auto"/>
        <w:jc w:val="both"/>
        <w:rPr>
          <w:rFonts w:ascii="Arial" w:hAnsi="Arial" w:cs="Arial"/>
          <w:lang w:val="es-UY"/>
        </w:rPr>
      </w:pPr>
    </w:p>
    <w:p w:rsidR="00005103" w:rsidRDefault="00005103" w:rsidP="00BF5137">
      <w:pPr>
        <w:spacing w:line="360" w:lineRule="auto"/>
        <w:jc w:val="both"/>
        <w:rPr>
          <w:rFonts w:ascii="Arial" w:hAnsi="Arial" w:cs="Arial"/>
          <w:lang w:val="es-UY"/>
        </w:rPr>
      </w:pPr>
    </w:p>
    <w:p w:rsidR="00005103" w:rsidRPr="00FB4277" w:rsidRDefault="00005103" w:rsidP="00305A73">
      <w:pPr>
        <w:spacing w:line="360" w:lineRule="auto"/>
        <w:rPr>
          <w:rFonts w:ascii="Arial" w:hAnsi="Arial" w:cs="Arial"/>
          <w:lang w:val="es-UY"/>
        </w:rPr>
      </w:pPr>
    </w:p>
    <w:p w:rsidR="00005103" w:rsidRDefault="00005103" w:rsidP="00FB4277">
      <w:pPr>
        <w:spacing w:line="360" w:lineRule="auto"/>
        <w:rPr>
          <w:rFonts w:ascii="Arial" w:hAnsi="Arial" w:cs="Arial"/>
          <w:lang w:val="es-UY"/>
        </w:rPr>
      </w:pPr>
    </w:p>
    <w:p w:rsidR="00005103" w:rsidRPr="00FB4277" w:rsidRDefault="00005103" w:rsidP="00FB4277">
      <w:pPr>
        <w:spacing w:line="360" w:lineRule="auto"/>
        <w:rPr>
          <w:rFonts w:ascii="Arial" w:hAnsi="Arial" w:cs="Arial"/>
          <w:lang w:val="es-UY"/>
        </w:rPr>
      </w:pPr>
    </w:p>
    <w:p w:rsidR="00005103" w:rsidRPr="00FB4277" w:rsidRDefault="00005103" w:rsidP="00FB4277">
      <w:pPr>
        <w:spacing w:line="360" w:lineRule="auto"/>
        <w:rPr>
          <w:rFonts w:ascii="Arial" w:hAnsi="Arial" w:cs="Arial"/>
          <w:lang w:val="es-UY"/>
        </w:rPr>
      </w:pPr>
      <w:r w:rsidRPr="00FB4277">
        <w:rPr>
          <w:rFonts w:ascii="Arial" w:hAnsi="Arial" w:cs="Arial"/>
          <w:lang w:val="es-UY"/>
        </w:rPr>
        <w:t xml:space="preserve">        </w:t>
      </w:r>
    </w:p>
    <w:p w:rsidR="00005103" w:rsidRPr="006A2B03" w:rsidRDefault="00005103" w:rsidP="006A2B03">
      <w:pPr>
        <w:rPr>
          <w:lang w:val="es-UY"/>
        </w:rPr>
      </w:pPr>
    </w:p>
    <w:p w:rsidR="00005103" w:rsidRDefault="00005103" w:rsidP="004077B0">
      <w:pPr>
        <w:spacing w:line="360" w:lineRule="auto"/>
        <w:jc w:val="both"/>
        <w:rPr>
          <w:rFonts w:ascii="Arial" w:hAnsi="Arial" w:cs="Arial"/>
        </w:rPr>
      </w:pPr>
    </w:p>
    <w:p w:rsidR="0020595D" w:rsidRDefault="0020595D" w:rsidP="004077B0">
      <w:pPr>
        <w:spacing w:line="360" w:lineRule="auto"/>
        <w:jc w:val="both"/>
        <w:rPr>
          <w:rFonts w:ascii="Arial" w:hAnsi="Arial" w:cs="Arial"/>
        </w:rPr>
      </w:pPr>
    </w:p>
    <w:p w:rsidR="0020595D" w:rsidRPr="00782CFA" w:rsidRDefault="0020595D" w:rsidP="0020595D">
      <w:pPr>
        <w:spacing w:line="360" w:lineRule="auto"/>
        <w:ind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dc</w:t>
      </w:r>
    </w:p>
    <w:sectPr w:rsidR="0020595D" w:rsidRPr="00782CFA" w:rsidSect="00593774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EB" w:rsidRDefault="001363EB" w:rsidP="001363EB">
      <w:r>
        <w:separator/>
      </w:r>
    </w:p>
  </w:endnote>
  <w:endnote w:type="continuationSeparator" w:id="0">
    <w:p w:rsidR="001363EB" w:rsidRDefault="001363EB" w:rsidP="0013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918738"/>
      <w:docPartObj>
        <w:docPartGallery w:val="Page Numbers (Bottom of Page)"/>
        <w:docPartUnique/>
      </w:docPartObj>
    </w:sdtPr>
    <w:sdtEndPr/>
    <w:sdtContent>
      <w:p w:rsidR="001363EB" w:rsidRDefault="001363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774">
          <w:rPr>
            <w:noProof/>
          </w:rPr>
          <w:t>4</w:t>
        </w:r>
        <w:r>
          <w:fldChar w:fldCharType="end"/>
        </w:r>
      </w:p>
    </w:sdtContent>
  </w:sdt>
  <w:p w:rsidR="001363EB" w:rsidRDefault="001363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EB" w:rsidRDefault="001363EB" w:rsidP="001363EB">
      <w:r>
        <w:separator/>
      </w:r>
    </w:p>
  </w:footnote>
  <w:footnote w:type="continuationSeparator" w:id="0">
    <w:p w:rsidR="001363EB" w:rsidRDefault="001363EB" w:rsidP="0013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0F1"/>
    <w:multiLevelType w:val="hybridMultilevel"/>
    <w:tmpl w:val="27CAEF84"/>
    <w:lvl w:ilvl="0" w:tplc="B8F29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B0"/>
    <w:rsid w:val="00005103"/>
    <w:rsid w:val="000431FF"/>
    <w:rsid w:val="001363EB"/>
    <w:rsid w:val="0020595D"/>
    <w:rsid w:val="0025237E"/>
    <w:rsid w:val="003B6090"/>
    <w:rsid w:val="004077B0"/>
    <w:rsid w:val="00545A99"/>
    <w:rsid w:val="00593774"/>
    <w:rsid w:val="00686D16"/>
    <w:rsid w:val="006B13C9"/>
    <w:rsid w:val="007249E8"/>
    <w:rsid w:val="00853C89"/>
    <w:rsid w:val="008D265D"/>
    <w:rsid w:val="009B3C90"/>
    <w:rsid w:val="009E7B69"/>
    <w:rsid w:val="009F65C6"/>
    <w:rsid w:val="00AA0AC5"/>
    <w:rsid w:val="00AA3931"/>
    <w:rsid w:val="00AF73E8"/>
    <w:rsid w:val="00B43CD5"/>
    <w:rsid w:val="00D26DBD"/>
    <w:rsid w:val="00EB12A5"/>
    <w:rsid w:val="00EF4364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77B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77B0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nhideWhenUsed/>
    <w:rsid w:val="004077B0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077B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36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6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E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77B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77B0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nhideWhenUsed/>
    <w:rsid w:val="004077B0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077B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36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6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E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94C4-38B1-4D01-84F0-04C3FCE8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2018-08-20T15:19:00Z</cp:lastPrinted>
  <dcterms:created xsi:type="dcterms:W3CDTF">2018-08-16T13:47:00Z</dcterms:created>
  <dcterms:modified xsi:type="dcterms:W3CDTF">2018-08-20T15:19:00Z</dcterms:modified>
</cp:coreProperties>
</file>