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DD7" w:rsidRPr="00786EEB" w:rsidRDefault="00E97DD7"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2690/18</w:t>
      </w:r>
    </w:p>
    <w:p w:rsidR="00E97DD7" w:rsidRDefault="00E97DD7" w:rsidP="00786EEB">
      <w:pPr>
        <w:tabs>
          <w:tab w:val="center" w:pos="4253"/>
        </w:tabs>
        <w:suppressAutoHyphens/>
        <w:jc w:val="right"/>
        <w:rPr>
          <w:rFonts w:ascii="Arial" w:hAnsi="Arial" w:cs="Arial"/>
          <w:b/>
          <w:lang w:val="es-ES_tradnl"/>
        </w:rPr>
      </w:pPr>
    </w:p>
    <w:p w:rsidR="00E97DD7" w:rsidRPr="00E97DD7" w:rsidRDefault="00E97DD7" w:rsidP="00E97DD7">
      <w:pPr>
        <w:tabs>
          <w:tab w:val="center" w:pos="4253"/>
        </w:tabs>
        <w:suppressAutoHyphens/>
        <w:spacing w:after="0" w:line="240" w:lineRule="auto"/>
        <w:jc w:val="center"/>
        <w:rPr>
          <w:rFonts w:ascii="Arial" w:hAnsi="Arial" w:cs="Arial"/>
          <w:b/>
          <w:sz w:val="24"/>
          <w:szCs w:val="24"/>
          <w:lang w:val="es-ES_tradnl"/>
        </w:rPr>
      </w:pPr>
      <w:r w:rsidRPr="00E97DD7">
        <w:rPr>
          <w:rFonts w:ascii="Arial" w:hAnsi="Arial" w:cs="Arial"/>
          <w:b/>
          <w:sz w:val="24"/>
          <w:szCs w:val="24"/>
          <w:lang w:val="es-ES_tradnl"/>
        </w:rPr>
        <w:t>RESOLUCION ADOPTADA POR EL</w:t>
      </w:r>
    </w:p>
    <w:p w:rsidR="00E97DD7" w:rsidRPr="00E97DD7" w:rsidRDefault="00E97DD7" w:rsidP="00E97DD7">
      <w:pPr>
        <w:tabs>
          <w:tab w:val="left" w:pos="-720"/>
        </w:tabs>
        <w:suppressAutoHyphens/>
        <w:spacing w:after="0" w:line="240" w:lineRule="auto"/>
        <w:jc w:val="center"/>
        <w:rPr>
          <w:rFonts w:ascii="Arial" w:hAnsi="Arial" w:cs="Arial"/>
          <w:b/>
          <w:sz w:val="24"/>
          <w:szCs w:val="24"/>
          <w:lang w:val="es-ES_tradnl"/>
        </w:rPr>
      </w:pPr>
    </w:p>
    <w:p w:rsidR="00E97DD7" w:rsidRPr="00E97DD7" w:rsidRDefault="00E97DD7" w:rsidP="00E97DD7">
      <w:pPr>
        <w:tabs>
          <w:tab w:val="center" w:pos="4253"/>
        </w:tabs>
        <w:suppressAutoHyphens/>
        <w:spacing w:after="0" w:line="240" w:lineRule="auto"/>
        <w:jc w:val="center"/>
        <w:rPr>
          <w:rFonts w:ascii="Arial" w:hAnsi="Arial" w:cs="Arial"/>
          <w:b/>
          <w:sz w:val="24"/>
          <w:szCs w:val="24"/>
          <w:lang w:val="es-ES_tradnl"/>
        </w:rPr>
      </w:pPr>
      <w:r w:rsidRPr="00E97DD7">
        <w:rPr>
          <w:rFonts w:ascii="Arial" w:hAnsi="Arial" w:cs="Arial"/>
          <w:b/>
          <w:sz w:val="24"/>
          <w:szCs w:val="24"/>
          <w:lang w:val="es-ES_tradnl"/>
        </w:rPr>
        <w:t>TRIBUNAL DE CUENTAS</w:t>
      </w:r>
    </w:p>
    <w:p w:rsidR="00E97DD7" w:rsidRPr="00E97DD7" w:rsidRDefault="00E97DD7" w:rsidP="00E97DD7">
      <w:pPr>
        <w:tabs>
          <w:tab w:val="left" w:pos="-720"/>
        </w:tabs>
        <w:suppressAutoHyphens/>
        <w:spacing w:after="0" w:line="240" w:lineRule="auto"/>
        <w:jc w:val="center"/>
        <w:rPr>
          <w:rFonts w:ascii="Arial" w:hAnsi="Arial" w:cs="Arial"/>
          <w:b/>
          <w:sz w:val="24"/>
          <w:szCs w:val="24"/>
          <w:lang w:val="es-ES_tradnl"/>
        </w:rPr>
      </w:pPr>
    </w:p>
    <w:p w:rsidR="00E97DD7" w:rsidRPr="00E97DD7" w:rsidRDefault="00E97DD7" w:rsidP="00E97DD7">
      <w:pPr>
        <w:tabs>
          <w:tab w:val="center" w:pos="4253"/>
        </w:tabs>
        <w:suppressAutoHyphens/>
        <w:spacing w:after="0" w:line="240" w:lineRule="auto"/>
        <w:jc w:val="center"/>
        <w:rPr>
          <w:rFonts w:ascii="Arial" w:hAnsi="Arial" w:cs="Arial"/>
          <w:b/>
          <w:sz w:val="24"/>
          <w:szCs w:val="24"/>
          <w:lang w:val="es-ES_tradnl"/>
        </w:rPr>
      </w:pPr>
      <w:r w:rsidRPr="00E97DD7">
        <w:rPr>
          <w:rFonts w:ascii="Arial" w:hAnsi="Arial" w:cs="Arial"/>
          <w:b/>
          <w:sz w:val="24"/>
          <w:szCs w:val="24"/>
          <w:lang w:val="es-ES_tradnl"/>
        </w:rPr>
        <w:t xml:space="preserve">EN SESION DE FECHA 22 DE AGOSTO </w:t>
      </w:r>
      <w:r w:rsidRPr="00E97DD7">
        <w:rPr>
          <w:rFonts w:ascii="Helvetica" w:hAnsi="Helvetica"/>
          <w:b/>
          <w:sz w:val="24"/>
          <w:szCs w:val="24"/>
          <w:lang w:val="es-ES_tradnl"/>
        </w:rPr>
        <w:t>DE 2018</w:t>
      </w:r>
    </w:p>
    <w:p w:rsidR="00E97DD7" w:rsidRPr="00E97DD7" w:rsidRDefault="00E97DD7" w:rsidP="00E97DD7">
      <w:pPr>
        <w:tabs>
          <w:tab w:val="center" w:pos="4253"/>
        </w:tabs>
        <w:suppressAutoHyphens/>
        <w:spacing w:after="0" w:line="240" w:lineRule="auto"/>
        <w:jc w:val="center"/>
        <w:rPr>
          <w:rFonts w:ascii="Arial" w:hAnsi="Arial" w:cs="Arial"/>
          <w:b/>
          <w:sz w:val="24"/>
          <w:szCs w:val="24"/>
          <w:lang w:val="es-ES_tradnl"/>
        </w:rPr>
      </w:pPr>
    </w:p>
    <w:p w:rsidR="00E97DD7" w:rsidRPr="00B431BD" w:rsidRDefault="00E97DD7" w:rsidP="00E97DD7">
      <w:pPr>
        <w:tabs>
          <w:tab w:val="center" w:pos="4253"/>
        </w:tabs>
        <w:suppressAutoHyphens/>
        <w:spacing w:after="0" w:line="240" w:lineRule="auto"/>
        <w:jc w:val="center"/>
        <w:rPr>
          <w:rFonts w:ascii="Arial" w:hAnsi="Arial" w:cs="Arial"/>
          <w:b/>
          <w:sz w:val="24"/>
          <w:szCs w:val="24"/>
          <w:lang w:val="es-UY"/>
        </w:rPr>
      </w:pPr>
      <w:r w:rsidRPr="00B431BD">
        <w:rPr>
          <w:rFonts w:ascii="Arial" w:hAnsi="Arial" w:cs="Arial"/>
          <w:b/>
          <w:sz w:val="24"/>
          <w:szCs w:val="24"/>
          <w:lang w:val="es-UY"/>
        </w:rPr>
        <w:t xml:space="preserve">(E. E. Nº 2018-17-1-0004769, </w:t>
      </w:r>
      <w:proofErr w:type="spellStart"/>
      <w:r w:rsidRPr="00B431BD">
        <w:rPr>
          <w:rFonts w:ascii="Arial" w:hAnsi="Arial" w:cs="Arial"/>
          <w:b/>
          <w:sz w:val="24"/>
          <w:szCs w:val="24"/>
          <w:lang w:val="es-UY"/>
        </w:rPr>
        <w:t>Ent</w:t>
      </w:r>
      <w:proofErr w:type="spellEnd"/>
      <w:r w:rsidRPr="00B431BD">
        <w:rPr>
          <w:rFonts w:ascii="Arial" w:hAnsi="Arial" w:cs="Arial"/>
          <w:b/>
          <w:sz w:val="24"/>
          <w:szCs w:val="24"/>
          <w:lang w:val="es-UY"/>
        </w:rPr>
        <w:t>. N° 3736/18)</w:t>
      </w:r>
    </w:p>
    <w:p w:rsidR="00E97DD7" w:rsidRPr="00B431BD" w:rsidRDefault="00E97DD7" w:rsidP="00E97DD7">
      <w:pPr>
        <w:tabs>
          <w:tab w:val="center" w:pos="4253"/>
        </w:tabs>
        <w:suppressAutoHyphens/>
        <w:spacing w:after="0" w:line="240" w:lineRule="auto"/>
        <w:jc w:val="center"/>
        <w:rPr>
          <w:rFonts w:ascii="Helvetica" w:hAnsi="Helvetica"/>
          <w:b/>
          <w:sz w:val="24"/>
          <w:szCs w:val="24"/>
          <w:lang w:val="es-UY"/>
        </w:rPr>
      </w:pPr>
    </w:p>
    <w:p w:rsidR="00E97DD7" w:rsidRDefault="00E97DD7" w:rsidP="00E97DD7">
      <w:pPr>
        <w:spacing w:after="0" w:line="360" w:lineRule="auto"/>
        <w:ind w:firstLine="851"/>
        <w:jc w:val="both"/>
        <w:rPr>
          <w:rFonts w:ascii="Arial" w:eastAsia="Times New Roman" w:hAnsi="Arial" w:cs="Arial"/>
          <w:sz w:val="24"/>
          <w:szCs w:val="24"/>
          <w:lang w:val="es-ES_tradnl" w:eastAsia="es-ES"/>
        </w:rPr>
      </w:pPr>
      <w:r w:rsidRPr="00440F01">
        <w:rPr>
          <w:rFonts w:ascii="Arial" w:eastAsia="Times New Roman" w:hAnsi="Arial" w:cs="Arial"/>
          <w:b/>
          <w:sz w:val="24"/>
          <w:szCs w:val="24"/>
          <w:lang w:val="es-ES_tradnl" w:eastAsia="es-ES"/>
        </w:rPr>
        <w:t>VISTO:</w:t>
      </w:r>
      <w:r w:rsidRPr="00440F01">
        <w:rPr>
          <w:rFonts w:ascii="Arial" w:eastAsia="Times New Roman" w:hAnsi="Arial" w:cs="Arial"/>
          <w:sz w:val="24"/>
          <w:szCs w:val="24"/>
          <w:lang w:val="es-ES_tradnl" w:eastAsia="es-ES"/>
        </w:rPr>
        <w:t xml:space="preserve"> que este Tribunal ha examinado el proyecto de Presupuesto de Recursos, Operativo, de Operaciones Financieras e Inversiones para el Ejercicio 201</w:t>
      </w:r>
      <w:r>
        <w:rPr>
          <w:rFonts w:ascii="Arial" w:eastAsia="Times New Roman" w:hAnsi="Arial" w:cs="Arial"/>
          <w:sz w:val="24"/>
          <w:szCs w:val="24"/>
          <w:lang w:val="es-ES_tradnl" w:eastAsia="es-ES"/>
        </w:rPr>
        <w:t>9</w:t>
      </w:r>
      <w:r w:rsidRPr="00440F01">
        <w:rPr>
          <w:rFonts w:ascii="Arial" w:eastAsia="Times New Roman" w:hAnsi="Arial" w:cs="Arial"/>
          <w:sz w:val="24"/>
          <w:szCs w:val="24"/>
          <w:lang w:val="es-ES_tradnl" w:eastAsia="es-ES"/>
        </w:rPr>
        <w:t>, remitido por el</w:t>
      </w:r>
      <w:r w:rsidRPr="00440F01">
        <w:rPr>
          <w:rFonts w:ascii="Arial" w:eastAsia="Times New Roman" w:hAnsi="Arial" w:cs="Arial"/>
          <w:spacing w:val="-3"/>
          <w:sz w:val="24"/>
          <w:szCs w:val="24"/>
          <w:lang w:val="es-ES_tradnl" w:eastAsia="es-ES"/>
        </w:rPr>
        <w:t xml:space="preserve"> Banco Central del Uruguay (BCU)</w:t>
      </w:r>
      <w:r w:rsidRPr="00440F01">
        <w:rPr>
          <w:rFonts w:ascii="Arial" w:eastAsia="Times New Roman" w:hAnsi="Arial" w:cs="Arial"/>
          <w:sz w:val="24"/>
          <w:szCs w:val="24"/>
          <w:lang w:val="es-ES_tradnl" w:eastAsia="es-ES"/>
        </w:rPr>
        <w:t>;</w:t>
      </w:r>
    </w:p>
    <w:p w:rsidR="00E97DD7" w:rsidRDefault="00E97DD7" w:rsidP="00E97DD7">
      <w:pPr>
        <w:spacing w:after="0" w:line="360" w:lineRule="auto"/>
        <w:ind w:firstLine="851"/>
        <w:jc w:val="both"/>
        <w:rPr>
          <w:rFonts w:ascii="Arial" w:eastAsia="Times New Roman" w:hAnsi="Arial" w:cs="Arial"/>
          <w:sz w:val="24"/>
          <w:szCs w:val="24"/>
          <w:lang w:val="es-ES_tradnl" w:eastAsia="es-ES"/>
        </w:rPr>
      </w:pPr>
      <w:r w:rsidRPr="00440F01">
        <w:rPr>
          <w:rFonts w:ascii="Arial" w:eastAsia="Times New Roman" w:hAnsi="Arial" w:cs="Arial"/>
          <w:b/>
          <w:sz w:val="24"/>
          <w:szCs w:val="24"/>
          <w:lang w:val="es-ES_tradnl" w:eastAsia="es-ES"/>
        </w:rPr>
        <w:t>CONSIDERANDO:</w:t>
      </w:r>
      <w:r w:rsidRPr="00440F01">
        <w:rPr>
          <w:rFonts w:ascii="Arial" w:eastAsia="Times New Roman" w:hAnsi="Arial" w:cs="Arial"/>
          <w:sz w:val="24"/>
          <w:szCs w:val="24"/>
          <w:lang w:val="es-ES_tradnl" w:eastAsia="es-ES"/>
        </w:rPr>
        <w:t xml:space="preserve"> que las conclusiones obtenidas son las que se expresan en el Dictamen que se adjunta;</w:t>
      </w:r>
    </w:p>
    <w:p w:rsidR="00E97DD7" w:rsidRDefault="00E97DD7" w:rsidP="00E97DD7">
      <w:pPr>
        <w:spacing w:after="0" w:line="360" w:lineRule="auto"/>
        <w:ind w:firstLine="851"/>
        <w:jc w:val="both"/>
        <w:rPr>
          <w:rFonts w:ascii="Arial" w:eastAsia="Times New Roman" w:hAnsi="Arial" w:cs="Arial"/>
          <w:sz w:val="24"/>
          <w:szCs w:val="24"/>
          <w:lang w:val="es-ES_tradnl" w:eastAsia="es-ES"/>
        </w:rPr>
      </w:pPr>
      <w:r w:rsidRPr="00440F01">
        <w:rPr>
          <w:rFonts w:ascii="Arial" w:eastAsia="Times New Roman" w:hAnsi="Arial" w:cs="Arial"/>
          <w:b/>
          <w:sz w:val="24"/>
          <w:szCs w:val="24"/>
          <w:lang w:val="es-ES_tradnl" w:eastAsia="es-ES"/>
        </w:rPr>
        <w:t>ATENTO:</w:t>
      </w:r>
      <w:r w:rsidRPr="00440F01">
        <w:rPr>
          <w:rFonts w:ascii="Arial" w:eastAsia="Times New Roman" w:hAnsi="Arial" w:cs="Arial"/>
          <w:sz w:val="24"/>
          <w:szCs w:val="24"/>
          <w:lang w:val="es-ES_tradnl" w:eastAsia="es-ES"/>
        </w:rPr>
        <w:t xml:space="preserve"> a lo dispuesto por los Artículos 211 Literal A) y 221 de la Constitución de la República;</w:t>
      </w:r>
    </w:p>
    <w:p w:rsidR="00E97DD7" w:rsidRPr="00440F01" w:rsidRDefault="00E97DD7" w:rsidP="00E97DD7">
      <w:pPr>
        <w:keepNext/>
        <w:tabs>
          <w:tab w:val="left" w:pos="-720"/>
          <w:tab w:val="left" w:pos="708"/>
        </w:tabs>
        <w:spacing w:after="0" w:line="360" w:lineRule="auto"/>
        <w:jc w:val="center"/>
        <w:outlineLvl w:val="0"/>
        <w:rPr>
          <w:rFonts w:ascii="Arial" w:eastAsia="Times New Roman" w:hAnsi="Arial" w:cs="Arial"/>
          <w:b/>
          <w:bCs/>
          <w:sz w:val="24"/>
          <w:szCs w:val="24"/>
          <w:lang w:val="es-ES_tradnl" w:eastAsia="es-ES"/>
        </w:rPr>
      </w:pPr>
      <w:r w:rsidRPr="00440F01">
        <w:rPr>
          <w:rFonts w:ascii="Arial" w:eastAsia="Times New Roman" w:hAnsi="Arial" w:cs="Arial"/>
          <w:b/>
          <w:bCs/>
          <w:sz w:val="24"/>
          <w:szCs w:val="24"/>
          <w:lang w:val="es-ES_tradnl" w:eastAsia="es-ES"/>
        </w:rPr>
        <w:t>EL TRIBUNAL ACUERDA</w:t>
      </w:r>
    </w:p>
    <w:p w:rsidR="00E97DD7" w:rsidRPr="00440F01" w:rsidRDefault="00E97DD7" w:rsidP="00E97DD7">
      <w:pPr>
        <w:shd w:val="clear" w:color="auto" w:fill="FFFFFF" w:themeFill="background1"/>
        <w:spacing w:after="0" w:line="360" w:lineRule="auto"/>
        <w:ind w:left="284" w:hanging="284"/>
        <w:jc w:val="both"/>
        <w:rPr>
          <w:rFonts w:ascii="Arial" w:eastAsia="Times New Roman" w:hAnsi="Arial" w:cs="Arial"/>
          <w:sz w:val="24"/>
          <w:szCs w:val="24"/>
          <w:lang w:eastAsia="es-ES"/>
        </w:rPr>
      </w:pPr>
      <w:r w:rsidRPr="00440F01">
        <w:rPr>
          <w:rFonts w:ascii="Arial" w:eastAsia="Times New Roman" w:hAnsi="Arial" w:cs="Arial"/>
          <w:b/>
          <w:sz w:val="24"/>
          <w:szCs w:val="24"/>
          <w:lang w:val="es-ES_tradnl" w:eastAsia="es-ES"/>
        </w:rPr>
        <w:t>1)</w:t>
      </w:r>
      <w:r w:rsidRPr="00440F01">
        <w:rPr>
          <w:rFonts w:ascii="Arial" w:eastAsia="Times New Roman" w:hAnsi="Arial" w:cs="Arial"/>
          <w:sz w:val="24"/>
          <w:szCs w:val="24"/>
          <w:lang w:val="es-ES_tradnl" w:eastAsia="es-ES"/>
        </w:rPr>
        <w:t xml:space="preserve"> Emitir su pronunciamiento respecto al proyecto de </w:t>
      </w:r>
      <w:r w:rsidRPr="00440F01">
        <w:rPr>
          <w:rFonts w:ascii="Arial" w:eastAsia="Times New Roman" w:hAnsi="Arial" w:cs="Arial"/>
          <w:spacing w:val="-3"/>
          <w:sz w:val="24"/>
          <w:szCs w:val="24"/>
          <w:lang w:val="es-ES_tradnl" w:eastAsia="es-ES"/>
        </w:rPr>
        <w:t>Presupuesto de Recursos, Operativo, de Operaciones Financieras e Inversiones</w:t>
      </w:r>
      <w:r w:rsidRPr="00440F01">
        <w:rPr>
          <w:rFonts w:ascii="Arial" w:eastAsia="Times New Roman" w:hAnsi="Arial" w:cs="Arial"/>
          <w:sz w:val="24"/>
          <w:szCs w:val="24"/>
          <w:lang w:val="es-ES_tradnl" w:eastAsia="es-ES"/>
        </w:rPr>
        <w:t xml:space="preserve"> del </w:t>
      </w:r>
      <w:r w:rsidRPr="00440F01">
        <w:rPr>
          <w:rFonts w:ascii="Arial" w:eastAsia="Times New Roman" w:hAnsi="Arial" w:cs="Arial"/>
          <w:spacing w:val="-3"/>
          <w:sz w:val="24"/>
          <w:szCs w:val="24"/>
          <w:lang w:val="es-ES_tradnl" w:eastAsia="es-ES"/>
        </w:rPr>
        <w:t>Banco Central del Uruguay</w:t>
      </w:r>
      <w:r w:rsidRPr="00440F01">
        <w:rPr>
          <w:rFonts w:ascii="Arial" w:eastAsia="Times New Roman" w:hAnsi="Arial" w:cs="Arial"/>
          <w:sz w:val="24"/>
          <w:szCs w:val="24"/>
          <w:lang w:val="es-ES_tradnl" w:eastAsia="es-ES"/>
        </w:rPr>
        <w:t xml:space="preserve"> correspondiente al Ejercicio 201</w:t>
      </w:r>
      <w:r>
        <w:rPr>
          <w:rFonts w:ascii="Arial" w:eastAsia="Times New Roman" w:hAnsi="Arial" w:cs="Arial"/>
          <w:sz w:val="24"/>
          <w:szCs w:val="24"/>
          <w:lang w:val="es-ES_tradnl" w:eastAsia="es-ES"/>
        </w:rPr>
        <w:t>9</w:t>
      </w:r>
      <w:r w:rsidRPr="00440F01">
        <w:rPr>
          <w:rFonts w:ascii="Arial" w:eastAsia="Times New Roman" w:hAnsi="Arial" w:cs="Arial"/>
          <w:sz w:val="24"/>
          <w:szCs w:val="24"/>
          <w:lang w:val="es-ES_tradnl" w:eastAsia="es-ES"/>
        </w:rPr>
        <w:t>, en los términos del Dictamen que se adjunta;</w:t>
      </w:r>
    </w:p>
    <w:p w:rsidR="00E97DD7" w:rsidRDefault="00E97DD7" w:rsidP="00E97DD7">
      <w:pPr>
        <w:shd w:val="clear" w:color="auto" w:fill="FFFFFF" w:themeFill="background1"/>
        <w:tabs>
          <w:tab w:val="num" w:pos="284"/>
        </w:tabs>
        <w:spacing w:after="0" w:line="360" w:lineRule="auto"/>
        <w:ind w:left="284" w:hanging="284"/>
        <w:jc w:val="both"/>
        <w:rPr>
          <w:rFonts w:ascii="Arial" w:eastAsia="Times New Roman" w:hAnsi="Arial" w:cs="Arial"/>
          <w:sz w:val="24"/>
          <w:szCs w:val="24"/>
          <w:lang w:eastAsia="es-ES"/>
        </w:rPr>
      </w:pPr>
      <w:r w:rsidRPr="00E91A5B">
        <w:rPr>
          <w:rFonts w:ascii="Arial" w:eastAsia="Times New Roman" w:hAnsi="Arial" w:cs="Arial"/>
          <w:b/>
          <w:sz w:val="24"/>
          <w:szCs w:val="24"/>
          <w:lang w:eastAsia="es-ES"/>
        </w:rPr>
        <w:t xml:space="preserve">2) </w:t>
      </w:r>
      <w:r w:rsidRPr="00E91A5B">
        <w:rPr>
          <w:rFonts w:ascii="Arial" w:eastAsia="Times New Roman" w:hAnsi="Arial" w:cs="Arial"/>
          <w:sz w:val="24"/>
          <w:szCs w:val="24"/>
          <w:lang w:eastAsia="es-ES"/>
        </w:rPr>
        <w:t xml:space="preserve">Observar el Proyecto de Presupuesto por lo expresado en </w:t>
      </w:r>
      <w:r>
        <w:rPr>
          <w:rFonts w:ascii="Arial" w:eastAsia="Times New Roman" w:hAnsi="Arial" w:cs="Arial"/>
          <w:sz w:val="24"/>
          <w:szCs w:val="24"/>
          <w:lang w:eastAsia="es-ES"/>
        </w:rPr>
        <w:t xml:space="preserve">los </w:t>
      </w:r>
      <w:r w:rsidRPr="00E91A5B">
        <w:rPr>
          <w:rFonts w:ascii="Arial" w:eastAsia="Times New Roman" w:hAnsi="Arial" w:cs="Arial"/>
          <w:sz w:val="24"/>
          <w:szCs w:val="24"/>
          <w:lang w:eastAsia="es-ES"/>
        </w:rPr>
        <w:t>Numeral</w:t>
      </w:r>
      <w:r>
        <w:rPr>
          <w:rFonts w:ascii="Arial" w:eastAsia="Times New Roman" w:hAnsi="Arial" w:cs="Arial"/>
          <w:sz w:val="24"/>
          <w:szCs w:val="24"/>
          <w:lang w:eastAsia="es-ES"/>
        </w:rPr>
        <w:t xml:space="preserve">es  1.3) y </w:t>
      </w:r>
      <w:r w:rsidRPr="00E91A5B">
        <w:rPr>
          <w:rFonts w:ascii="Arial" w:eastAsia="Times New Roman" w:hAnsi="Arial" w:cs="Arial"/>
          <w:sz w:val="24"/>
          <w:szCs w:val="24"/>
          <w:lang w:eastAsia="es-ES"/>
        </w:rPr>
        <w:t xml:space="preserve"> </w:t>
      </w:r>
      <w:r>
        <w:rPr>
          <w:rFonts w:ascii="Arial" w:eastAsia="Times New Roman" w:hAnsi="Arial" w:cs="Arial"/>
          <w:sz w:val="24"/>
          <w:szCs w:val="24"/>
          <w:lang w:eastAsia="es-ES"/>
        </w:rPr>
        <w:t>2.11);</w:t>
      </w:r>
    </w:p>
    <w:p w:rsidR="00E97DD7" w:rsidRPr="00C42672" w:rsidRDefault="00E97DD7" w:rsidP="00E97DD7">
      <w:pPr>
        <w:shd w:val="clear" w:color="auto" w:fill="FFFFFF" w:themeFill="background1"/>
        <w:tabs>
          <w:tab w:val="num" w:pos="284"/>
        </w:tabs>
        <w:spacing w:after="0" w:line="360" w:lineRule="auto"/>
        <w:ind w:left="284" w:hanging="284"/>
        <w:jc w:val="both"/>
        <w:rPr>
          <w:rFonts w:ascii="Arial" w:eastAsia="Times New Roman" w:hAnsi="Arial" w:cs="Arial"/>
          <w:sz w:val="24"/>
          <w:szCs w:val="24"/>
          <w:lang w:eastAsia="es-ES"/>
        </w:rPr>
      </w:pPr>
      <w:r w:rsidRPr="00562A7B">
        <w:rPr>
          <w:rFonts w:ascii="Arial" w:eastAsia="Times New Roman" w:hAnsi="Arial" w:cs="Arial"/>
          <w:b/>
          <w:sz w:val="24"/>
          <w:szCs w:val="24"/>
          <w:lang w:eastAsia="es-ES"/>
        </w:rPr>
        <w:t>3)</w:t>
      </w:r>
      <w:r w:rsidRPr="00562A7B">
        <w:rPr>
          <w:rFonts w:ascii="Arial" w:eastAsia="Times New Roman" w:hAnsi="Arial" w:cs="Arial"/>
          <w:sz w:val="24"/>
          <w:szCs w:val="24"/>
          <w:lang w:eastAsia="es-ES"/>
        </w:rPr>
        <w:t xml:space="preserve"> Téngase presente lo señalado en los Numerales</w:t>
      </w:r>
      <w:r w:rsidRPr="00562A7B">
        <w:rPr>
          <w:rFonts w:ascii="Arial" w:eastAsia="Times New Roman" w:hAnsi="Arial" w:cs="Arial"/>
          <w:sz w:val="24"/>
          <w:szCs w:val="24"/>
          <w:lang w:val="es-ES_tradnl" w:eastAsia="es-ES"/>
        </w:rPr>
        <w:t xml:space="preserve"> 2.</w:t>
      </w:r>
      <w:r>
        <w:rPr>
          <w:rFonts w:ascii="Arial" w:eastAsia="Times New Roman" w:hAnsi="Arial" w:cs="Arial"/>
          <w:sz w:val="24"/>
          <w:szCs w:val="24"/>
          <w:lang w:val="es-ES_tradnl" w:eastAsia="es-ES"/>
        </w:rPr>
        <w:t>5</w:t>
      </w:r>
      <w:r w:rsidRPr="00562A7B">
        <w:rPr>
          <w:rFonts w:ascii="Arial" w:eastAsia="Times New Roman" w:hAnsi="Arial" w:cs="Arial"/>
          <w:sz w:val="24"/>
          <w:szCs w:val="24"/>
          <w:lang w:val="es-ES_tradnl" w:eastAsia="es-ES"/>
        </w:rPr>
        <w:t>) a  2.</w:t>
      </w:r>
      <w:r>
        <w:rPr>
          <w:rFonts w:ascii="Arial" w:eastAsia="Times New Roman" w:hAnsi="Arial" w:cs="Arial"/>
          <w:sz w:val="24"/>
          <w:szCs w:val="24"/>
          <w:lang w:val="es-ES_tradnl" w:eastAsia="es-ES"/>
        </w:rPr>
        <w:t>10</w:t>
      </w:r>
      <w:r w:rsidRPr="00562A7B">
        <w:rPr>
          <w:rFonts w:ascii="Arial" w:eastAsia="Times New Roman" w:hAnsi="Arial" w:cs="Arial"/>
          <w:sz w:val="24"/>
          <w:szCs w:val="24"/>
          <w:lang w:val="es-ES_tradnl" w:eastAsia="es-ES"/>
        </w:rPr>
        <w:t>)</w:t>
      </w:r>
      <w:r>
        <w:rPr>
          <w:rFonts w:ascii="Arial" w:eastAsia="Times New Roman" w:hAnsi="Arial" w:cs="Arial"/>
          <w:sz w:val="24"/>
          <w:szCs w:val="24"/>
          <w:lang w:val="es-ES_tradnl" w:eastAsia="es-ES"/>
        </w:rPr>
        <w:t xml:space="preserve"> del  Dictamen;</w:t>
      </w:r>
    </w:p>
    <w:p w:rsidR="00E97DD7" w:rsidRDefault="00BA3ABC" w:rsidP="00E97DD7">
      <w:pPr>
        <w:tabs>
          <w:tab w:val="num" w:pos="284"/>
        </w:tabs>
        <w:spacing w:after="0" w:line="360" w:lineRule="auto"/>
        <w:ind w:left="284" w:hanging="284"/>
        <w:jc w:val="both"/>
        <w:rPr>
          <w:rFonts w:ascii="Arial" w:eastAsia="Times New Roman" w:hAnsi="Arial" w:cs="Arial"/>
          <w:sz w:val="24"/>
          <w:szCs w:val="24"/>
          <w:lang w:eastAsia="es-ES"/>
        </w:rPr>
      </w:pPr>
      <w:r>
        <w:rPr>
          <w:rFonts w:ascii="Arial" w:eastAsia="Times New Roman" w:hAnsi="Arial" w:cs="Arial"/>
          <w:b/>
          <w:sz w:val="24"/>
          <w:szCs w:val="24"/>
          <w:lang w:eastAsia="es-ES"/>
        </w:rPr>
        <w:t>4</w:t>
      </w:r>
      <w:r w:rsidR="00E97DD7" w:rsidRPr="00440F01">
        <w:rPr>
          <w:rFonts w:ascii="Arial" w:eastAsia="Times New Roman" w:hAnsi="Arial" w:cs="Arial"/>
          <w:b/>
          <w:sz w:val="24"/>
          <w:szCs w:val="24"/>
          <w:lang w:eastAsia="es-ES"/>
        </w:rPr>
        <w:t>)</w:t>
      </w:r>
      <w:r w:rsidR="00E97DD7" w:rsidRPr="00440F01">
        <w:rPr>
          <w:rFonts w:ascii="Arial" w:eastAsia="Times New Roman" w:hAnsi="Arial" w:cs="Arial"/>
          <w:sz w:val="24"/>
          <w:szCs w:val="24"/>
          <w:lang w:eastAsia="es-ES"/>
        </w:rPr>
        <w:t xml:space="preserve"> Comunicar la presente Resolución al Ministerio de Economía y Finanzas</w:t>
      </w:r>
      <w:r w:rsidR="00E97DD7">
        <w:rPr>
          <w:rFonts w:ascii="Arial" w:eastAsia="Times New Roman" w:hAnsi="Arial" w:cs="Arial"/>
          <w:sz w:val="24"/>
          <w:szCs w:val="24"/>
          <w:lang w:eastAsia="es-ES"/>
        </w:rPr>
        <w:t xml:space="preserve"> </w:t>
      </w:r>
      <w:r w:rsidR="00E97DD7" w:rsidRPr="00440F01">
        <w:rPr>
          <w:rFonts w:ascii="Arial" w:eastAsia="Times New Roman" w:hAnsi="Arial" w:cs="Arial"/>
          <w:sz w:val="24"/>
          <w:szCs w:val="24"/>
          <w:lang w:eastAsia="es-ES"/>
        </w:rPr>
        <w:t>y a la Oficin</w:t>
      </w:r>
      <w:r w:rsidR="00E97DD7">
        <w:rPr>
          <w:rFonts w:ascii="Arial" w:eastAsia="Times New Roman" w:hAnsi="Arial" w:cs="Arial"/>
          <w:sz w:val="24"/>
          <w:szCs w:val="24"/>
          <w:lang w:eastAsia="es-ES"/>
        </w:rPr>
        <w:t>a de Planeamiento y Presupuesto;</w:t>
      </w:r>
    </w:p>
    <w:p w:rsidR="00E97DD7" w:rsidRDefault="00BA3ABC" w:rsidP="00E97DD7">
      <w:pPr>
        <w:tabs>
          <w:tab w:val="num" w:pos="284"/>
        </w:tabs>
        <w:spacing w:after="0" w:line="360" w:lineRule="auto"/>
        <w:ind w:left="284" w:hanging="284"/>
        <w:jc w:val="both"/>
        <w:rPr>
          <w:rFonts w:ascii="Arial" w:eastAsia="Times New Roman" w:hAnsi="Arial" w:cs="Arial"/>
          <w:sz w:val="24"/>
          <w:szCs w:val="24"/>
          <w:lang w:eastAsia="es-ES"/>
        </w:rPr>
      </w:pPr>
      <w:r>
        <w:rPr>
          <w:rFonts w:ascii="Arial" w:eastAsia="Times New Roman" w:hAnsi="Arial" w:cs="Arial"/>
          <w:b/>
          <w:sz w:val="24"/>
          <w:szCs w:val="24"/>
          <w:lang w:eastAsia="es-ES"/>
        </w:rPr>
        <w:t>5</w:t>
      </w:r>
      <w:r w:rsidR="00E97DD7">
        <w:rPr>
          <w:rFonts w:ascii="Arial" w:eastAsia="Times New Roman" w:hAnsi="Arial" w:cs="Arial"/>
          <w:b/>
          <w:sz w:val="24"/>
          <w:szCs w:val="24"/>
          <w:lang w:eastAsia="es-ES"/>
        </w:rPr>
        <w:t xml:space="preserve">) </w:t>
      </w:r>
      <w:r w:rsidR="00E97DD7">
        <w:rPr>
          <w:rFonts w:ascii="Arial" w:eastAsia="Times New Roman" w:hAnsi="Arial" w:cs="Arial"/>
          <w:sz w:val="24"/>
          <w:szCs w:val="24"/>
          <w:lang w:eastAsia="es-ES"/>
        </w:rPr>
        <w:t>Devolver al Organismo el Expediente 2018-50-1-0001542.</w:t>
      </w:r>
    </w:p>
    <w:p w:rsidR="00E97DD7" w:rsidRDefault="00E97DD7" w:rsidP="00E97DD7">
      <w:pPr>
        <w:tabs>
          <w:tab w:val="num" w:pos="284"/>
        </w:tabs>
        <w:spacing w:after="0" w:line="360" w:lineRule="auto"/>
        <w:ind w:left="284" w:hanging="568"/>
        <w:jc w:val="both"/>
        <w:rPr>
          <w:rFonts w:ascii="Arial" w:eastAsia="Times New Roman" w:hAnsi="Arial" w:cs="Arial"/>
          <w:sz w:val="24"/>
          <w:szCs w:val="24"/>
          <w:highlight w:val="yellow"/>
          <w:lang w:eastAsia="es-ES"/>
        </w:rPr>
      </w:pPr>
    </w:p>
    <w:p w:rsidR="00DC37D6" w:rsidRDefault="008E55A5">
      <w:pPr>
        <w:rPr>
          <w:rFonts w:ascii="Arial" w:hAnsi="Arial" w:cs="Arial"/>
          <w:sz w:val="24"/>
          <w:szCs w:val="24"/>
        </w:rPr>
      </w:pPr>
      <w:proofErr w:type="gramStart"/>
      <w:r w:rsidRPr="008E55A5">
        <w:rPr>
          <w:rFonts w:ascii="Arial" w:hAnsi="Arial" w:cs="Arial"/>
          <w:sz w:val="24"/>
          <w:szCs w:val="24"/>
        </w:rPr>
        <w:t>dc</w:t>
      </w:r>
      <w:proofErr w:type="gramEnd"/>
    </w:p>
    <w:p w:rsidR="008E55A5" w:rsidRDefault="008E55A5">
      <w:pPr>
        <w:rPr>
          <w:rFonts w:ascii="Arial" w:hAnsi="Arial" w:cs="Arial"/>
          <w:sz w:val="24"/>
          <w:szCs w:val="24"/>
        </w:rPr>
      </w:pPr>
    </w:p>
    <w:p w:rsidR="008E55A5" w:rsidRDefault="008E55A5">
      <w:pPr>
        <w:pStyle w:val="Ttulo"/>
        <w:tabs>
          <w:tab w:val="clear" w:pos="-720"/>
        </w:tabs>
        <w:spacing w:line="360" w:lineRule="auto"/>
        <w:rPr>
          <w:rFonts w:cs="Arial"/>
        </w:rPr>
      </w:pPr>
      <w:r w:rsidRPr="00440F01">
        <w:rPr>
          <w:rFonts w:cs="Arial"/>
        </w:rPr>
        <w:lastRenderedPageBreak/>
        <w:t>DICTAMEN</w:t>
      </w:r>
    </w:p>
    <w:p w:rsidR="008E55A5" w:rsidRDefault="008E55A5">
      <w:pPr>
        <w:spacing w:line="360" w:lineRule="auto"/>
        <w:jc w:val="both"/>
        <w:rPr>
          <w:rFonts w:ascii="Arial" w:hAnsi="Arial" w:cs="Arial"/>
          <w:spacing w:val="-3"/>
          <w:sz w:val="24"/>
          <w:szCs w:val="24"/>
          <w:lang w:val="es-ES_tradnl"/>
        </w:rPr>
      </w:pPr>
      <w:r w:rsidRPr="00440F01">
        <w:rPr>
          <w:rFonts w:ascii="Arial" w:hAnsi="Arial" w:cs="Arial"/>
          <w:spacing w:val="-3"/>
          <w:sz w:val="24"/>
          <w:szCs w:val="24"/>
          <w:lang w:val="es-ES_tradnl"/>
        </w:rPr>
        <w:t>El Tribunal de Cuentas ha examinado el proyecto de Presupuesto para el Ejercicio 201</w:t>
      </w:r>
      <w:r>
        <w:rPr>
          <w:rFonts w:ascii="Arial" w:hAnsi="Arial" w:cs="Arial"/>
          <w:spacing w:val="-3"/>
          <w:sz w:val="24"/>
          <w:szCs w:val="24"/>
          <w:lang w:val="es-ES_tradnl"/>
        </w:rPr>
        <w:t>9</w:t>
      </w:r>
      <w:r w:rsidRPr="00440F01">
        <w:rPr>
          <w:rFonts w:ascii="Arial" w:hAnsi="Arial" w:cs="Arial"/>
          <w:spacing w:val="-3"/>
          <w:sz w:val="24"/>
          <w:szCs w:val="24"/>
          <w:lang w:val="es-ES_tradnl"/>
        </w:rPr>
        <w:t xml:space="preserve"> del Banco Central del Uruguay (BCU). Toda la información incluida en el referido proyecto y los supuestos sobre los que se basa son responsabilidad del Directorio del Banco Central del Uruguay. La responsabilidad del Tribunal de Cuentas es expresar una opinión sobre dicho proyecto de Presupuesto de acuerdo con lo dispuesto por los Artículos 211 Literal A) y 221 de la Constitución de la República y establecer, en caso que corresponda, los hallazgos constatados con relación al cumplimiento de las </w:t>
      </w:r>
      <w:r w:rsidRPr="00440F01">
        <w:rPr>
          <w:rFonts w:ascii="Arial" w:hAnsi="Arial" w:cs="Arial"/>
          <w:bCs/>
          <w:spacing w:val="-3"/>
          <w:sz w:val="24"/>
          <w:szCs w:val="24"/>
          <w:lang w:val="es-ES_tradnl"/>
        </w:rPr>
        <w:t>normas constitucionales,</w:t>
      </w:r>
      <w:r w:rsidRPr="00440F01">
        <w:rPr>
          <w:rFonts w:ascii="Arial" w:hAnsi="Arial" w:cs="Arial"/>
          <w:spacing w:val="-3"/>
          <w:sz w:val="24"/>
          <w:szCs w:val="24"/>
          <w:lang w:val="es-ES_tradnl"/>
        </w:rPr>
        <w:t xml:space="preserve"> legales y reglamentarias  que resulten aplicables.</w:t>
      </w:r>
    </w:p>
    <w:p w:rsidR="008E55A5" w:rsidRDefault="008E55A5" w:rsidP="008E55A5">
      <w:pPr>
        <w:pStyle w:val="Prrafodelista"/>
        <w:numPr>
          <w:ilvl w:val="0"/>
          <w:numId w:val="1"/>
        </w:numPr>
        <w:spacing w:after="0" w:line="360" w:lineRule="auto"/>
        <w:ind w:left="284" w:hanging="284"/>
        <w:jc w:val="both"/>
        <w:rPr>
          <w:rFonts w:ascii="Arial" w:hAnsi="Arial" w:cs="Arial"/>
          <w:b/>
          <w:bCs/>
          <w:sz w:val="24"/>
          <w:szCs w:val="24"/>
        </w:rPr>
      </w:pPr>
      <w:r w:rsidRPr="00440F01">
        <w:rPr>
          <w:rFonts w:ascii="Arial" w:hAnsi="Arial" w:cs="Arial"/>
          <w:b/>
          <w:bCs/>
          <w:sz w:val="24"/>
          <w:szCs w:val="24"/>
        </w:rPr>
        <w:t>ANÁLISIS DE INGRESOS PROYECTADOS Y ASIGNACIONES PRESUPUESTALES Y RESULTADO PRESUPUESTAL</w:t>
      </w:r>
    </w:p>
    <w:p w:rsidR="008E55A5" w:rsidRDefault="008E55A5" w:rsidP="008E55A5">
      <w:pPr>
        <w:pStyle w:val="Prrafodelista"/>
        <w:numPr>
          <w:ilvl w:val="1"/>
          <w:numId w:val="4"/>
        </w:numPr>
        <w:spacing w:line="360" w:lineRule="auto"/>
        <w:jc w:val="both"/>
        <w:rPr>
          <w:rFonts w:ascii="Arial" w:eastAsia="Calibri" w:hAnsi="Arial" w:cs="Arial"/>
          <w:b/>
          <w:bCs/>
          <w:sz w:val="24"/>
          <w:szCs w:val="24"/>
        </w:rPr>
      </w:pPr>
      <w:r w:rsidRPr="00440F01">
        <w:rPr>
          <w:rFonts w:ascii="Arial" w:eastAsia="Calibri" w:hAnsi="Arial" w:cs="Arial"/>
          <w:b/>
          <w:bCs/>
          <w:sz w:val="24"/>
          <w:szCs w:val="24"/>
        </w:rPr>
        <w:t xml:space="preserve"> Ingresos proyectados</w:t>
      </w:r>
    </w:p>
    <w:tbl>
      <w:tblPr>
        <w:tblW w:w="7938" w:type="dxa"/>
        <w:tblInd w:w="292" w:type="dxa"/>
        <w:tblCellMar>
          <w:left w:w="70" w:type="dxa"/>
          <w:right w:w="70" w:type="dxa"/>
        </w:tblCellMar>
        <w:tblLook w:val="04A0" w:firstRow="1" w:lastRow="0" w:firstColumn="1" w:lastColumn="0" w:noHBand="0" w:noVBand="1"/>
      </w:tblPr>
      <w:tblGrid>
        <w:gridCol w:w="5103"/>
        <w:gridCol w:w="2835"/>
      </w:tblGrid>
      <w:tr w:rsidR="008E55A5" w:rsidRPr="000A0285" w:rsidTr="006869F9">
        <w:trPr>
          <w:trHeight w:val="33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E55A5" w:rsidRPr="00FD59BA" w:rsidRDefault="008E55A5" w:rsidP="000A0285">
            <w:pPr>
              <w:spacing w:after="0" w:line="240" w:lineRule="auto"/>
              <w:rPr>
                <w:rFonts w:ascii="Arial" w:eastAsia="Times New Roman" w:hAnsi="Arial" w:cs="Arial"/>
                <w:b/>
                <w:bCs/>
                <w:color w:val="000000"/>
                <w:sz w:val="24"/>
                <w:szCs w:val="24"/>
                <w:lang w:val="es-UY" w:eastAsia="es-UY"/>
              </w:rPr>
            </w:pPr>
            <w:r w:rsidRPr="00FD59BA">
              <w:rPr>
                <w:rFonts w:ascii="Arial" w:eastAsia="Times New Roman" w:hAnsi="Arial" w:cs="Arial"/>
                <w:b/>
                <w:bCs/>
                <w:color w:val="000000"/>
                <w:sz w:val="24"/>
                <w:szCs w:val="24"/>
                <w:lang w:val="es-UY" w:eastAsia="es-UY"/>
              </w:rPr>
              <w:t>Denominación</w:t>
            </w:r>
          </w:p>
        </w:tc>
        <w:tc>
          <w:tcPr>
            <w:tcW w:w="2835" w:type="dxa"/>
            <w:tcBorders>
              <w:top w:val="single" w:sz="8" w:space="0" w:color="auto"/>
              <w:left w:val="nil"/>
              <w:bottom w:val="single" w:sz="8" w:space="0" w:color="auto"/>
              <w:right w:val="single" w:sz="8" w:space="0" w:color="auto"/>
            </w:tcBorders>
            <w:shd w:val="clear" w:color="auto" w:fill="auto"/>
            <w:noWrap/>
            <w:vAlign w:val="center"/>
            <w:hideMark/>
          </w:tcPr>
          <w:p w:rsidR="008E55A5" w:rsidRPr="00FD59BA" w:rsidRDefault="008E55A5" w:rsidP="00FD59BA">
            <w:pPr>
              <w:spacing w:after="0" w:line="240" w:lineRule="auto"/>
              <w:jc w:val="center"/>
              <w:rPr>
                <w:rFonts w:ascii="Arial" w:eastAsia="Times New Roman" w:hAnsi="Arial" w:cs="Arial"/>
                <w:b/>
                <w:bCs/>
                <w:color w:val="000000"/>
                <w:sz w:val="24"/>
                <w:szCs w:val="24"/>
                <w:lang w:val="es-UY" w:eastAsia="es-UY"/>
              </w:rPr>
            </w:pPr>
            <w:r w:rsidRPr="00FD59BA">
              <w:rPr>
                <w:rFonts w:ascii="Arial" w:eastAsia="Times New Roman" w:hAnsi="Arial" w:cs="Arial"/>
                <w:b/>
                <w:bCs/>
                <w:color w:val="000000"/>
                <w:sz w:val="24"/>
                <w:szCs w:val="24"/>
                <w:lang w:val="es-UY" w:eastAsia="es-UY"/>
              </w:rPr>
              <w:t>Importe en $</w:t>
            </w:r>
          </w:p>
        </w:tc>
      </w:tr>
      <w:tr w:rsidR="008E55A5" w:rsidRPr="000A0285" w:rsidTr="006869F9">
        <w:trPr>
          <w:trHeight w:val="315"/>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8E55A5" w:rsidRPr="00FD59BA" w:rsidRDefault="008E55A5" w:rsidP="000A0285">
            <w:pPr>
              <w:spacing w:after="0" w:line="240" w:lineRule="auto"/>
              <w:rPr>
                <w:rFonts w:ascii="Arial" w:eastAsia="Times New Roman" w:hAnsi="Arial" w:cs="Arial"/>
                <w:color w:val="000000"/>
                <w:sz w:val="24"/>
                <w:szCs w:val="24"/>
                <w:lang w:val="es-UY" w:eastAsia="es-UY"/>
              </w:rPr>
            </w:pPr>
            <w:r w:rsidRPr="00FD59BA">
              <w:rPr>
                <w:rFonts w:ascii="Arial" w:eastAsia="Times New Roman" w:hAnsi="Arial" w:cs="Arial"/>
                <w:color w:val="000000"/>
                <w:sz w:val="24"/>
                <w:szCs w:val="24"/>
                <w:lang w:val="es-UY" w:eastAsia="es-UY"/>
              </w:rPr>
              <w:t>Ingresos Financieros</w:t>
            </w:r>
          </w:p>
        </w:tc>
        <w:tc>
          <w:tcPr>
            <w:tcW w:w="2835" w:type="dxa"/>
            <w:tcBorders>
              <w:top w:val="nil"/>
              <w:left w:val="nil"/>
              <w:bottom w:val="single" w:sz="8" w:space="0" w:color="auto"/>
              <w:right w:val="single" w:sz="8" w:space="0" w:color="auto"/>
            </w:tcBorders>
            <w:shd w:val="clear" w:color="auto" w:fill="auto"/>
            <w:noWrap/>
            <w:vAlign w:val="center"/>
            <w:hideMark/>
          </w:tcPr>
          <w:p w:rsidR="008E55A5" w:rsidRPr="00FD59BA" w:rsidRDefault="008E55A5" w:rsidP="00735CE2">
            <w:pPr>
              <w:spacing w:after="0" w:line="240" w:lineRule="auto"/>
              <w:jc w:val="right"/>
              <w:rPr>
                <w:rFonts w:ascii="Arial" w:eastAsia="Times New Roman" w:hAnsi="Arial" w:cs="Arial"/>
                <w:color w:val="000000"/>
                <w:sz w:val="24"/>
                <w:szCs w:val="24"/>
                <w:lang w:val="es-UY" w:eastAsia="es-UY"/>
              </w:rPr>
            </w:pPr>
            <w:r w:rsidRPr="00FD59BA">
              <w:rPr>
                <w:rFonts w:ascii="Arial" w:eastAsia="Times New Roman" w:hAnsi="Arial" w:cs="Arial"/>
                <w:color w:val="000000"/>
                <w:sz w:val="24"/>
                <w:szCs w:val="24"/>
                <w:lang w:val="es-UY" w:eastAsia="es-UY"/>
              </w:rPr>
              <w:t>16.399.788.42</w:t>
            </w:r>
            <w:r>
              <w:rPr>
                <w:rFonts w:ascii="Arial" w:eastAsia="Times New Roman" w:hAnsi="Arial" w:cs="Arial"/>
                <w:color w:val="000000"/>
                <w:sz w:val="24"/>
                <w:szCs w:val="24"/>
                <w:lang w:val="es-UY" w:eastAsia="es-UY"/>
              </w:rPr>
              <w:t>7</w:t>
            </w:r>
          </w:p>
        </w:tc>
      </w:tr>
      <w:tr w:rsidR="008E55A5" w:rsidRPr="000A0285" w:rsidTr="006869F9">
        <w:trPr>
          <w:trHeight w:val="315"/>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8E55A5" w:rsidRPr="00FD59BA" w:rsidRDefault="008E55A5" w:rsidP="000A0285">
            <w:pPr>
              <w:spacing w:after="0" w:line="240" w:lineRule="auto"/>
              <w:rPr>
                <w:rFonts w:ascii="Arial" w:eastAsia="Times New Roman" w:hAnsi="Arial" w:cs="Arial"/>
                <w:color w:val="000000"/>
                <w:sz w:val="24"/>
                <w:szCs w:val="24"/>
                <w:lang w:val="es-UY" w:eastAsia="es-UY"/>
              </w:rPr>
            </w:pPr>
            <w:r w:rsidRPr="00FD59BA">
              <w:rPr>
                <w:rFonts w:ascii="Arial" w:eastAsia="Times New Roman" w:hAnsi="Arial" w:cs="Arial"/>
                <w:color w:val="000000"/>
                <w:sz w:val="24"/>
                <w:szCs w:val="24"/>
                <w:lang w:val="es-UY" w:eastAsia="es-UY"/>
              </w:rPr>
              <w:t>Ingresos no Financieros</w:t>
            </w:r>
          </w:p>
        </w:tc>
        <w:tc>
          <w:tcPr>
            <w:tcW w:w="2835" w:type="dxa"/>
            <w:tcBorders>
              <w:top w:val="nil"/>
              <w:left w:val="nil"/>
              <w:bottom w:val="single" w:sz="8" w:space="0" w:color="auto"/>
              <w:right w:val="single" w:sz="8" w:space="0" w:color="auto"/>
            </w:tcBorders>
            <w:shd w:val="clear" w:color="auto" w:fill="auto"/>
            <w:noWrap/>
            <w:vAlign w:val="center"/>
            <w:hideMark/>
          </w:tcPr>
          <w:p w:rsidR="008E55A5" w:rsidRPr="00FD59BA" w:rsidRDefault="008E55A5" w:rsidP="000A0285">
            <w:pPr>
              <w:spacing w:after="0" w:line="240" w:lineRule="auto"/>
              <w:jc w:val="right"/>
              <w:rPr>
                <w:rFonts w:ascii="Arial" w:eastAsia="Times New Roman" w:hAnsi="Arial" w:cs="Arial"/>
                <w:color w:val="000000"/>
                <w:sz w:val="24"/>
                <w:szCs w:val="24"/>
                <w:lang w:val="es-UY" w:eastAsia="es-UY"/>
              </w:rPr>
            </w:pPr>
            <w:r w:rsidRPr="00FD59BA">
              <w:rPr>
                <w:rFonts w:ascii="Arial" w:eastAsia="Times New Roman" w:hAnsi="Arial" w:cs="Arial"/>
                <w:color w:val="000000"/>
                <w:sz w:val="24"/>
                <w:szCs w:val="24"/>
                <w:lang w:val="es-UY" w:eastAsia="es-UY"/>
              </w:rPr>
              <w:t>996.610.624</w:t>
            </w:r>
          </w:p>
        </w:tc>
      </w:tr>
      <w:tr w:rsidR="008E55A5" w:rsidRPr="000A0285" w:rsidTr="006869F9">
        <w:trPr>
          <w:trHeight w:val="315"/>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8E55A5" w:rsidRPr="00FD59BA" w:rsidRDefault="008E55A5" w:rsidP="000A0285">
            <w:pPr>
              <w:spacing w:after="0" w:line="240" w:lineRule="auto"/>
              <w:rPr>
                <w:rFonts w:ascii="Arial" w:eastAsia="Times New Roman" w:hAnsi="Arial" w:cs="Arial"/>
                <w:color w:val="000000"/>
                <w:sz w:val="24"/>
                <w:szCs w:val="24"/>
                <w:lang w:val="es-UY" w:eastAsia="es-UY"/>
              </w:rPr>
            </w:pPr>
            <w:r w:rsidRPr="00FD59BA">
              <w:rPr>
                <w:rFonts w:ascii="Arial" w:eastAsia="Times New Roman" w:hAnsi="Arial" w:cs="Arial"/>
                <w:color w:val="000000"/>
                <w:sz w:val="24"/>
                <w:szCs w:val="24"/>
                <w:lang w:val="es-UY" w:eastAsia="es-UY"/>
              </w:rPr>
              <w:t>Emisión de valores y billetes</w:t>
            </w:r>
          </w:p>
        </w:tc>
        <w:tc>
          <w:tcPr>
            <w:tcW w:w="2835" w:type="dxa"/>
            <w:tcBorders>
              <w:top w:val="nil"/>
              <w:left w:val="nil"/>
              <w:bottom w:val="single" w:sz="8" w:space="0" w:color="auto"/>
              <w:right w:val="single" w:sz="8" w:space="0" w:color="auto"/>
            </w:tcBorders>
            <w:shd w:val="clear" w:color="auto" w:fill="auto"/>
            <w:noWrap/>
            <w:vAlign w:val="center"/>
            <w:hideMark/>
          </w:tcPr>
          <w:p w:rsidR="008E55A5" w:rsidRPr="00FD59BA" w:rsidRDefault="008E55A5" w:rsidP="000A0285">
            <w:pPr>
              <w:spacing w:after="0" w:line="240" w:lineRule="auto"/>
              <w:jc w:val="right"/>
              <w:rPr>
                <w:rFonts w:ascii="Arial" w:eastAsia="Times New Roman" w:hAnsi="Arial" w:cs="Arial"/>
                <w:color w:val="000000"/>
                <w:sz w:val="24"/>
                <w:szCs w:val="24"/>
                <w:lang w:val="es-UY" w:eastAsia="es-UY"/>
              </w:rPr>
            </w:pPr>
            <w:r w:rsidRPr="00FD59BA">
              <w:rPr>
                <w:rFonts w:ascii="Arial" w:eastAsia="Times New Roman" w:hAnsi="Arial" w:cs="Arial"/>
                <w:color w:val="000000"/>
                <w:sz w:val="24"/>
                <w:szCs w:val="24"/>
                <w:lang w:val="es-UY" w:eastAsia="es-UY"/>
              </w:rPr>
              <w:t>519.830.421.153</w:t>
            </w:r>
          </w:p>
        </w:tc>
      </w:tr>
      <w:tr w:rsidR="008E55A5" w:rsidRPr="000A0285" w:rsidTr="006869F9">
        <w:trPr>
          <w:trHeight w:val="330"/>
        </w:trPr>
        <w:tc>
          <w:tcPr>
            <w:tcW w:w="5103" w:type="dxa"/>
            <w:tcBorders>
              <w:top w:val="nil"/>
              <w:left w:val="single" w:sz="8" w:space="0" w:color="auto"/>
              <w:bottom w:val="single" w:sz="8" w:space="0" w:color="auto"/>
              <w:right w:val="single" w:sz="8" w:space="0" w:color="auto"/>
            </w:tcBorders>
            <w:shd w:val="clear" w:color="auto" w:fill="auto"/>
            <w:noWrap/>
            <w:vAlign w:val="center"/>
            <w:hideMark/>
          </w:tcPr>
          <w:p w:rsidR="008E55A5" w:rsidRPr="00FD59BA" w:rsidRDefault="008E55A5" w:rsidP="000A0285">
            <w:pPr>
              <w:spacing w:after="0" w:line="240" w:lineRule="auto"/>
              <w:rPr>
                <w:rFonts w:ascii="Arial" w:eastAsia="Times New Roman" w:hAnsi="Arial" w:cs="Arial"/>
                <w:b/>
                <w:bCs/>
                <w:color w:val="000000"/>
                <w:sz w:val="24"/>
                <w:szCs w:val="24"/>
                <w:lang w:val="es-UY" w:eastAsia="es-UY"/>
              </w:rPr>
            </w:pPr>
            <w:r w:rsidRPr="00FD59BA">
              <w:rPr>
                <w:rFonts w:ascii="Arial" w:eastAsia="Times New Roman" w:hAnsi="Arial" w:cs="Arial"/>
                <w:b/>
                <w:bCs/>
                <w:color w:val="000000"/>
                <w:sz w:val="24"/>
                <w:szCs w:val="24"/>
                <w:lang w:val="es-UY" w:eastAsia="es-UY"/>
              </w:rPr>
              <w:t>Total de Ingresos</w:t>
            </w:r>
          </w:p>
        </w:tc>
        <w:tc>
          <w:tcPr>
            <w:tcW w:w="2835" w:type="dxa"/>
            <w:tcBorders>
              <w:top w:val="nil"/>
              <w:left w:val="nil"/>
              <w:bottom w:val="single" w:sz="8" w:space="0" w:color="auto"/>
              <w:right w:val="single" w:sz="8" w:space="0" w:color="auto"/>
            </w:tcBorders>
            <w:shd w:val="clear" w:color="auto" w:fill="auto"/>
            <w:noWrap/>
            <w:vAlign w:val="center"/>
            <w:hideMark/>
          </w:tcPr>
          <w:p w:rsidR="008E55A5" w:rsidRPr="00FD59BA" w:rsidRDefault="008E55A5" w:rsidP="000A0285">
            <w:pPr>
              <w:spacing w:after="0" w:line="240" w:lineRule="auto"/>
              <w:jc w:val="right"/>
              <w:rPr>
                <w:rFonts w:ascii="Arial" w:eastAsia="Times New Roman" w:hAnsi="Arial" w:cs="Arial"/>
                <w:b/>
                <w:bCs/>
                <w:color w:val="000000"/>
                <w:sz w:val="24"/>
                <w:szCs w:val="24"/>
                <w:lang w:val="es-UY" w:eastAsia="es-UY"/>
              </w:rPr>
            </w:pPr>
            <w:r w:rsidRPr="00FD59BA">
              <w:rPr>
                <w:rFonts w:ascii="Arial" w:eastAsia="Times New Roman" w:hAnsi="Arial" w:cs="Arial"/>
                <w:b/>
                <w:bCs/>
                <w:color w:val="000000"/>
                <w:sz w:val="24"/>
                <w:szCs w:val="24"/>
                <w:lang w:val="es-UY" w:eastAsia="es-UY"/>
              </w:rPr>
              <w:t>537.226.820.204</w:t>
            </w:r>
          </w:p>
        </w:tc>
      </w:tr>
    </w:tbl>
    <w:p w:rsidR="008E55A5" w:rsidRDefault="008E55A5" w:rsidP="00FB12A1">
      <w:pPr>
        <w:spacing w:after="0" w:line="360" w:lineRule="auto"/>
        <w:ind w:left="142"/>
        <w:jc w:val="both"/>
        <w:rPr>
          <w:rFonts w:ascii="Arial" w:eastAsia="Calibri" w:hAnsi="Arial" w:cs="Arial"/>
          <w:b/>
          <w:bCs/>
          <w:sz w:val="24"/>
          <w:szCs w:val="24"/>
          <w:highlight w:val="yellow"/>
        </w:rPr>
      </w:pPr>
    </w:p>
    <w:p w:rsidR="008E55A5" w:rsidRPr="00440F01" w:rsidRDefault="008E55A5" w:rsidP="008E55A5">
      <w:pPr>
        <w:pStyle w:val="Prrafodelista"/>
        <w:numPr>
          <w:ilvl w:val="1"/>
          <w:numId w:val="3"/>
        </w:numPr>
        <w:suppressAutoHyphens/>
        <w:spacing w:after="0" w:line="360" w:lineRule="auto"/>
        <w:jc w:val="both"/>
        <w:rPr>
          <w:rFonts w:ascii="Arial" w:eastAsia="Calibri" w:hAnsi="Arial" w:cs="Arial"/>
          <w:b/>
          <w:bCs/>
          <w:spacing w:val="-3"/>
          <w:sz w:val="24"/>
          <w:szCs w:val="24"/>
          <w:lang w:val="es-ES_tradnl"/>
        </w:rPr>
      </w:pPr>
      <w:r w:rsidRPr="00440F01">
        <w:rPr>
          <w:rFonts w:ascii="Arial" w:eastAsia="Calibri" w:hAnsi="Arial" w:cs="Arial"/>
          <w:b/>
          <w:bCs/>
          <w:spacing w:val="-3"/>
          <w:sz w:val="24"/>
          <w:szCs w:val="24"/>
          <w:lang w:val="es-ES_tradnl"/>
        </w:rPr>
        <w:t xml:space="preserve"> Asignaciones Presupuestales</w:t>
      </w:r>
    </w:p>
    <w:p w:rsidR="008E55A5" w:rsidRPr="005E07BC" w:rsidRDefault="008E55A5" w:rsidP="00FB12A1">
      <w:pPr>
        <w:spacing w:line="360" w:lineRule="auto"/>
        <w:jc w:val="both"/>
        <w:rPr>
          <w:rFonts w:ascii="Arial" w:eastAsia="Calibri" w:hAnsi="Arial" w:cs="Arial"/>
          <w:b/>
          <w:noProof/>
          <w:spacing w:val="-3"/>
          <w:sz w:val="24"/>
          <w:szCs w:val="24"/>
        </w:rPr>
      </w:pPr>
      <w:r w:rsidRPr="005E07BC">
        <w:rPr>
          <w:rFonts w:ascii="Arial" w:eastAsia="Calibri" w:hAnsi="Arial" w:cs="Arial"/>
          <w:b/>
          <w:noProof/>
          <w:spacing w:val="-3"/>
          <w:sz w:val="24"/>
          <w:szCs w:val="24"/>
        </w:rPr>
        <w:t>Presupuesto de Egresos Operativos y de Operaciones Financieras:</w:t>
      </w:r>
    </w:p>
    <w:tbl>
      <w:tblPr>
        <w:tblW w:w="7938" w:type="dxa"/>
        <w:tblInd w:w="354" w:type="dxa"/>
        <w:tblCellMar>
          <w:left w:w="70" w:type="dxa"/>
          <w:right w:w="70" w:type="dxa"/>
        </w:tblCellMar>
        <w:tblLook w:val="04A0" w:firstRow="1" w:lastRow="0" w:firstColumn="1" w:lastColumn="0" w:noHBand="0" w:noVBand="1"/>
      </w:tblPr>
      <w:tblGrid>
        <w:gridCol w:w="1134"/>
        <w:gridCol w:w="3969"/>
        <w:gridCol w:w="2835"/>
      </w:tblGrid>
      <w:tr w:rsidR="008E55A5" w:rsidRPr="005E07BC" w:rsidTr="005E07BC">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rPr>
                <w:rFonts w:ascii="Arial" w:eastAsia="Times New Roman" w:hAnsi="Arial" w:cs="Arial"/>
                <w:b/>
                <w:bCs/>
                <w:color w:val="000000"/>
                <w:sz w:val="24"/>
                <w:szCs w:val="24"/>
                <w:lang w:val="es-UY" w:eastAsia="es-UY"/>
              </w:rPr>
            </w:pPr>
            <w:r w:rsidRPr="005E07BC">
              <w:rPr>
                <w:rFonts w:ascii="Arial" w:eastAsia="Times New Roman" w:hAnsi="Arial" w:cs="Arial"/>
                <w:b/>
                <w:bCs/>
                <w:color w:val="000000"/>
                <w:sz w:val="24"/>
                <w:szCs w:val="24"/>
                <w:lang w:val="es-UY" w:eastAsia="es-UY"/>
              </w:rPr>
              <w:t>Grupo</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rPr>
                <w:rFonts w:ascii="Arial" w:eastAsia="Times New Roman" w:hAnsi="Arial" w:cs="Arial"/>
                <w:b/>
                <w:bCs/>
                <w:color w:val="000000"/>
                <w:sz w:val="24"/>
                <w:szCs w:val="24"/>
                <w:lang w:val="es-UY" w:eastAsia="es-UY"/>
              </w:rPr>
            </w:pPr>
            <w:r w:rsidRPr="005E07BC">
              <w:rPr>
                <w:rFonts w:ascii="Arial" w:eastAsia="Times New Roman" w:hAnsi="Arial" w:cs="Arial"/>
                <w:b/>
                <w:bCs/>
                <w:color w:val="000000"/>
                <w:sz w:val="24"/>
                <w:szCs w:val="24"/>
                <w:lang w:val="es-UY" w:eastAsia="es-UY"/>
              </w:rPr>
              <w:t>Denominación</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center"/>
              <w:rPr>
                <w:rFonts w:ascii="Arial" w:eastAsia="Times New Roman" w:hAnsi="Arial" w:cs="Arial"/>
                <w:b/>
                <w:bCs/>
                <w:color w:val="000000"/>
                <w:sz w:val="24"/>
                <w:szCs w:val="24"/>
                <w:lang w:val="es-UY" w:eastAsia="es-UY"/>
              </w:rPr>
            </w:pPr>
            <w:r w:rsidRPr="005E07BC">
              <w:rPr>
                <w:rFonts w:ascii="Arial" w:eastAsia="Times New Roman" w:hAnsi="Arial" w:cs="Arial"/>
                <w:b/>
                <w:bCs/>
                <w:color w:val="000000"/>
                <w:sz w:val="24"/>
                <w:szCs w:val="24"/>
                <w:lang w:val="es-UY" w:eastAsia="es-UY"/>
              </w:rPr>
              <w:t>Importe en $</w:t>
            </w:r>
          </w:p>
        </w:tc>
      </w:tr>
      <w:tr w:rsidR="008E55A5" w:rsidRPr="005E07BC" w:rsidTr="005E07B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center"/>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0</w:t>
            </w:r>
          </w:p>
        </w:tc>
        <w:tc>
          <w:tcPr>
            <w:tcW w:w="3969"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Servicios Personales</w:t>
            </w:r>
          </w:p>
        </w:tc>
        <w:tc>
          <w:tcPr>
            <w:tcW w:w="2835"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right"/>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2.384.260.722</w:t>
            </w:r>
          </w:p>
        </w:tc>
      </w:tr>
      <w:tr w:rsidR="008E55A5" w:rsidRPr="005E07BC" w:rsidTr="005E07B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center"/>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1</w:t>
            </w:r>
          </w:p>
        </w:tc>
        <w:tc>
          <w:tcPr>
            <w:tcW w:w="3969"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Bienes de Consumo</w:t>
            </w:r>
          </w:p>
        </w:tc>
        <w:tc>
          <w:tcPr>
            <w:tcW w:w="2835"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right"/>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197.909.183</w:t>
            </w:r>
          </w:p>
        </w:tc>
      </w:tr>
      <w:tr w:rsidR="008E55A5" w:rsidRPr="005E07BC" w:rsidTr="005E07B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center"/>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2</w:t>
            </w:r>
          </w:p>
        </w:tc>
        <w:tc>
          <w:tcPr>
            <w:tcW w:w="3969"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Servicios no Personales</w:t>
            </w:r>
          </w:p>
        </w:tc>
        <w:tc>
          <w:tcPr>
            <w:tcW w:w="2835"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right"/>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426.833.158</w:t>
            </w:r>
          </w:p>
        </w:tc>
      </w:tr>
      <w:tr w:rsidR="008E55A5" w:rsidRPr="005E07BC" w:rsidTr="005E07B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center"/>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5</w:t>
            </w:r>
          </w:p>
        </w:tc>
        <w:tc>
          <w:tcPr>
            <w:tcW w:w="3969"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Transferencias</w:t>
            </w:r>
          </w:p>
        </w:tc>
        <w:tc>
          <w:tcPr>
            <w:tcW w:w="2835"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right"/>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870.000</w:t>
            </w:r>
          </w:p>
        </w:tc>
      </w:tr>
      <w:tr w:rsidR="008E55A5" w:rsidRPr="005E07BC" w:rsidTr="005E07B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center"/>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6</w:t>
            </w:r>
          </w:p>
        </w:tc>
        <w:tc>
          <w:tcPr>
            <w:tcW w:w="3969"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Intereses y otros Gastos Deuda</w:t>
            </w:r>
          </w:p>
        </w:tc>
        <w:tc>
          <w:tcPr>
            <w:tcW w:w="2835"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right"/>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32.679.224.000</w:t>
            </w:r>
          </w:p>
        </w:tc>
      </w:tr>
      <w:tr w:rsidR="008E55A5" w:rsidRPr="005E07BC" w:rsidTr="005E07B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center"/>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7</w:t>
            </w:r>
          </w:p>
        </w:tc>
        <w:tc>
          <w:tcPr>
            <w:tcW w:w="3969"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Gastos no clasificados</w:t>
            </w:r>
          </w:p>
        </w:tc>
        <w:tc>
          <w:tcPr>
            <w:tcW w:w="2835"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right"/>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25.614.428</w:t>
            </w:r>
          </w:p>
        </w:tc>
      </w:tr>
      <w:tr w:rsidR="008E55A5" w:rsidRPr="005E07BC" w:rsidTr="005E07B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center"/>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8</w:t>
            </w:r>
          </w:p>
        </w:tc>
        <w:tc>
          <w:tcPr>
            <w:tcW w:w="3969"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Aplicaciones Financieras</w:t>
            </w:r>
          </w:p>
        </w:tc>
        <w:tc>
          <w:tcPr>
            <w:tcW w:w="2835"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right"/>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505.918.912.684</w:t>
            </w:r>
          </w:p>
        </w:tc>
      </w:tr>
      <w:tr w:rsidR="008E55A5" w:rsidRPr="005E07BC" w:rsidTr="005E07BC">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rPr>
                <w:rFonts w:ascii="Arial" w:eastAsia="Times New Roman" w:hAnsi="Arial" w:cs="Arial"/>
                <w:color w:val="000000"/>
                <w:sz w:val="24"/>
                <w:szCs w:val="24"/>
                <w:lang w:val="es-UY" w:eastAsia="es-UY"/>
              </w:rPr>
            </w:pPr>
            <w:r w:rsidRPr="005E07BC">
              <w:rPr>
                <w:rFonts w:ascii="Arial" w:eastAsia="Times New Roman" w:hAnsi="Arial" w:cs="Arial"/>
                <w:color w:val="000000"/>
                <w:sz w:val="24"/>
                <w:szCs w:val="24"/>
                <w:lang w:val="es-UY" w:eastAsia="es-UY"/>
              </w:rPr>
              <w:t> </w:t>
            </w:r>
          </w:p>
        </w:tc>
        <w:tc>
          <w:tcPr>
            <w:tcW w:w="3969"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rPr>
                <w:rFonts w:ascii="Arial" w:eastAsia="Times New Roman" w:hAnsi="Arial" w:cs="Arial"/>
                <w:b/>
                <w:bCs/>
                <w:color w:val="000000"/>
                <w:sz w:val="24"/>
                <w:szCs w:val="24"/>
                <w:lang w:val="es-UY" w:eastAsia="es-UY"/>
              </w:rPr>
            </w:pPr>
            <w:r w:rsidRPr="005E07BC">
              <w:rPr>
                <w:rFonts w:ascii="Arial" w:eastAsia="Times New Roman" w:hAnsi="Arial" w:cs="Arial"/>
                <w:b/>
                <w:bCs/>
                <w:color w:val="000000"/>
                <w:sz w:val="24"/>
                <w:szCs w:val="24"/>
                <w:lang w:val="es-UY" w:eastAsia="es-UY"/>
              </w:rPr>
              <w:t>Total</w:t>
            </w:r>
          </w:p>
        </w:tc>
        <w:tc>
          <w:tcPr>
            <w:tcW w:w="2835"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right"/>
              <w:rPr>
                <w:rFonts w:ascii="Arial" w:eastAsia="Times New Roman" w:hAnsi="Arial" w:cs="Arial"/>
                <w:b/>
                <w:bCs/>
                <w:color w:val="000000"/>
                <w:sz w:val="24"/>
                <w:szCs w:val="24"/>
                <w:lang w:val="es-UY" w:eastAsia="es-UY"/>
              </w:rPr>
            </w:pPr>
            <w:r w:rsidRPr="005E07BC">
              <w:rPr>
                <w:rFonts w:ascii="Arial" w:eastAsia="Times New Roman" w:hAnsi="Arial" w:cs="Arial"/>
                <w:b/>
                <w:bCs/>
                <w:color w:val="000000"/>
                <w:sz w:val="24"/>
                <w:szCs w:val="24"/>
                <w:lang w:val="es-UY" w:eastAsia="es-UY"/>
              </w:rPr>
              <w:t>541.633.624.175</w:t>
            </w:r>
          </w:p>
        </w:tc>
      </w:tr>
    </w:tbl>
    <w:p w:rsidR="008E55A5" w:rsidRPr="005E07BC" w:rsidRDefault="008E55A5" w:rsidP="00FB12A1">
      <w:pPr>
        <w:spacing w:line="360" w:lineRule="auto"/>
        <w:ind w:left="360"/>
        <w:jc w:val="both"/>
        <w:rPr>
          <w:rFonts w:ascii="Arial" w:eastAsia="Calibri" w:hAnsi="Arial" w:cs="Arial"/>
          <w:b/>
          <w:noProof/>
          <w:spacing w:val="-3"/>
          <w:sz w:val="24"/>
          <w:szCs w:val="24"/>
        </w:rPr>
      </w:pPr>
      <w:r w:rsidRPr="005E07BC">
        <w:rPr>
          <w:rFonts w:ascii="Arial" w:eastAsia="Calibri" w:hAnsi="Arial" w:cs="Arial"/>
          <w:b/>
          <w:noProof/>
          <w:spacing w:val="-3"/>
          <w:sz w:val="24"/>
          <w:szCs w:val="24"/>
        </w:rPr>
        <w:t>Presupuesto de Inversiones</w:t>
      </w:r>
    </w:p>
    <w:tbl>
      <w:tblPr>
        <w:tblW w:w="7871" w:type="dxa"/>
        <w:jc w:val="center"/>
        <w:tblInd w:w="-220" w:type="dxa"/>
        <w:tblCellMar>
          <w:left w:w="70" w:type="dxa"/>
          <w:right w:w="70" w:type="dxa"/>
        </w:tblCellMar>
        <w:tblLook w:val="04A0" w:firstRow="1" w:lastRow="0" w:firstColumn="1" w:lastColumn="0" w:noHBand="0" w:noVBand="1"/>
      </w:tblPr>
      <w:tblGrid>
        <w:gridCol w:w="1102"/>
        <w:gridCol w:w="3969"/>
        <w:gridCol w:w="2800"/>
      </w:tblGrid>
      <w:tr w:rsidR="008E55A5" w:rsidRPr="00912439" w:rsidTr="005E07BC">
        <w:trPr>
          <w:trHeight w:val="315"/>
          <w:jc w:val="center"/>
        </w:trPr>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55A5" w:rsidRPr="00912439" w:rsidRDefault="008E55A5" w:rsidP="00912439">
            <w:pPr>
              <w:spacing w:after="0" w:line="240" w:lineRule="auto"/>
              <w:rPr>
                <w:rFonts w:ascii="Arial" w:eastAsia="Times New Roman" w:hAnsi="Arial" w:cs="Arial"/>
                <w:b/>
                <w:bCs/>
                <w:sz w:val="24"/>
                <w:szCs w:val="24"/>
                <w:lang w:val="es-UY" w:eastAsia="es-UY"/>
              </w:rPr>
            </w:pPr>
            <w:r w:rsidRPr="00912439">
              <w:rPr>
                <w:rFonts w:ascii="Arial" w:eastAsia="Times New Roman" w:hAnsi="Arial" w:cs="Arial"/>
                <w:b/>
                <w:bCs/>
                <w:sz w:val="24"/>
                <w:szCs w:val="24"/>
                <w:lang w:val="es-UY" w:eastAsia="es-UY"/>
              </w:rPr>
              <w:t>Grupo</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8E55A5" w:rsidRPr="00912439" w:rsidRDefault="008E55A5" w:rsidP="00912439">
            <w:pPr>
              <w:spacing w:after="0" w:line="240" w:lineRule="auto"/>
              <w:rPr>
                <w:rFonts w:ascii="Arial" w:eastAsia="Times New Roman" w:hAnsi="Arial" w:cs="Arial"/>
                <w:b/>
                <w:bCs/>
                <w:sz w:val="24"/>
                <w:szCs w:val="24"/>
                <w:lang w:val="es-UY" w:eastAsia="es-UY"/>
              </w:rPr>
            </w:pPr>
            <w:r w:rsidRPr="00912439">
              <w:rPr>
                <w:rFonts w:ascii="Arial" w:eastAsia="Times New Roman" w:hAnsi="Arial" w:cs="Arial"/>
                <w:b/>
                <w:bCs/>
                <w:sz w:val="24"/>
                <w:szCs w:val="24"/>
                <w:lang w:val="es-UY" w:eastAsia="es-UY"/>
              </w:rPr>
              <w:t>Denominación</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rsidR="008E55A5" w:rsidRPr="00912439" w:rsidRDefault="008E55A5" w:rsidP="00912439">
            <w:pPr>
              <w:spacing w:after="0" w:line="240" w:lineRule="auto"/>
              <w:rPr>
                <w:rFonts w:ascii="Arial" w:eastAsia="Times New Roman" w:hAnsi="Arial" w:cs="Arial"/>
                <w:b/>
                <w:bCs/>
                <w:sz w:val="24"/>
                <w:szCs w:val="24"/>
                <w:lang w:val="es-UY" w:eastAsia="es-UY"/>
              </w:rPr>
            </w:pPr>
            <w:r w:rsidRPr="00912439">
              <w:rPr>
                <w:rFonts w:ascii="Arial" w:eastAsia="Times New Roman" w:hAnsi="Arial" w:cs="Arial"/>
                <w:b/>
                <w:bCs/>
                <w:sz w:val="24"/>
                <w:szCs w:val="24"/>
                <w:lang w:val="es-UY" w:eastAsia="es-UY"/>
              </w:rPr>
              <w:t>Importe en $</w:t>
            </w:r>
          </w:p>
        </w:tc>
      </w:tr>
      <w:tr w:rsidR="008E55A5" w:rsidRPr="00912439" w:rsidTr="005E07BC">
        <w:trPr>
          <w:trHeight w:val="300"/>
          <w:jc w:val="center"/>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E55A5" w:rsidRPr="00912439" w:rsidRDefault="008E55A5" w:rsidP="00912439">
            <w:pPr>
              <w:spacing w:after="0" w:line="240" w:lineRule="auto"/>
              <w:jc w:val="center"/>
              <w:rPr>
                <w:rFonts w:ascii="Arial" w:eastAsia="Times New Roman" w:hAnsi="Arial" w:cs="Arial"/>
                <w:sz w:val="24"/>
                <w:szCs w:val="24"/>
                <w:lang w:val="es-UY" w:eastAsia="es-UY"/>
              </w:rPr>
            </w:pPr>
            <w:r w:rsidRPr="00912439">
              <w:rPr>
                <w:rFonts w:ascii="Arial" w:eastAsia="Times New Roman" w:hAnsi="Arial" w:cs="Arial"/>
                <w:sz w:val="24"/>
                <w:szCs w:val="24"/>
                <w:lang w:val="es-UY" w:eastAsia="es-UY"/>
              </w:rPr>
              <w:t>3</w:t>
            </w:r>
          </w:p>
        </w:tc>
        <w:tc>
          <w:tcPr>
            <w:tcW w:w="3969" w:type="dxa"/>
            <w:tcBorders>
              <w:top w:val="nil"/>
              <w:left w:val="nil"/>
              <w:bottom w:val="single" w:sz="4" w:space="0" w:color="auto"/>
              <w:right w:val="single" w:sz="4" w:space="0" w:color="auto"/>
            </w:tcBorders>
            <w:shd w:val="clear" w:color="auto" w:fill="auto"/>
            <w:noWrap/>
            <w:vAlign w:val="bottom"/>
            <w:hideMark/>
          </w:tcPr>
          <w:p w:rsidR="008E55A5" w:rsidRPr="00912439" w:rsidRDefault="008E55A5" w:rsidP="00912439">
            <w:pPr>
              <w:spacing w:after="0" w:line="240" w:lineRule="auto"/>
              <w:rPr>
                <w:rFonts w:ascii="Arial" w:eastAsia="Times New Roman" w:hAnsi="Arial" w:cs="Arial"/>
                <w:sz w:val="24"/>
                <w:szCs w:val="24"/>
                <w:lang w:val="es-UY" w:eastAsia="es-UY"/>
              </w:rPr>
            </w:pPr>
            <w:r w:rsidRPr="00912439">
              <w:rPr>
                <w:rFonts w:ascii="Arial" w:eastAsia="Times New Roman" w:hAnsi="Arial" w:cs="Arial"/>
                <w:sz w:val="24"/>
                <w:szCs w:val="24"/>
                <w:lang w:val="es-UY" w:eastAsia="es-UY"/>
              </w:rPr>
              <w:t>Bienes de Uso</w:t>
            </w:r>
          </w:p>
        </w:tc>
        <w:tc>
          <w:tcPr>
            <w:tcW w:w="2800" w:type="dxa"/>
            <w:tcBorders>
              <w:top w:val="nil"/>
              <w:left w:val="nil"/>
              <w:bottom w:val="single" w:sz="4" w:space="0" w:color="auto"/>
              <w:right w:val="single" w:sz="4" w:space="0" w:color="auto"/>
            </w:tcBorders>
            <w:shd w:val="clear" w:color="auto" w:fill="auto"/>
            <w:noWrap/>
            <w:vAlign w:val="center"/>
          </w:tcPr>
          <w:p w:rsidR="008E55A5" w:rsidRPr="00912439" w:rsidRDefault="008E55A5" w:rsidP="00912439">
            <w:pPr>
              <w:spacing w:after="0" w:line="240" w:lineRule="auto"/>
              <w:jc w:val="right"/>
              <w:rPr>
                <w:rFonts w:ascii="Arial" w:eastAsia="Times New Roman" w:hAnsi="Arial" w:cs="Arial"/>
                <w:sz w:val="24"/>
                <w:szCs w:val="24"/>
                <w:lang w:eastAsia="es-ES"/>
              </w:rPr>
            </w:pPr>
            <w:r w:rsidRPr="00912439">
              <w:rPr>
                <w:rFonts w:ascii="Arial" w:eastAsia="Times New Roman" w:hAnsi="Arial" w:cs="Arial"/>
                <w:sz w:val="24"/>
                <w:szCs w:val="24"/>
                <w:lang w:eastAsia="es-ES"/>
              </w:rPr>
              <w:t>174.990.714</w:t>
            </w:r>
          </w:p>
        </w:tc>
      </w:tr>
      <w:tr w:rsidR="008E55A5" w:rsidRPr="00912439" w:rsidTr="005E07BC">
        <w:trPr>
          <w:trHeight w:val="315"/>
          <w:jc w:val="center"/>
        </w:trPr>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E55A5" w:rsidRPr="00912439" w:rsidRDefault="008E55A5" w:rsidP="00912439">
            <w:pPr>
              <w:spacing w:after="0" w:line="240" w:lineRule="auto"/>
              <w:rPr>
                <w:rFonts w:ascii="Arial" w:eastAsia="Times New Roman" w:hAnsi="Arial" w:cs="Arial"/>
                <w:sz w:val="24"/>
                <w:szCs w:val="24"/>
                <w:lang w:val="es-UY" w:eastAsia="es-UY"/>
              </w:rPr>
            </w:pPr>
            <w:r w:rsidRPr="00912439">
              <w:rPr>
                <w:rFonts w:ascii="Arial" w:eastAsia="Times New Roman" w:hAnsi="Arial" w:cs="Arial"/>
                <w:sz w:val="24"/>
                <w:szCs w:val="24"/>
                <w:lang w:val="es-UY" w:eastAsia="es-UY"/>
              </w:rPr>
              <w:t> </w:t>
            </w:r>
          </w:p>
        </w:tc>
        <w:tc>
          <w:tcPr>
            <w:tcW w:w="3969" w:type="dxa"/>
            <w:tcBorders>
              <w:top w:val="nil"/>
              <w:left w:val="nil"/>
              <w:bottom w:val="single" w:sz="4" w:space="0" w:color="auto"/>
              <w:right w:val="single" w:sz="4" w:space="0" w:color="auto"/>
            </w:tcBorders>
            <w:shd w:val="clear" w:color="auto" w:fill="auto"/>
            <w:noWrap/>
            <w:vAlign w:val="bottom"/>
            <w:hideMark/>
          </w:tcPr>
          <w:p w:rsidR="008E55A5" w:rsidRPr="00912439" w:rsidRDefault="008E55A5" w:rsidP="00912439">
            <w:pPr>
              <w:spacing w:after="0" w:line="240" w:lineRule="auto"/>
              <w:rPr>
                <w:rFonts w:ascii="Arial" w:eastAsia="Times New Roman" w:hAnsi="Arial" w:cs="Arial"/>
                <w:bCs/>
                <w:sz w:val="24"/>
                <w:szCs w:val="24"/>
                <w:lang w:val="es-UY" w:eastAsia="es-UY"/>
              </w:rPr>
            </w:pPr>
            <w:r w:rsidRPr="00912439">
              <w:rPr>
                <w:rFonts w:ascii="Arial" w:eastAsia="Times New Roman" w:hAnsi="Arial" w:cs="Arial"/>
                <w:bCs/>
                <w:sz w:val="24"/>
                <w:szCs w:val="24"/>
                <w:lang w:val="es-UY" w:eastAsia="es-UY"/>
              </w:rPr>
              <w:t>Total</w:t>
            </w:r>
          </w:p>
        </w:tc>
        <w:tc>
          <w:tcPr>
            <w:tcW w:w="2800" w:type="dxa"/>
            <w:tcBorders>
              <w:top w:val="nil"/>
              <w:left w:val="nil"/>
              <w:bottom w:val="single" w:sz="4" w:space="0" w:color="auto"/>
              <w:right w:val="single" w:sz="4" w:space="0" w:color="auto"/>
            </w:tcBorders>
            <w:shd w:val="clear" w:color="auto" w:fill="auto"/>
            <w:noWrap/>
            <w:vAlign w:val="center"/>
          </w:tcPr>
          <w:p w:rsidR="008E55A5" w:rsidRPr="00912439" w:rsidRDefault="008E55A5" w:rsidP="00912439">
            <w:pPr>
              <w:spacing w:after="0" w:line="240" w:lineRule="auto"/>
              <w:jc w:val="right"/>
              <w:rPr>
                <w:rFonts w:ascii="Arial" w:eastAsia="Times New Roman" w:hAnsi="Arial" w:cs="Arial"/>
                <w:sz w:val="24"/>
                <w:szCs w:val="24"/>
                <w:lang w:eastAsia="es-ES"/>
              </w:rPr>
            </w:pPr>
            <w:r w:rsidRPr="00912439">
              <w:rPr>
                <w:rFonts w:ascii="Arial" w:eastAsia="Times New Roman" w:hAnsi="Arial" w:cs="Arial"/>
                <w:sz w:val="24"/>
                <w:szCs w:val="24"/>
                <w:lang w:eastAsia="es-ES"/>
              </w:rPr>
              <w:t>174.990.714</w:t>
            </w:r>
          </w:p>
        </w:tc>
      </w:tr>
    </w:tbl>
    <w:p w:rsidR="008E55A5" w:rsidRDefault="008E55A5" w:rsidP="00FB12A1">
      <w:pPr>
        <w:spacing w:line="360" w:lineRule="auto"/>
        <w:ind w:left="360"/>
        <w:jc w:val="both"/>
        <w:rPr>
          <w:rFonts w:ascii="Arial" w:eastAsia="Calibri" w:hAnsi="Arial" w:cs="Arial"/>
          <w:b/>
          <w:noProof/>
          <w:spacing w:val="-3"/>
          <w:sz w:val="24"/>
          <w:szCs w:val="24"/>
        </w:rPr>
      </w:pPr>
    </w:p>
    <w:p w:rsidR="008E55A5" w:rsidRPr="005E07BC" w:rsidRDefault="008E55A5" w:rsidP="008E55A5">
      <w:pPr>
        <w:pStyle w:val="Prrafodelista"/>
        <w:numPr>
          <w:ilvl w:val="1"/>
          <w:numId w:val="3"/>
        </w:numPr>
        <w:suppressAutoHyphens/>
        <w:spacing w:after="0" w:line="360" w:lineRule="auto"/>
        <w:jc w:val="both"/>
        <w:rPr>
          <w:rFonts w:ascii="Arial" w:eastAsia="Times New Roman" w:hAnsi="Arial" w:cs="Arial"/>
          <w:b/>
          <w:bCs/>
          <w:sz w:val="24"/>
          <w:szCs w:val="24"/>
          <w:lang w:val="es-ES_tradnl" w:eastAsia="es-ES"/>
        </w:rPr>
      </w:pPr>
      <w:r w:rsidRPr="000A0285">
        <w:rPr>
          <w:rFonts w:ascii="Arial" w:eastAsia="Times New Roman" w:hAnsi="Arial" w:cs="Arial"/>
          <w:b/>
          <w:bCs/>
          <w:sz w:val="24"/>
          <w:szCs w:val="24"/>
          <w:lang w:val="es-ES_tradnl" w:eastAsia="es-ES"/>
        </w:rPr>
        <w:t>Análisis del Resultado Presupuestal 201</w:t>
      </w:r>
      <w:r>
        <w:rPr>
          <w:rFonts w:ascii="Arial" w:eastAsia="Times New Roman" w:hAnsi="Arial" w:cs="Arial"/>
          <w:b/>
          <w:bCs/>
          <w:sz w:val="24"/>
          <w:szCs w:val="24"/>
          <w:lang w:val="es-ES_tradnl" w:eastAsia="es-ES"/>
        </w:rPr>
        <w:t>9</w:t>
      </w:r>
      <w:r w:rsidRPr="000A0285">
        <w:rPr>
          <w:rFonts w:ascii="Arial" w:eastAsia="Times New Roman" w:hAnsi="Arial" w:cs="Arial"/>
          <w:b/>
          <w:bCs/>
          <w:sz w:val="24"/>
          <w:szCs w:val="24"/>
          <w:lang w:val="es-ES_tradnl" w:eastAsia="es-ES"/>
        </w:rPr>
        <w:t xml:space="preserve"> (en $):</w:t>
      </w:r>
    </w:p>
    <w:tbl>
      <w:tblPr>
        <w:tblW w:w="7938" w:type="dxa"/>
        <w:tblInd w:w="354" w:type="dxa"/>
        <w:tblCellMar>
          <w:left w:w="70" w:type="dxa"/>
          <w:right w:w="70" w:type="dxa"/>
        </w:tblCellMar>
        <w:tblLook w:val="04A0" w:firstRow="1" w:lastRow="0" w:firstColumn="1" w:lastColumn="0" w:noHBand="0" w:noVBand="1"/>
      </w:tblPr>
      <w:tblGrid>
        <w:gridCol w:w="5528"/>
        <w:gridCol w:w="2410"/>
      </w:tblGrid>
      <w:tr w:rsidR="008E55A5" w:rsidRPr="005E07BC" w:rsidTr="005E07BC">
        <w:trPr>
          <w:trHeight w:val="36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55A5" w:rsidRPr="005E07BC" w:rsidRDefault="008E55A5" w:rsidP="005E07BC">
            <w:pPr>
              <w:spacing w:after="0" w:line="240" w:lineRule="auto"/>
              <w:rPr>
                <w:rFonts w:ascii="Arial" w:eastAsia="Times New Roman" w:hAnsi="Arial" w:cs="Arial"/>
                <w:bCs/>
                <w:color w:val="000000"/>
                <w:sz w:val="24"/>
                <w:szCs w:val="24"/>
                <w:lang w:val="es-UY" w:eastAsia="es-UY"/>
              </w:rPr>
            </w:pPr>
            <w:r w:rsidRPr="005E07BC">
              <w:rPr>
                <w:rFonts w:ascii="Arial" w:eastAsia="Times New Roman" w:hAnsi="Arial" w:cs="Arial"/>
                <w:bCs/>
                <w:color w:val="000000"/>
                <w:sz w:val="24"/>
                <w:szCs w:val="24"/>
                <w:lang w:val="es-UY" w:eastAsia="es-UY"/>
              </w:rPr>
              <w:t>Ingresos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8E55A5" w:rsidRPr="005E07BC" w:rsidRDefault="008E55A5" w:rsidP="005E07BC">
            <w:pPr>
              <w:spacing w:after="0" w:line="240" w:lineRule="auto"/>
              <w:jc w:val="right"/>
              <w:rPr>
                <w:rFonts w:ascii="Arial" w:eastAsia="Times New Roman" w:hAnsi="Arial" w:cs="Arial"/>
                <w:bCs/>
                <w:color w:val="000000"/>
                <w:sz w:val="24"/>
                <w:szCs w:val="24"/>
                <w:lang w:val="es-UY" w:eastAsia="es-UY"/>
              </w:rPr>
            </w:pPr>
            <w:r w:rsidRPr="005E07BC">
              <w:rPr>
                <w:rFonts w:ascii="Arial" w:eastAsia="Times New Roman" w:hAnsi="Arial" w:cs="Arial"/>
                <w:bCs/>
                <w:color w:val="000000"/>
                <w:sz w:val="24"/>
                <w:szCs w:val="24"/>
                <w:lang w:val="es-UY" w:eastAsia="es-UY"/>
              </w:rPr>
              <w:t>537.226.820.204</w:t>
            </w:r>
          </w:p>
        </w:tc>
      </w:tr>
      <w:tr w:rsidR="008E55A5" w:rsidRPr="005E07BC" w:rsidTr="005E07BC">
        <w:trPr>
          <w:trHeight w:val="360"/>
        </w:trPr>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8E55A5" w:rsidRPr="005E07BC" w:rsidRDefault="008E55A5" w:rsidP="005E07BC">
            <w:pPr>
              <w:spacing w:after="0" w:line="240" w:lineRule="auto"/>
              <w:rPr>
                <w:rFonts w:ascii="Arial" w:eastAsia="Times New Roman" w:hAnsi="Arial" w:cs="Arial"/>
                <w:bCs/>
                <w:color w:val="000000"/>
                <w:sz w:val="24"/>
                <w:szCs w:val="24"/>
                <w:lang w:val="es-UY" w:eastAsia="es-UY"/>
              </w:rPr>
            </w:pPr>
            <w:r w:rsidRPr="005E07BC">
              <w:rPr>
                <w:rFonts w:ascii="Arial" w:eastAsia="Times New Roman" w:hAnsi="Arial" w:cs="Arial"/>
                <w:bCs/>
                <w:color w:val="000000"/>
                <w:sz w:val="24"/>
                <w:szCs w:val="24"/>
                <w:lang w:val="es-UY" w:eastAsia="es-UY"/>
              </w:rPr>
              <w:t>Egresos operativos y de Operaciones Financieras</w:t>
            </w:r>
          </w:p>
        </w:tc>
        <w:tc>
          <w:tcPr>
            <w:tcW w:w="2410"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right"/>
              <w:rPr>
                <w:rFonts w:ascii="Arial" w:eastAsia="Times New Roman" w:hAnsi="Arial" w:cs="Arial"/>
                <w:bCs/>
                <w:color w:val="000000"/>
                <w:sz w:val="24"/>
                <w:szCs w:val="24"/>
                <w:lang w:val="es-UY" w:eastAsia="es-UY"/>
              </w:rPr>
            </w:pPr>
            <w:r w:rsidRPr="005E07BC">
              <w:rPr>
                <w:rFonts w:ascii="Arial" w:eastAsia="Times New Roman" w:hAnsi="Arial" w:cs="Arial"/>
                <w:bCs/>
                <w:color w:val="000000"/>
                <w:sz w:val="24"/>
                <w:szCs w:val="24"/>
                <w:lang w:val="es-UY" w:eastAsia="es-UY"/>
              </w:rPr>
              <w:t>541.633.624.175</w:t>
            </w:r>
          </w:p>
        </w:tc>
      </w:tr>
      <w:tr w:rsidR="008E55A5" w:rsidRPr="005E07BC" w:rsidTr="005E07BC">
        <w:trPr>
          <w:trHeight w:val="360"/>
        </w:trPr>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8E55A5" w:rsidRPr="005E07BC" w:rsidRDefault="008E55A5" w:rsidP="005E07BC">
            <w:pPr>
              <w:spacing w:after="0" w:line="240" w:lineRule="auto"/>
              <w:rPr>
                <w:rFonts w:ascii="Arial" w:eastAsia="Times New Roman" w:hAnsi="Arial" w:cs="Arial"/>
                <w:bCs/>
                <w:color w:val="000000"/>
                <w:sz w:val="24"/>
                <w:szCs w:val="24"/>
                <w:lang w:val="es-UY" w:eastAsia="es-UY"/>
              </w:rPr>
            </w:pPr>
            <w:r w:rsidRPr="005E07BC">
              <w:rPr>
                <w:rFonts w:ascii="Arial" w:eastAsia="Times New Roman" w:hAnsi="Arial" w:cs="Arial"/>
                <w:bCs/>
                <w:color w:val="000000"/>
                <w:sz w:val="24"/>
                <w:szCs w:val="24"/>
                <w:lang w:val="es-UY" w:eastAsia="es-UY"/>
              </w:rPr>
              <w:t>Inversiones</w:t>
            </w:r>
          </w:p>
        </w:tc>
        <w:tc>
          <w:tcPr>
            <w:tcW w:w="2410" w:type="dxa"/>
            <w:tcBorders>
              <w:top w:val="nil"/>
              <w:left w:val="nil"/>
              <w:bottom w:val="single" w:sz="4" w:space="0" w:color="auto"/>
              <w:right w:val="single" w:sz="4" w:space="0" w:color="auto"/>
            </w:tcBorders>
            <w:shd w:val="clear" w:color="auto" w:fill="auto"/>
            <w:noWrap/>
            <w:vAlign w:val="center"/>
            <w:hideMark/>
          </w:tcPr>
          <w:p w:rsidR="008E55A5" w:rsidRPr="005E07BC" w:rsidRDefault="008E55A5" w:rsidP="005E07BC">
            <w:pPr>
              <w:spacing w:after="0" w:line="240" w:lineRule="auto"/>
              <w:jc w:val="right"/>
              <w:rPr>
                <w:rFonts w:ascii="Arial" w:eastAsia="Times New Roman" w:hAnsi="Arial" w:cs="Arial"/>
                <w:bCs/>
                <w:color w:val="000000"/>
                <w:sz w:val="24"/>
                <w:szCs w:val="24"/>
                <w:lang w:val="es-UY" w:eastAsia="es-UY"/>
              </w:rPr>
            </w:pPr>
            <w:r w:rsidRPr="005E07BC">
              <w:rPr>
                <w:rFonts w:ascii="Arial" w:eastAsia="Times New Roman" w:hAnsi="Arial" w:cs="Arial"/>
                <w:bCs/>
                <w:color w:val="000000"/>
                <w:sz w:val="24"/>
                <w:szCs w:val="24"/>
                <w:lang w:val="es-UY" w:eastAsia="es-UY"/>
              </w:rPr>
              <w:t>174.990.714</w:t>
            </w:r>
          </w:p>
        </w:tc>
      </w:tr>
      <w:tr w:rsidR="008E55A5" w:rsidRPr="005E07BC" w:rsidTr="005E07BC">
        <w:trPr>
          <w:trHeight w:val="70"/>
        </w:trPr>
        <w:tc>
          <w:tcPr>
            <w:tcW w:w="5528" w:type="dxa"/>
            <w:tcBorders>
              <w:top w:val="nil"/>
              <w:left w:val="single" w:sz="4" w:space="0" w:color="auto"/>
              <w:bottom w:val="single" w:sz="4" w:space="0" w:color="auto"/>
              <w:right w:val="single" w:sz="4" w:space="0" w:color="auto"/>
            </w:tcBorders>
            <w:shd w:val="clear" w:color="auto" w:fill="auto"/>
            <w:noWrap/>
            <w:vAlign w:val="bottom"/>
            <w:hideMark/>
          </w:tcPr>
          <w:p w:rsidR="008E55A5" w:rsidRPr="005E07BC" w:rsidRDefault="008E55A5" w:rsidP="005E07BC">
            <w:pPr>
              <w:spacing w:after="0" w:line="240" w:lineRule="auto"/>
              <w:rPr>
                <w:rFonts w:ascii="Arial" w:eastAsia="Times New Roman" w:hAnsi="Arial" w:cs="Arial"/>
                <w:bCs/>
                <w:color w:val="000000"/>
                <w:sz w:val="24"/>
                <w:szCs w:val="24"/>
                <w:lang w:val="es-UY" w:eastAsia="es-UY"/>
              </w:rPr>
            </w:pPr>
            <w:r w:rsidRPr="005E07BC">
              <w:rPr>
                <w:rFonts w:ascii="Arial" w:eastAsia="Times New Roman" w:hAnsi="Arial" w:cs="Arial"/>
                <w:bCs/>
                <w:color w:val="000000"/>
                <w:sz w:val="24"/>
                <w:szCs w:val="24"/>
                <w:lang w:val="es-UY" w:eastAsia="es-UY"/>
              </w:rPr>
              <w:t xml:space="preserve">Resultado global </w:t>
            </w:r>
          </w:p>
        </w:tc>
        <w:tc>
          <w:tcPr>
            <w:tcW w:w="2410" w:type="dxa"/>
            <w:tcBorders>
              <w:top w:val="nil"/>
              <w:left w:val="nil"/>
              <w:bottom w:val="single" w:sz="4" w:space="0" w:color="auto"/>
              <w:right w:val="single" w:sz="4" w:space="0" w:color="auto"/>
            </w:tcBorders>
            <w:shd w:val="clear" w:color="auto" w:fill="auto"/>
            <w:noWrap/>
            <w:vAlign w:val="bottom"/>
            <w:hideMark/>
          </w:tcPr>
          <w:p w:rsidR="008E55A5" w:rsidRPr="005E07BC" w:rsidRDefault="008E55A5" w:rsidP="005E07BC">
            <w:pPr>
              <w:spacing w:after="0" w:line="240" w:lineRule="auto"/>
              <w:jc w:val="right"/>
              <w:rPr>
                <w:rFonts w:ascii="Arial" w:eastAsia="Times New Roman" w:hAnsi="Arial" w:cs="Arial"/>
                <w:bCs/>
                <w:color w:val="000000"/>
                <w:sz w:val="24"/>
                <w:szCs w:val="24"/>
                <w:lang w:val="es-UY" w:eastAsia="es-UY"/>
              </w:rPr>
            </w:pPr>
            <w:r w:rsidRPr="005E07BC">
              <w:rPr>
                <w:rFonts w:ascii="Arial" w:eastAsia="Times New Roman" w:hAnsi="Arial" w:cs="Arial"/>
                <w:bCs/>
                <w:color w:val="000000"/>
                <w:sz w:val="24"/>
                <w:szCs w:val="24"/>
                <w:lang w:val="es-UY" w:eastAsia="es-UY"/>
              </w:rPr>
              <w:t>-4.581.794.685</w:t>
            </w:r>
          </w:p>
        </w:tc>
      </w:tr>
    </w:tbl>
    <w:p w:rsidR="008E55A5" w:rsidRPr="003A3822" w:rsidRDefault="008E55A5" w:rsidP="00F900D2">
      <w:pPr>
        <w:pStyle w:val="Prrafodelista"/>
        <w:spacing w:line="360" w:lineRule="auto"/>
        <w:ind w:left="405"/>
        <w:jc w:val="both"/>
        <w:rPr>
          <w:rFonts w:ascii="Arial" w:hAnsi="Arial" w:cs="Arial"/>
          <w:spacing w:val="-3"/>
          <w:sz w:val="24"/>
          <w:szCs w:val="24"/>
          <w:lang w:val="es-ES_tradnl"/>
        </w:rPr>
      </w:pPr>
    </w:p>
    <w:p w:rsidR="008E55A5" w:rsidRPr="003A3822" w:rsidRDefault="008E55A5" w:rsidP="005668B9">
      <w:pPr>
        <w:tabs>
          <w:tab w:val="left" w:pos="1766"/>
        </w:tabs>
        <w:spacing w:after="0" w:line="360" w:lineRule="auto"/>
        <w:jc w:val="both"/>
        <w:rPr>
          <w:rFonts w:ascii="Arial" w:hAnsi="Arial" w:cs="Arial"/>
          <w:spacing w:val="-3"/>
          <w:sz w:val="24"/>
          <w:szCs w:val="24"/>
          <w:lang w:val="es-ES_tradnl"/>
        </w:rPr>
      </w:pPr>
      <w:r w:rsidRPr="003A3822">
        <w:rPr>
          <w:rFonts w:ascii="Arial" w:hAnsi="Arial" w:cs="Arial"/>
          <w:spacing w:val="-3"/>
          <w:sz w:val="24"/>
          <w:szCs w:val="24"/>
          <w:lang w:val="es-ES_tradnl"/>
        </w:rPr>
        <w:t>De la comparación entre los ingresos y egresos proyectados resulta un déficit de $ 4.581:794.685. La Gerencia de Presupuesto del BCU  expresa  en el Resumen Ejecutivo que “Según lo manifestado por el Área Política Monetaria, en caso de existir un déficit, el mismo se cubriría bien con una combinación de disminución de activos de reserva o con un aumento de pasivos con el sistema financiero por el incremento de los dep</w:t>
      </w:r>
      <w:r w:rsidR="00B431BD">
        <w:rPr>
          <w:rFonts w:ascii="Arial" w:hAnsi="Arial" w:cs="Arial"/>
          <w:spacing w:val="-3"/>
          <w:sz w:val="24"/>
          <w:szCs w:val="24"/>
          <w:lang w:val="es-ES_tradnl"/>
        </w:rPr>
        <w:t>ósitos en dólares en el Banco.”</w:t>
      </w:r>
    </w:p>
    <w:p w:rsidR="008E55A5" w:rsidRDefault="008E55A5" w:rsidP="005668B9">
      <w:pPr>
        <w:spacing w:after="0" w:line="360" w:lineRule="auto"/>
        <w:jc w:val="both"/>
        <w:rPr>
          <w:rFonts w:ascii="Arial" w:hAnsi="Arial" w:cs="Arial"/>
          <w:spacing w:val="-3"/>
          <w:sz w:val="24"/>
          <w:szCs w:val="24"/>
          <w:lang w:val="es-ES_tradnl"/>
        </w:rPr>
      </w:pPr>
      <w:r w:rsidRPr="003A3822">
        <w:rPr>
          <w:rFonts w:ascii="Arial" w:hAnsi="Arial" w:cs="Arial"/>
          <w:spacing w:val="-3"/>
          <w:sz w:val="24"/>
          <w:szCs w:val="24"/>
          <w:lang w:val="es-ES_tradnl"/>
        </w:rPr>
        <w:t>El Proyecto de Presupuesto debe incluir entre sus normas el detalle de cómo se va a financiar dicho déficit.</w:t>
      </w:r>
    </w:p>
    <w:p w:rsidR="008E55A5" w:rsidRPr="009F7318" w:rsidRDefault="008E55A5" w:rsidP="008E55A5">
      <w:pPr>
        <w:pStyle w:val="Prrafodelista"/>
        <w:numPr>
          <w:ilvl w:val="1"/>
          <w:numId w:val="3"/>
        </w:numPr>
        <w:suppressAutoHyphens/>
        <w:spacing w:after="0" w:line="360" w:lineRule="auto"/>
        <w:jc w:val="both"/>
        <w:rPr>
          <w:rFonts w:ascii="Arial" w:eastAsia="Times New Roman" w:hAnsi="Arial" w:cs="Arial"/>
          <w:b/>
          <w:bCs/>
          <w:sz w:val="24"/>
          <w:szCs w:val="24"/>
          <w:lang w:val="es-ES_tradnl" w:eastAsia="es-ES"/>
        </w:rPr>
      </w:pPr>
      <w:bookmarkStart w:id="1" w:name="_MON_1500294711"/>
      <w:bookmarkStart w:id="2" w:name="_MON_1500294768"/>
      <w:bookmarkStart w:id="3" w:name="_MON_1500294216"/>
      <w:bookmarkStart w:id="4" w:name="_MON_1500294248"/>
      <w:bookmarkStart w:id="5" w:name="_MON_1500294355"/>
      <w:bookmarkStart w:id="6" w:name="_MON_1500294391"/>
      <w:bookmarkEnd w:id="1"/>
      <w:bookmarkEnd w:id="2"/>
      <w:bookmarkEnd w:id="3"/>
      <w:bookmarkEnd w:id="4"/>
      <w:bookmarkEnd w:id="5"/>
      <w:bookmarkEnd w:id="6"/>
      <w:r w:rsidRPr="009F7318">
        <w:rPr>
          <w:rFonts w:ascii="Arial" w:hAnsi="Arial" w:cs="Arial"/>
          <w:spacing w:val="-3"/>
          <w:sz w:val="24"/>
          <w:szCs w:val="24"/>
          <w:lang w:val="es-ES_tradnl"/>
        </w:rPr>
        <w:t>Los ingresos y egresos previstos fueron calculados a nivel de precios de enero-junio 2018 a un tipo de cambio de $</w:t>
      </w:r>
      <w:r>
        <w:rPr>
          <w:rFonts w:ascii="Arial" w:hAnsi="Arial" w:cs="Arial"/>
          <w:spacing w:val="-3"/>
          <w:sz w:val="24"/>
          <w:szCs w:val="24"/>
          <w:lang w:val="es-ES_tradnl"/>
        </w:rPr>
        <w:t xml:space="preserve"> </w:t>
      </w:r>
      <w:r w:rsidRPr="009F7318">
        <w:rPr>
          <w:rFonts w:ascii="Arial" w:hAnsi="Arial" w:cs="Arial"/>
          <w:spacing w:val="-3"/>
          <w:sz w:val="24"/>
          <w:szCs w:val="24"/>
          <w:lang w:val="es-ES_tradnl"/>
        </w:rPr>
        <w:t>29 por dólar estadounidense y un Índice de Precios al Consumo de 180 (con base diciembre 2010).</w:t>
      </w:r>
    </w:p>
    <w:p w:rsidR="008E55A5" w:rsidRPr="00B57D3C" w:rsidRDefault="008E55A5" w:rsidP="00E95B09">
      <w:pPr>
        <w:spacing w:after="0" w:line="360" w:lineRule="auto"/>
        <w:jc w:val="both"/>
        <w:rPr>
          <w:rFonts w:ascii="Arial" w:hAnsi="Arial" w:cs="Arial"/>
          <w:b/>
          <w:bCs/>
          <w:spacing w:val="-3"/>
          <w:sz w:val="24"/>
          <w:szCs w:val="24"/>
          <w:highlight w:val="yellow"/>
          <w:lang w:val="es-ES_tradnl"/>
        </w:rPr>
      </w:pPr>
    </w:p>
    <w:p w:rsidR="008E55A5" w:rsidRPr="00070068" w:rsidRDefault="008E55A5" w:rsidP="00E95B09">
      <w:pPr>
        <w:spacing w:after="0" w:line="360" w:lineRule="auto"/>
        <w:jc w:val="both"/>
        <w:rPr>
          <w:rFonts w:ascii="Arial" w:hAnsi="Arial" w:cs="Arial"/>
          <w:b/>
          <w:bCs/>
          <w:spacing w:val="-3"/>
          <w:sz w:val="24"/>
          <w:szCs w:val="24"/>
          <w:lang w:val="es-ES_tradnl"/>
        </w:rPr>
      </w:pPr>
      <w:r w:rsidRPr="00070068">
        <w:rPr>
          <w:rFonts w:ascii="Arial" w:hAnsi="Arial" w:cs="Arial"/>
          <w:b/>
          <w:bCs/>
          <w:spacing w:val="-3"/>
          <w:sz w:val="24"/>
          <w:szCs w:val="24"/>
          <w:lang w:val="es-ES_tradnl"/>
        </w:rPr>
        <w:t>2) CUMPLIMIENTO DE NORMAS CONSTITUCIONALES, LEGALES Y REGLAMENTARIAS.</w:t>
      </w:r>
    </w:p>
    <w:p w:rsidR="008E55A5" w:rsidRPr="001811C4" w:rsidRDefault="008E55A5" w:rsidP="008E55A5">
      <w:pPr>
        <w:pStyle w:val="Textoindependiente"/>
        <w:numPr>
          <w:ilvl w:val="1"/>
          <w:numId w:val="2"/>
        </w:numPr>
        <w:spacing w:line="360" w:lineRule="auto"/>
        <w:ind w:left="567" w:hanging="567"/>
        <w:rPr>
          <w:rFonts w:ascii="Arial" w:hAnsi="Arial" w:cs="Arial"/>
          <w:snapToGrid/>
          <w:spacing w:val="0"/>
          <w:szCs w:val="24"/>
          <w:lang w:val="es-ES"/>
        </w:rPr>
      </w:pPr>
      <w:r w:rsidRPr="001811C4">
        <w:rPr>
          <w:rFonts w:ascii="Arial" w:hAnsi="Arial" w:cs="Arial"/>
          <w:snapToGrid/>
          <w:spacing w:val="0"/>
          <w:szCs w:val="24"/>
          <w:lang w:val="es-ES"/>
        </w:rPr>
        <w:t>El Proyecto de Presupuesto para el ejercicio 2019 del Banco Central del Uruguay, comprende los Presupuestos de Recursos, Operativo, de Operaciones Financieras y de Inversiones y fue aprobado por el Directorio por RD/160/2018 de fecha 19 de julio de 2018;</w:t>
      </w:r>
    </w:p>
    <w:p w:rsidR="008E55A5" w:rsidRPr="001811C4" w:rsidRDefault="008E55A5" w:rsidP="008E55A5">
      <w:pPr>
        <w:pStyle w:val="Textoindependiente"/>
        <w:numPr>
          <w:ilvl w:val="1"/>
          <w:numId w:val="2"/>
        </w:numPr>
        <w:spacing w:line="360" w:lineRule="auto"/>
        <w:ind w:left="567" w:hanging="567"/>
        <w:rPr>
          <w:rFonts w:ascii="Arial" w:hAnsi="Arial" w:cs="Arial"/>
          <w:snapToGrid/>
          <w:spacing w:val="0"/>
          <w:szCs w:val="24"/>
          <w:lang w:val="es-ES"/>
        </w:rPr>
      </w:pPr>
      <w:r w:rsidRPr="001811C4">
        <w:rPr>
          <w:rFonts w:ascii="Arial" w:hAnsi="Arial" w:cs="Arial"/>
          <w:snapToGrid/>
          <w:spacing w:val="0"/>
          <w:szCs w:val="24"/>
          <w:lang w:val="es-ES"/>
        </w:rPr>
        <w:t>El Proyecto referido  ingresó a es</w:t>
      </w:r>
      <w:r>
        <w:rPr>
          <w:rFonts w:ascii="Arial" w:hAnsi="Arial" w:cs="Arial"/>
          <w:snapToGrid/>
          <w:spacing w:val="0"/>
          <w:szCs w:val="24"/>
          <w:lang w:val="es-ES"/>
        </w:rPr>
        <w:t>t</w:t>
      </w:r>
      <w:r w:rsidRPr="001811C4">
        <w:rPr>
          <w:rFonts w:ascii="Arial" w:hAnsi="Arial" w:cs="Arial"/>
          <w:snapToGrid/>
          <w:spacing w:val="0"/>
          <w:szCs w:val="24"/>
          <w:lang w:val="es-ES"/>
        </w:rPr>
        <w:t>e Tribunal para su consideración el 24 de julio de 2018, e</w:t>
      </w:r>
      <w:r>
        <w:rPr>
          <w:rFonts w:ascii="Arial" w:hAnsi="Arial" w:cs="Arial"/>
          <w:snapToGrid/>
          <w:spacing w:val="0"/>
          <w:szCs w:val="24"/>
          <w:lang w:val="es-ES"/>
        </w:rPr>
        <w:t>n el plazo previsto por el Artículo</w:t>
      </w:r>
      <w:r w:rsidRPr="001811C4">
        <w:rPr>
          <w:rFonts w:ascii="Arial" w:hAnsi="Arial" w:cs="Arial"/>
          <w:snapToGrid/>
          <w:spacing w:val="0"/>
          <w:szCs w:val="24"/>
          <w:lang w:val="es-ES"/>
        </w:rPr>
        <w:t xml:space="preserve"> 221 de la Constitución de la República;</w:t>
      </w:r>
    </w:p>
    <w:p w:rsidR="008E55A5" w:rsidRPr="001811C4" w:rsidRDefault="008E55A5" w:rsidP="008E55A5">
      <w:pPr>
        <w:pStyle w:val="Textoindependiente"/>
        <w:numPr>
          <w:ilvl w:val="1"/>
          <w:numId w:val="2"/>
        </w:numPr>
        <w:spacing w:line="360" w:lineRule="auto"/>
        <w:ind w:left="567" w:hanging="567"/>
        <w:rPr>
          <w:rFonts w:ascii="Arial" w:hAnsi="Arial" w:cs="Arial"/>
          <w:snapToGrid/>
          <w:spacing w:val="0"/>
          <w:szCs w:val="24"/>
          <w:lang w:val="es-ES"/>
        </w:rPr>
      </w:pPr>
      <w:r w:rsidRPr="001811C4">
        <w:rPr>
          <w:rFonts w:ascii="Arial" w:hAnsi="Arial" w:cs="Arial"/>
          <w:snapToGrid/>
          <w:spacing w:val="0"/>
          <w:szCs w:val="24"/>
          <w:lang w:val="es-ES"/>
        </w:rPr>
        <w:t>De acuerdo con lo establecido por la Ordenanza N° 51 de 22 de noviembre de 1972, se le dio entr</w:t>
      </w:r>
      <w:r>
        <w:rPr>
          <w:rFonts w:ascii="Arial" w:hAnsi="Arial" w:cs="Arial"/>
          <w:snapToGrid/>
          <w:spacing w:val="0"/>
          <w:szCs w:val="24"/>
          <w:lang w:val="es-ES"/>
        </w:rPr>
        <w:t>ada oficial a este Tribunal en S</w:t>
      </w:r>
      <w:r w:rsidRPr="001811C4">
        <w:rPr>
          <w:rFonts w:ascii="Arial" w:hAnsi="Arial" w:cs="Arial"/>
          <w:snapToGrid/>
          <w:spacing w:val="0"/>
          <w:szCs w:val="24"/>
          <w:lang w:val="es-ES"/>
        </w:rPr>
        <w:t>esión de fecha 25 de julio de 2018;</w:t>
      </w:r>
    </w:p>
    <w:p w:rsidR="008E55A5" w:rsidRPr="001811C4" w:rsidRDefault="008E55A5" w:rsidP="008E55A5">
      <w:pPr>
        <w:pStyle w:val="Textoindependiente"/>
        <w:numPr>
          <w:ilvl w:val="1"/>
          <w:numId w:val="2"/>
        </w:numPr>
        <w:spacing w:line="360" w:lineRule="auto"/>
        <w:ind w:left="567" w:hanging="567"/>
        <w:rPr>
          <w:rFonts w:ascii="Arial" w:hAnsi="Arial" w:cs="Arial"/>
          <w:snapToGrid/>
          <w:spacing w:val="0"/>
          <w:szCs w:val="24"/>
          <w:lang w:val="es-ES"/>
        </w:rPr>
      </w:pPr>
      <w:r w:rsidRPr="001811C4">
        <w:rPr>
          <w:rFonts w:ascii="Arial" w:hAnsi="Arial" w:cs="Arial"/>
          <w:snapToGrid/>
          <w:spacing w:val="0"/>
          <w:szCs w:val="24"/>
          <w:lang w:val="es-ES"/>
        </w:rPr>
        <w:t xml:space="preserve"> El Proyecto se presenta en forma comparativa con el presupuesto vigente, de acuerdo con lo</w:t>
      </w:r>
      <w:r>
        <w:rPr>
          <w:rFonts w:ascii="Arial" w:hAnsi="Arial" w:cs="Arial"/>
          <w:snapToGrid/>
          <w:spacing w:val="0"/>
          <w:szCs w:val="24"/>
          <w:lang w:val="es-ES"/>
        </w:rPr>
        <w:t xml:space="preserve"> dispuesto por el inciso 3 del A</w:t>
      </w:r>
      <w:r w:rsidRPr="001811C4">
        <w:rPr>
          <w:rFonts w:ascii="Arial" w:hAnsi="Arial" w:cs="Arial"/>
          <w:snapToGrid/>
          <w:spacing w:val="0"/>
          <w:szCs w:val="24"/>
          <w:lang w:val="es-ES"/>
        </w:rPr>
        <w:t>rtículo 216 de la Constitución de la República;</w:t>
      </w:r>
    </w:p>
    <w:p w:rsidR="008E55A5" w:rsidRPr="001811C4" w:rsidRDefault="008E55A5" w:rsidP="008E55A5">
      <w:pPr>
        <w:pStyle w:val="Textoindependiente"/>
        <w:numPr>
          <w:ilvl w:val="1"/>
          <w:numId w:val="2"/>
        </w:numPr>
        <w:spacing w:line="360" w:lineRule="auto"/>
        <w:ind w:left="567" w:hanging="567"/>
        <w:rPr>
          <w:rFonts w:ascii="Arial" w:hAnsi="Arial" w:cs="Arial"/>
          <w:snapToGrid/>
          <w:spacing w:val="0"/>
          <w:szCs w:val="24"/>
          <w:lang w:val="es-ES"/>
        </w:rPr>
      </w:pPr>
      <w:r>
        <w:rPr>
          <w:rFonts w:ascii="Arial" w:hAnsi="Arial" w:cs="Arial"/>
          <w:snapToGrid/>
          <w:spacing w:val="0"/>
          <w:szCs w:val="24"/>
          <w:lang w:val="es-ES"/>
        </w:rPr>
        <w:t>El inciso 1 del A</w:t>
      </w:r>
      <w:r w:rsidRPr="001811C4">
        <w:rPr>
          <w:rFonts w:ascii="Arial" w:hAnsi="Arial" w:cs="Arial"/>
          <w:snapToGrid/>
          <w:spacing w:val="0"/>
          <w:szCs w:val="24"/>
          <w:lang w:val="es-ES"/>
        </w:rPr>
        <w:t>rtículo 39, que faculta al Directorio del Banco Central a realizar transformaciones de cargos y funciones, para adecuar la estructura organizativa a las reales necesidades de la empresa, no merece en principio observación, siempre que no suponga la realización de una modificación presupuestal fuera de la instancia anua</w:t>
      </w:r>
      <w:r>
        <w:rPr>
          <w:rFonts w:ascii="Arial" w:hAnsi="Arial" w:cs="Arial"/>
          <w:snapToGrid/>
          <w:spacing w:val="0"/>
          <w:szCs w:val="24"/>
          <w:lang w:val="es-ES"/>
        </w:rPr>
        <w:t>l prevista por el  A</w:t>
      </w:r>
      <w:r w:rsidRPr="001811C4">
        <w:rPr>
          <w:rFonts w:ascii="Arial" w:hAnsi="Arial" w:cs="Arial"/>
          <w:snapToGrid/>
          <w:spacing w:val="0"/>
          <w:szCs w:val="24"/>
          <w:lang w:val="es-ES"/>
        </w:rPr>
        <w:t>rtículo 221 de la Constitución de la República y 52 de su Carta Orgánica (Ley 1</w:t>
      </w:r>
      <w:r w:rsidR="00B431BD">
        <w:rPr>
          <w:rFonts w:ascii="Arial" w:hAnsi="Arial" w:cs="Arial"/>
          <w:snapToGrid/>
          <w:spacing w:val="0"/>
          <w:szCs w:val="24"/>
          <w:lang w:val="es-ES"/>
        </w:rPr>
        <w:t>6.696 de 30 de marzo de 1995).</w:t>
      </w:r>
    </w:p>
    <w:p w:rsidR="008E55A5" w:rsidRPr="001811C4" w:rsidRDefault="008E55A5" w:rsidP="008E55A5">
      <w:pPr>
        <w:pStyle w:val="Textoindependiente"/>
        <w:numPr>
          <w:ilvl w:val="1"/>
          <w:numId w:val="2"/>
        </w:numPr>
        <w:spacing w:line="360" w:lineRule="auto"/>
        <w:ind w:left="567" w:hanging="567"/>
        <w:rPr>
          <w:rFonts w:ascii="Arial" w:hAnsi="Arial" w:cs="Arial"/>
          <w:snapToGrid/>
          <w:spacing w:val="0"/>
          <w:szCs w:val="24"/>
          <w:lang w:val="es-ES"/>
        </w:rPr>
      </w:pPr>
      <w:r w:rsidRPr="001811C4">
        <w:rPr>
          <w:rFonts w:ascii="Arial" w:hAnsi="Arial" w:cs="Arial"/>
          <w:snapToGrid/>
          <w:spacing w:val="0"/>
          <w:szCs w:val="24"/>
          <w:lang w:val="es-ES"/>
        </w:rPr>
        <w:t>Al efectuar la supres</w:t>
      </w:r>
      <w:r>
        <w:rPr>
          <w:rFonts w:ascii="Arial" w:hAnsi="Arial" w:cs="Arial"/>
          <w:snapToGrid/>
          <w:spacing w:val="0"/>
          <w:szCs w:val="24"/>
          <w:lang w:val="es-ES"/>
        </w:rPr>
        <w:t>ión de vacantes prevista en el A</w:t>
      </w:r>
      <w:r w:rsidRPr="001811C4">
        <w:rPr>
          <w:rFonts w:ascii="Arial" w:hAnsi="Arial" w:cs="Arial"/>
          <w:snapToGrid/>
          <w:spacing w:val="0"/>
          <w:szCs w:val="24"/>
          <w:lang w:val="es-ES"/>
        </w:rPr>
        <w:t>rtículo 42 y la provisión de las que no se suprimen, se deberá dar cumpl</w:t>
      </w:r>
      <w:r>
        <w:rPr>
          <w:rFonts w:ascii="Arial" w:hAnsi="Arial" w:cs="Arial"/>
          <w:snapToGrid/>
          <w:spacing w:val="0"/>
          <w:szCs w:val="24"/>
          <w:lang w:val="es-ES"/>
        </w:rPr>
        <w:t>imiento a lo dispuesto por los A</w:t>
      </w:r>
      <w:r w:rsidRPr="001811C4">
        <w:rPr>
          <w:rFonts w:ascii="Arial" w:hAnsi="Arial" w:cs="Arial"/>
          <w:snapToGrid/>
          <w:spacing w:val="0"/>
          <w:szCs w:val="24"/>
          <w:lang w:val="es-ES"/>
        </w:rPr>
        <w:t>rtículos 49 y 50 de la Ley N° 18.651 de fecha 19 de febre</w:t>
      </w:r>
      <w:r>
        <w:rPr>
          <w:rFonts w:ascii="Arial" w:hAnsi="Arial" w:cs="Arial"/>
          <w:snapToGrid/>
          <w:spacing w:val="0"/>
          <w:szCs w:val="24"/>
          <w:lang w:val="es-ES"/>
        </w:rPr>
        <w:t>ro de 2010 (L</w:t>
      </w:r>
      <w:r w:rsidRPr="001811C4">
        <w:rPr>
          <w:rFonts w:ascii="Arial" w:hAnsi="Arial" w:cs="Arial"/>
          <w:snapToGrid/>
          <w:spacing w:val="0"/>
          <w:szCs w:val="24"/>
          <w:lang w:val="es-ES"/>
        </w:rPr>
        <w:t>ey de protección integral de las p</w:t>
      </w:r>
      <w:r>
        <w:rPr>
          <w:rFonts w:ascii="Arial" w:hAnsi="Arial" w:cs="Arial"/>
          <w:snapToGrid/>
          <w:spacing w:val="0"/>
          <w:szCs w:val="24"/>
          <w:lang w:val="es-ES"/>
        </w:rPr>
        <w:t>ersonas con discapacidad) y al A</w:t>
      </w:r>
      <w:r w:rsidRPr="001811C4">
        <w:rPr>
          <w:rFonts w:ascii="Arial" w:hAnsi="Arial" w:cs="Arial"/>
          <w:snapToGrid/>
          <w:spacing w:val="0"/>
          <w:szCs w:val="24"/>
          <w:lang w:val="es-ES"/>
        </w:rPr>
        <w:t xml:space="preserve">rtículo 4 de la Ley N° 19.122 </w:t>
      </w:r>
      <w:r>
        <w:rPr>
          <w:rFonts w:ascii="Arial" w:hAnsi="Arial" w:cs="Arial"/>
          <w:snapToGrid/>
          <w:spacing w:val="0"/>
          <w:szCs w:val="24"/>
          <w:lang w:val="es-ES"/>
        </w:rPr>
        <w:t>de fecha 21 de agosto de 2013 (</w:t>
      </w:r>
      <w:proofErr w:type="spellStart"/>
      <w:r w:rsidRPr="001811C4">
        <w:rPr>
          <w:rFonts w:ascii="Arial" w:hAnsi="Arial" w:cs="Arial"/>
          <w:snapToGrid/>
          <w:spacing w:val="0"/>
          <w:szCs w:val="24"/>
          <w:lang w:val="es-ES"/>
        </w:rPr>
        <w:t>Afrodescendientes</w:t>
      </w:r>
      <w:proofErr w:type="spellEnd"/>
      <w:r w:rsidRPr="001811C4">
        <w:rPr>
          <w:rFonts w:ascii="Arial" w:hAnsi="Arial" w:cs="Arial"/>
          <w:snapToGrid/>
          <w:spacing w:val="0"/>
          <w:szCs w:val="24"/>
          <w:lang w:val="es-ES"/>
        </w:rPr>
        <w:t>);</w:t>
      </w:r>
    </w:p>
    <w:p w:rsidR="008E55A5" w:rsidRPr="001811C4" w:rsidRDefault="008E55A5" w:rsidP="008E55A5">
      <w:pPr>
        <w:pStyle w:val="Textoindependiente"/>
        <w:numPr>
          <w:ilvl w:val="1"/>
          <w:numId w:val="2"/>
        </w:numPr>
        <w:spacing w:line="360" w:lineRule="auto"/>
        <w:ind w:left="567" w:hanging="567"/>
        <w:rPr>
          <w:rFonts w:ascii="Arial" w:hAnsi="Arial" w:cs="Arial"/>
          <w:snapToGrid/>
          <w:spacing w:val="0"/>
          <w:szCs w:val="24"/>
          <w:lang w:val="es-ES"/>
        </w:rPr>
      </w:pPr>
      <w:r w:rsidRPr="001811C4">
        <w:rPr>
          <w:rFonts w:ascii="Arial" w:hAnsi="Arial" w:cs="Arial"/>
          <w:snapToGrid/>
          <w:spacing w:val="0"/>
          <w:szCs w:val="24"/>
          <w:lang w:val="es-ES"/>
        </w:rPr>
        <w:t>En la implementación de las disposicione</w:t>
      </w:r>
      <w:r>
        <w:rPr>
          <w:rFonts w:ascii="Arial" w:hAnsi="Arial" w:cs="Arial"/>
          <w:snapToGrid/>
          <w:spacing w:val="0"/>
          <w:szCs w:val="24"/>
          <w:lang w:val="es-ES"/>
        </w:rPr>
        <w:t>s de los Artículos 38,39 y 42 (</w:t>
      </w:r>
      <w:r w:rsidRPr="001811C4">
        <w:rPr>
          <w:rFonts w:ascii="Arial" w:hAnsi="Arial" w:cs="Arial"/>
          <w:snapToGrid/>
          <w:spacing w:val="0"/>
          <w:szCs w:val="24"/>
          <w:lang w:val="es-ES"/>
        </w:rPr>
        <w:t>provisión de las vacantes que no se suprimen), se deberá dar cump</w:t>
      </w:r>
      <w:r>
        <w:rPr>
          <w:rFonts w:ascii="Arial" w:hAnsi="Arial" w:cs="Arial"/>
          <w:snapToGrid/>
          <w:spacing w:val="0"/>
          <w:szCs w:val="24"/>
          <w:lang w:val="es-ES"/>
        </w:rPr>
        <w:t>limiento a lo dispuesto por el A</w:t>
      </w:r>
      <w:r w:rsidRPr="001811C4">
        <w:rPr>
          <w:rFonts w:ascii="Arial" w:hAnsi="Arial" w:cs="Arial"/>
          <w:snapToGrid/>
          <w:spacing w:val="0"/>
          <w:szCs w:val="24"/>
          <w:lang w:val="es-ES"/>
        </w:rPr>
        <w:t>rtícul</w:t>
      </w:r>
      <w:r>
        <w:rPr>
          <w:rFonts w:ascii="Arial" w:hAnsi="Arial" w:cs="Arial"/>
          <w:snapToGrid/>
          <w:spacing w:val="0"/>
          <w:szCs w:val="24"/>
          <w:lang w:val="es-ES"/>
        </w:rPr>
        <w:t>o 229 de la Constitución y por Literal E) del A</w:t>
      </w:r>
      <w:r w:rsidRPr="001811C4">
        <w:rPr>
          <w:rFonts w:ascii="Arial" w:hAnsi="Arial" w:cs="Arial"/>
          <w:snapToGrid/>
          <w:spacing w:val="0"/>
          <w:szCs w:val="24"/>
          <w:lang w:val="es-ES"/>
        </w:rPr>
        <w:t>rtículo 1 de la Ley N° 16.127 de fecha 7 de agosto de 1990;</w:t>
      </w:r>
    </w:p>
    <w:p w:rsidR="008E55A5" w:rsidRPr="001811C4" w:rsidRDefault="008E55A5" w:rsidP="008E55A5">
      <w:pPr>
        <w:pStyle w:val="Textoindependiente"/>
        <w:numPr>
          <w:ilvl w:val="1"/>
          <w:numId w:val="2"/>
        </w:numPr>
        <w:spacing w:line="360" w:lineRule="auto"/>
        <w:ind w:left="567" w:hanging="567"/>
        <w:rPr>
          <w:rFonts w:ascii="Arial" w:hAnsi="Arial" w:cs="Arial"/>
          <w:snapToGrid/>
          <w:spacing w:val="0"/>
          <w:szCs w:val="24"/>
          <w:lang w:val="es-ES"/>
        </w:rPr>
      </w:pPr>
      <w:r w:rsidRPr="001811C4">
        <w:rPr>
          <w:rFonts w:ascii="Arial" w:hAnsi="Arial" w:cs="Arial"/>
          <w:snapToGrid/>
          <w:spacing w:val="0"/>
          <w:szCs w:val="24"/>
          <w:lang w:val="es-ES"/>
        </w:rPr>
        <w:t xml:space="preserve"> El Organismo deberá tener presente lo dispuesto por el artículo 20 de la Ley N° 19.580 de fecha 22 de diciembre de 2017 (Violencia hacia las mujeres basada en género);</w:t>
      </w:r>
    </w:p>
    <w:p w:rsidR="008E55A5" w:rsidRPr="001811C4" w:rsidRDefault="008E55A5" w:rsidP="008E55A5">
      <w:pPr>
        <w:pStyle w:val="Textoindependiente"/>
        <w:numPr>
          <w:ilvl w:val="1"/>
          <w:numId w:val="2"/>
        </w:numPr>
        <w:spacing w:line="360" w:lineRule="auto"/>
        <w:ind w:left="567" w:hanging="567"/>
        <w:rPr>
          <w:rFonts w:ascii="Arial" w:hAnsi="Arial" w:cs="Arial"/>
          <w:snapToGrid/>
          <w:spacing w:val="0"/>
          <w:szCs w:val="24"/>
          <w:lang w:val="es-ES"/>
        </w:rPr>
      </w:pPr>
      <w:r w:rsidRPr="001811C4">
        <w:rPr>
          <w:rFonts w:ascii="Arial" w:hAnsi="Arial" w:cs="Arial"/>
          <w:snapToGrid/>
          <w:spacing w:val="0"/>
          <w:szCs w:val="24"/>
          <w:lang w:val="es-ES"/>
        </w:rPr>
        <w:t>De acuerdo con la normativa constitucional vigente el Directo</w:t>
      </w:r>
      <w:r>
        <w:rPr>
          <w:rFonts w:ascii="Arial" w:hAnsi="Arial" w:cs="Arial"/>
          <w:snapToGrid/>
          <w:spacing w:val="0"/>
          <w:szCs w:val="24"/>
          <w:lang w:val="es-ES"/>
        </w:rPr>
        <w:t>rio del Banco</w:t>
      </w:r>
      <w:r w:rsidRPr="001811C4">
        <w:rPr>
          <w:rFonts w:ascii="Arial" w:hAnsi="Arial" w:cs="Arial"/>
          <w:snapToGrid/>
          <w:spacing w:val="0"/>
          <w:szCs w:val="24"/>
          <w:lang w:val="es-ES"/>
        </w:rPr>
        <w:t>, debe tener presente que luego de aprobado el presupuesto no puede modificarlo hasta la nueva instancia presupuestal;</w:t>
      </w:r>
    </w:p>
    <w:p w:rsidR="008E55A5" w:rsidRPr="001811C4" w:rsidRDefault="008E55A5" w:rsidP="008E55A5">
      <w:pPr>
        <w:pStyle w:val="Textoindependiente"/>
        <w:numPr>
          <w:ilvl w:val="1"/>
          <w:numId w:val="2"/>
        </w:numPr>
        <w:spacing w:line="360" w:lineRule="auto"/>
        <w:ind w:left="567" w:hanging="567"/>
        <w:rPr>
          <w:rFonts w:ascii="Arial" w:hAnsi="Arial" w:cs="Arial"/>
          <w:snapToGrid/>
          <w:spacing w:val="0"/>
          <w:szCs w:val="24"/>
          <w:lang w:val="es-ES"/>
        </w:rPr>
      </w:pPr>
      <w:r w:rsidRPr="001811C4">
        <w:rPr>
          <w:rFonts w:ascii="Arial" w:hAnsi="Arial" w:cs="Arial"/>
          <w:snapToGrid/>
          <w:spacing w:val="0"/>
          <w:szCs w:val="24"/>
          <w:lang w:val="es-ES"/>
        </w:rPr>
        <w:t xml:space="preserve"> Este Tribunal emite su dictamen sobre el Proyecto para el Ejercicio 2019 en el plazo constitucionalmente previsto y con las mayorías requeridas a tales efectos, dejándose constancia que ésta será la única instancia que se pronunciará sobre el mismo, en cumplimiento de lo dispuesto por el artículo 221 de la Constitución.</w:t>
      </w:r>
    </w:p>
    <w:p w:rsidR="008E55A5" w:rsidRPr="001811C4" w:rsidRDefault="008E55A5" w:rsidP="008E55A5">
      <w:pPr>
        <w:pStyle w:val="Textoindependiente"/>
        <w:widowControl/>
        <w:numPr>
          <w:ilvl w:val="1"/>
          <w:numId w:val="2"/>
        </w:numPr>
        <w:tabs>
          <w:tab w:val="clear" w:pos="-720"/>
        </w:tabs>
        <w:suppressAutoHyphens w:val="0"/>
        <w:spacing w:line="360" w:lineRule="auto"/>
        <w:ind w:left="567" w:hanging="567"/>
        <w:rPr>
          <w:rFonts w:ascii="Arial" w:hAnsi="Arial" w:cs="Arial"/>
          <w:snapToGrid/>
          <w:spacing w:val="0"/>
          <w:szCs w:val="24"/>
          <w:lang w:val="es-ES"/>
        </w:rPr>
      </w:pPr>
      <w:r w:rsidRPr="001811C4">
        <w:rPr>
          <w:rFonts w:ascii="Arial" w:hAnsi="Arial" w:cs="Arial"/>
          <w:snapToGrid/>
          <w:spacing w:val="0"/>
          <w:szCs w:val="24"/>
          <w:lang w:val="es-ES"/>
        </w:rPr>
        <w:t xml:space="preserve"> No se da cumplimiento a l</w:t>
      </w:r>
      <w:r>
        <w:rPr>
          <w:rFonts w:ascii="Arial" w:hAnsi="Arial" w:cs="Arial"/>
          <w:snapToGrid/>
          <w:spacing w:val="0"/>
          <w:szCs w:val="24"/>
          <w:lang w:val="es-ES"/>
        </w:rPr>
        <w:t xml:space="preserve">o dispuesto por la </w:t>
      </w:r>
      <w:r w:rsidRPr="001811C4">
        <w:rPr>
          <w:rFonts w:ascii="Arial" w:hAnsi="Arial" w:cs="Arial"/>
          <w:snapToGrid/>
          <w:spacing w:val="0"/>
          <w:szCs w:val="24"/>
          <w:lang w:val="es-ES"/>
        </w:rPr>
        <w:t xml:space="preserve">Ordenanza N° 88 </w:t>
      </w:r>
      <w:r>
        <w:rPr>
          <w:rFonts w:ascii="Arial" w:hAnsi="Arial" w:cs="Arial"/>
          <w:snapToGrid/>
          <w:spacing w:val="0"/>
          <w:szCs w:val="24"/>
          <w:lang w:val="es-ES"/>
        </w:rPr>
        <w:t xml:space="preserve">del Tribunal de Cuentas </w:t>
      </w:r>
      <w:r w:rsidRPr="001811C4">
        <w:rPr>
          <w:rFonts w:ascii="Arial" w:hAnsi="Arial" w:cs="Arial"/>
          <w:snapToGrid/>
          <w:spacing w:val="0"/>
          <w:szCs w:val="24"/>
          <w:lang w:val="es-ES"/>
        </w:rPr>
        <w:t xml:space="preserve">en lo que refiere a la conformidad técnica </w:t>
      </w:r>
      <w:r>
        <w:rPr>
          <w:rFonts w:ascii="Arial" w:hAnsi="Arial" w:cs="Arial"/>
          <w:snapToGrid/>
          <w:spacing w:val="0"/>
          <w:szCs w:val="24"/>
          <w:lang w:val="es-ES"/>
        </w:rPr>
        <w:t xml:space="preserve">de los proyectos en la etapa de </w:t>
      </w:r>
      <w:proofErr w:type="spellStart"/>
      <w:r>
        <w:rPr>
          <w:rFonts w:ascii="Arial" w:hAnsi="Arial" w:cs="Arial"/>
          <w:snapToGrid/>
          <w:spacing w:val="0"/>
          <w:szCs w:val="24"/>
          <w:lang w:val="es-ES"/>
        </w:rPr>
        <w:t>preinversión</w:t>
      </w:r>
      <w:proofErr w:type="spellEnd"/>
      <w:r>
        <w:rPr>
          <w:rFonts w:ascii="Arial" w:hAnsi="Arial" w:cs="Arial"/>
          <w:snapToGrid/>
          <w:spacing w:val="0"/>
          <w:szCs w:val="24"/>
          <w:lang w:val="es-ES"/>
        </w:rPr>
        <w:t xml:space="preserve"> </w:t>
      </w:r>
      <w:r w:rsidRPr="001811C4">
        <w:rPr>
          <w:rFonts w:ascii="Arial" w:hAnsi="Arial" w:cs="Arial"/>
          <w:snapToGrid/>
          <w:spacing w:val="0"/>
          <w:szCs w:val="24"/>
          <w:lang w:val="es-ES"/>
        </w:rPr>
        <w:t xml:space="preserve">del </w:t>
      </w:r>
      <w:r>
        <w:rPr>
          <w:rFonts w:ascii="Arial" w:hAnsi="Arial"/>
          <w:bCs/>
          <w:szCs w:val="24"/>
          <w:lang w:val="es-MX"/>
        </w:rPr>
        <w:t>Sistema Nacional de Inversión Pública (</w:t>
      </w:r>
      <w:r w:rsidRPr="001811C4">
        <w:rPr>
          <w:rFonts w:ascii="Arial" w:hAnsi="Arial" w:cs="Arial"/>
          <w:snapToGrid/>
          <w:spacing w:val="0"/>
          <w:szCs w:val="24"/>
          <w:lang w:val="es-ES"/>
        </w:rPr>
        <w:t>SNIP</w:t>
      </w:r>
      <w:r>
        <w:rPr>
          <w:rFonts w:ascii="Arial" w:hAnsi="Arial" w:cs="Arial"/>
          <w:snapToGrid/>
          <w:spacing w:val="0"/>
          <w:szCs w:val="24"/>
          <w:lang w:val="es-ES"/>
        </w:rPr>
        <w:t>)</w:t>
      </w:r>
      <w:r w:rsidRPr="001811C4">
        <w:rPr>
          <w:rFonts w:ascii="Arial" w:hAnsi="Arial" w:cs="Arial"/>
          <w:snapToGrid/>
          <w:spacing w:val="0"/>
          <w:szCs w:val="24"/>
          <w:lang w:val="es-ES"/>
        </w:rPr>
        <w:t>, dado que la totalidad</w:t>
      </w:r>
      <w:r>
        <w:rPr>
          <w:rFonts w:ascii="Arial" w:hAnsi="Arial" w:cs="Arial"/>
          <w:snapToGrid/>
          <w:spacing w:val="0"/>
          <w:szCs w:val="24"/>
          <w:lang w:val="es-ES"/>
        </w:rPr>
        <w:t xml:space="preserve"> de los mismos no cuenta</w:t>
      </w:r>
      <w:r w:rsidRPr="001811C4">
        <w:rPr>
          <w:rFonts w:ascii="Arial" w:hAnsi="Arial" w:cs="Arial"/>
          <w:snapToGrid/>
          <w:spacing w:val="0"/>
          <w:szCs w:val="24"/>
          <w:lang w:val="es-ES"/>
        </w:rPr>
        <w:t xml:space="preserve"> con el dictamen técnico favorable.</w:t>
      </w:r>
    </w:p>
    <w:p w:rsidR="008E55A5" w:rsidRPr="006869F9" w:rsidRDefault="008E55A5" w:rsidP="00115112">
      <w:pPr>
        <w:pStyle w:val="Textoindependiente"/>
        <w:widowControl/>
        <w:tabs>
          <w:tab w:val="clear" w:pos="-720"/>
        </w:tabs>
        <w:suppressAutoHyphens w:val="0"/>
        <w:spacing w:line="360" w:lineRule="auto"/>
        <w:ind w:left="426"/>
        <w:rPr>
          <w:rFonts w:ascii="Arial" w:hAnsi="Arial" w:cs="Arial"/>
          <w:snapToGrid/>
          <w:spacing w:val="0"/>
          <w:szCs w:val="24"/>
          <w:highlight w:val="yellow"/>
          <w:lang w:val="es-ES"/>
        </w:rPr>
      </w:pPr>
    </w:p>
    <w:p w:rsidR="008E55A5" w:rsidRPr="00CB1F03" w:rsidRDefault="008E55A5" w:rsidP="008E55A5">
      <w:pPr>
        <w:pStyle w:val="Prrafodelista"/>
        <w:numPr>
          <w:ilvl w:val="0"/>
          <w:numId w:val="2"/>
        </w:numPr>
        <w:spacing w:after="0" w:line="360" w:lineRule="auto"/>
        <w:jc w:val="both"/>
        <w:rPr>
          <w:rFonts w:ascii="Arial" w:hAnsi="Arial" w:cs="Arial"/>
          <w:b/>
          <w:bCs/>
          <w:spacing w:val="-3"/>
          <w:sz w:val="24"/>
          <w:szCs w:val="24"/>
          <w:lang w:val="es-ES_tradnl"/>
        </w:rPr>
      </w:pPr>
      <w:r w:rsidRPr="00CB1F03">
        <w:rPr>
          <w:rFonts w:ascii="Arial" w:hAnsi="Arial" w:cs="Arial"/>
          <w:b/>
          <w:bCs/>
          <w:spacing w:val="-3"/>
          <w:sz w:val="24"/>
          <w:szCs w:val="24"/>
          <w:lang w:val="es-ES_tradnl"/>
        </w:rPr>
        <w:t>OPINIÓN</w:t>
      </w:r>
    </w:p>
    <w:p w:rsidR="008E55A5" w:rsidRPr="006869F9" w:rsidRDefault="008E55A5" w:rsidP="00D02B9F">
      <w:pPr>
        <w:spacing w:line="360" w:lineRule="auto"/>
        <w:jc w:val="both"/>
        <w:rPr>
          <w:rFonts w:ascii="Arial" w:hAnsi="Arial" w:cs="Arial"/>
          <w:spacing w:val="-3"/>
          <w:sz w:val="24"/>
          <w:szCs w:val="24"/>
          <w:highlight w:val="yellow"/>
          <w:lang w:val="es-ES_tradnl"/>
        </w:rPr>
      </w:pPr>
      <w:r w:rsidRPr="006C7EEA">
        <w:rPr>
          <w:rFonts w:ascii="Arial" w:hAnsi="Arial" w:cs="Arial"/>
          <w:spacing w:val="-3"/>
          <w:sz w:val="24"/>
          <w:szCs w:val="24"/>
          <w:lang w:val="es-ES_tradnl"/>
        </w:rPr>
        <w:t xml:space="preserve">En opinión del Tribunal de Cuentas, el Proyecto de Presupuesto del Banco Central </w:t>
      </w:r>
      <w:r>
        <w:rPr>
          <w:rFonts w:ascii="Arial" w:hAnsi="Arial" w:cs="Arial"/>
          <w:spacing w:val="-3"/>
          <w:sz w:val="24"/>
          <w:szCs w:val="24"/>
          <w:lang w:val="es-ES_tradnl"/>
        </w:rPr>
        <w:t>del Uruguay correspondiente al E</w:t>
      </w:r>
      <w:r w:rsidRPr="006C7EEA">
        <w:rPr>
          <w:rFonts w:ascii="Arial" w:hAnsi="Arial" w:cs="Arial"/>
          <w:spacing w:val="-3"/>
          <w:sz w:val="24"/>
          <w:szCs w:val="24"/>
          <w:lang w:val="es-ES_tradnl"/>
        </w:rPr>
        <w:t>jercicio 2019 ha sido preparado en forma razonable de acuerdo con los supues</w:t>
      </w:r>
      <w:r>
        <w:rPr>
          <w:rFonts w:ascii="Arial" w:hAnsi="Arial" w:cs="Arial"/>
          <w:spacing w:val="-3"/>
          <w:sz w:val="24"/>
          <w:szCs w:val="24"/>
          <w:lang w:val="es-ES_tradnl"/>
        </w:rPr>
        <w:t>tos efectuados por el Organismo</w:t>
      </w:r>
      <w:r w:rsidRPr="006C7EEA">
        <w:rPr>
          <w:rFonts w:ascii="Arial" w:hAnsi="Arial" w:cs="Arial"/>
          <w:spacing w:val="-3"/>
          <w:sz w:val="24"/>
          <w:szCs w:val="24"/>
          <w:lang w:val="es-ES_tradnl"/>
        </w:rPr>
        <w:t xml:space="preserve"> y se presenta de conformidad con las disposiciones constitucionales, legales y </w:t>
      </w:r>
      <w:r w:rsidRPr="00115112">
        <w:rPr>
          <w:rFonts w:ascii="Arial" w:hAnsi="Arial" w:cs="Arial"/>
          <w:spacing w:val="-3"/>
          <w:sz w:val="24"/>
          <w:szCs w:val="24"/>
          <w:lang w:val="es-ES_tradnl"/>
        </w:rPr>
        <w:t>reglamentarias vigentes</w:t>
      </w:r>
      <w:r>
        <w:rPr>
          <w:rFonts w:ascii="Arial" w:hAnsi="Arial" w:cs="Arial"/>
          <w:spacing w:val="-3"/>
          <w:sz w:val="24"/>
          <w:szCs w:val="24"/>
          <w:lang w:val="es-ES_tradnl"/>
        </w:rPr>
        <w:t xml:space="preserve">, </w:t>
      </w:r>
      <w:r w:rsidRPr="00115112">
        <w:rPr>
          <w:rFonts w:ascii="Arial" w:hAnsi="Arial" w:cs="Arial"/>
          <w:spacing w:val="-3"/>
          <w:sz w:val="24"/>
          <w:szCs w:val="24"/>
          <w:lang w:val="es-ES_tradnl"/>
        </w:rPr>
        <w:t xml:space="preserve"> </w:t>
      </w:r>
      <w:r w:rsidRPr="009F7318">
        <w:rPr>
          <w:rFonts w:ascii="Arial" w:hAnsi="Arial" w:cs="Arial"/>
          <w:spacing w:val="-3"/>
          <w:sz w:val="24"/>
          <w:szCs w:val="24"/>
          <w:lang w:val="es-ES_tradnl"/>
        </w:rPr>
        <w:t xml:space="preserve">excepto por lo expuesto en los Numerales </w:t>
      </w:r>
      <w:r>
        <w:rPr>
          <w:rFonts w:ascii="Arial" w:hAnsi="Arial" w:cs="Arial"/>
          <w:spacing w:val="-3"/>
          <w:sz w:val="24"/>
          <w:szCs w:val="24"/>
          <w:lang w:val="es-ES_tradnl"/>
        </w:rPr>
        <w:t>1.3) y 2.11).</w:t>
      </w:r>
    </w:p>
    <w:p w:rsidR="008E55A5" w:rsidRDefault="008E55A5" w:rsidP="00CB1F03">
      <w:pPr>
        <w:spacing w:line="360" w:lineRule="auto"/>
        <w:jc w:val="right"/>
        <w:rPr>
          <w:rFonts w:ascii="Arial" w:hAnsi="Arial" w:cs="Arial"/>
          <w:sz w:val="24"/>
          <w:szCs w:val="24"/>
          <w:lang w:val="es-ES_tradnl"/>
        </w:rPr>
      </w:pPr>
      <w:r w:rsidRPr="00115112">
        <w:rPr>
          <w:rFonts w:ascii="Arial" w:hAnsi="Arial" w:cs="Arial"/>
          <w:spacing w:val="-3"/>
          <w:sz w:val="24"/>
          <w:szCs w:val="24"/>
          <w:lang w:val="es-ES_tradnl"/>
        </w:rPr>
        <w:t>M</w:t>
      </w:r>
      <w:r w:rsidRPr="00115112">
        <w:rPr>
          <w:rFonts w:ascii="Arial" w:hAnsi="Arial" w:cs="Arial"/>
          <w:sz w:val="24"/>
          <w:szCs w:val="24"/>
          <w:lang w:val="es-ES_tradnl"/>
        </w:rPr>
        <w:t>ontevideo</w:t>
      </w:r>
      <w:r>
        <w:rPr>
          <w:rFonts w:ascii="Arial" w:hAnsi="Arial" w:cs="Arial"/>
          <w:sz w:val="24"/>
          <w:szCs w:val="24"/>
          <w:lang w:val="es-ES_tradnl"/>
        </w:rPr>
        <w:t>, 16</w:t>
      </w:r>
      <w:r w:rsidRPr="00115112">
        <w:rPr>
          <w:rFonts w:ascii="Arial" w:hAnsi="Arial" w:cs="Arial"/>
          <w:sz w:val="24"/>
          <w:szCs w:val="24"/>
          <w:lang w:val="es-ES_tradnl"/>
        </w:rPr>
        <w:t xml:space="preserve"> de agosto de 2018</w:t>
      </w:r>
    </w:p>
    <w:p w:rsidR="008E55A5" w:rsidRDefault="008E55A5" w:rsidP="00CB1F03">
      <w:pPr>
        <w:spacing w:line="360" w:lineRule="auto"/>
        <w:jc w:val="right"/>
        <w:rPr>
          <w:rFonts w:ascii="Arial" w:hAnsi="Arial" w:cs="Arial"/>
          <w:sz w:val="24"/>
          <w:szCs w:val="24"/>
          <w:lang w:val="es-ES_tradnl"/>
        </w:rPr>
      </w:pPr>
    </w:p>
    <w:p w:rsidR="008E55A5" w:rsidRDefault="008E55A5" w:rsidP="00CB1F03">
      <w:pPr>
        <w:spacing w:line="360" w:lineRule="auto"/>
        <w:jc w:val="right"/>
        <w:rPr>
          <w:rFonts w:ascii="Arial" w:hAnsi="Arial" w:cs="Arial"/>
          <w:sz w:val="24"/>
          <w:szCs w:val="24"/>
          <w:lang w:val="es-ES_tradnl"/>
        </w:rPr>
      </w:pPr>
    </w:p>
    <w:p w:rsidR="008E55A5" w:rsidRPr="008E55A5" w:rsidRDefault="008E55A5" w:rsidP="008E55A5">
      <w:pPr>
        <w:spacing w:line="360" w:lineRule="auto"/>
        <w:ind w:hanging="426"/>
        <w:rPr>
          <w:rFonts w:ascii="Arial" w:hAnsi="Arial" w:cs="Arial"/>
          <w:sz w:val="24"/>
          <w:szCs w:val="24"/>
          <w:lang w:val="es-ES_tradnl"/>
        </w:rPr>
      </w:pPr>
      <w:proofErr w:type="gramStart"/>
      <w:r>
        <w:rPr>
          <w:rFonts w:ascii="Arial" w:hAnsi="Arial" w:cs="Arial"/>
          <w:sz w:val="24"/>
          <w:szCs w:val="24"/>
          <w:lang w:val="es-ES_tradnl"/>
        </w:rPr>
        <w:t>dc</w:t>
      </w:r>
      <w:proofErr w:type="gramEnd"/>
    </w:p>
    <w:sectPr w:rsidR="008E55A5" w:rsidRPr="008E55A5" w:rsidSect="00E97DD7">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27213"/>
    <w:multiLevelType w:val="multilevel"/>
    <w:tmpl w:val="9EC2063C"/>
    <w:lvl w:ilvl="0">
      <w:start w:val="2"/>
      <w:numFmt w:val="decimal"/>
      <w:lvlText w:val="%1."/>
      <w:lvlJc w:val="left"/>
      <w:pPr>
        <w:ind w:left="405" w:hanging="405"/>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E5159B5"/>
    <w:multiLevelType w:val="multilevel"/>
    <w:tmpl w:val="80E2C54C"/>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DD2078E"/>
    <w:multiLevelType w:val="multilevel"/>
    <w:tmpl w:val="E472A37C"/>
    <w:lvl w:ilvl="0">
      <w:start w:val="1"/>
      <w:numFmt w:val="decimal"/>
      <w:lvlText w:val="%1."/>
      <w:lvlJc w:val="left"/>
      <w:pPr>
        <w:ind w:left="405" w:hanging="40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30F0B12"/>
    <w:multiLevelType w:val="hybridMultilevel"/>
    <w:tmpl w:val="985694CA"/>
    <w:lvl w:ilvl="0" w:tplc="380A0011">
      <w:start w:val="1"/>
      <w:numFmt w:val="decimal"/>
      <w:lvlText w:val="%1)"/>
      <w:lvlJc w:val="left"/>
      <w:pPr>
        <w:ind w:left="720" w:hanging="360"/>
      </w:pPr>
      <w:rPr>
        <w:rFonts w:hint="default"/>
      </w:rPr>
    </w:lvl>
    <w:lvl w:ilvl="1" w:tplc="380A0019">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D7"/>
    <w:rsid w:val="008E55A5"/>
    <w:rsid w:val="00B431BD"/>
    <w:rsid w:val="00BA3ABC"/>
    <w:rsid w:val="00DC37D6"/>
    <w:rsid w:val="00E97DD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D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8E55A5"/>
    <w:pPr>
      <w:widowControl w:val="0"/>
      <w:tabs>
        <w:tab w:val="left" w:pos="-720"/>
      </w:tabs>
      <w:suppressAutoHyphens/>
      <w:spacing w:after="0" w:line="240" w:lineRule="auto"/>
      <w:jc w:val="both"/>
    </w:pPr>
    <w:rPr>
      <w:rFonts w:ascii="Courier New" w:eastAsia="Times New Roman" w:hAnsi="Courier New" w:cs="Times New Roman"/>
      <w:snapToGrid w:val="0"/>
      <w:spacing w:val="-3"/>
      <w:sz w:val="24"/>
      <w:szCs w:val="20"/>
      <w:lang w:val="es-ES_tradnl" w:eastAsia="es-ES"/>
    </w:rPr>
  </w:style>
  <w:style w:type="character" w:customStyle="1" w:styleId="TextoindependienteCar">
    <w:name w:val="Texto independiente Car"/>
    <w:basedOn w:val="Fuentedeprrafopredeter"/>
    <w:link w:val="Textoindependiente"/>
    <w:semiHidden/>
    <w:rsid w:val="008E55A5"/>
    <w:rPr>
      <w:rFonts w:ascii="Courier New" w:eastAsia="Times New Roman" w:hAnsi="Courier New" w:cs="Times New Roman"/>
      <w:snapToGrid w:val="0"/>
      <w:spacing w:val="-3"/>
      <w:sz w:val="24"/>
      <w:szCs w:val="20"/>
      <w:lang w:val="es-ES_tradnl" w:eastAsia="es-ES"/>
    </w:rPr>
  </w:style>
  <w:style w:type="paragraph" w:styleId="Ttulo">
    <w:name w:val="Title"/>
    <w:basedOn w:val="Normal"/>
    <w:link w:val="TtuloCar"/>
    <w:qFormat/>
    <w:rsid w:val="008E55A5"/>
    <w:pPr>
      <w:tabs>
        <w:tab w:val="left" w:pos="-720"/>
      </w:tabs>
      <w:suppressAutoHyphens/>
      <w:spacing w:after="0" w:line="240" w:lineRule="auto"/>
      <w:jc w:val="center"/>
    </w:pPr>
    <w:rPr>
      <w:rFonts w:ascii="Arial" w:eastAsia="Times New Roman" w:hAnsi="Arial" w:cs="Times New Roman"/>
      <w:b/>
      <w:bCs/>
      <w:spacing w:val="-3"/>
      <w:sz w:val="24"/>
      <w:szCs w:val="24"/>
      <w:lang w:val="es-ES_tradnl" w:eastAsia="es-ES"/>
    </w:rPr>
  </w:style>
  <w:style w:type="character" w:customStyle="1" w:styleId="TtuloCar">
    <w:name w:val="Título Car"/>
    <w:basedOn w:val="Fuentedeprrafopredeter"/>
    <w:link w:val="Ttulo"/>
    <w:rsid w:val="008E55A5"/>
    <w:rPr>
      <w:rFonts w:ascii="Arial" w:eastAsia="Times New Roman" w:hAnsi="Arial" w:cs="Times New Roman"/>
      <w:b/>
      <w:bCs/>
      <w:spacing w:val="-3"/>
      <w:sz w:val="24"/>
      <w:szCs w:val="24"/>
      <w:lang w:val="es-ES_tradnl" w:eastAsia="es-ES"/>
    </w:rPr>
  </w:style>
  <w:style w:type="paragraph" w:styleId="Prrafodelista">
    <w:name w:val="List Paragraph"/>
    <w:basedOn w:val="Normal"/>
    <w:uiPriority w:val="34"/>
    <w:qFormat/>
    <w:rsid w:val="008E55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D7"/>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8E55A5"/>
    <w:pPr>
      <w:widowControl w:val="0"/>
      <w:tabs>
        <w:tab w:val="left" w:pos="-720"/>
      </w:tabs>
      <w:suppressAutoHyphens/>
      <w:spacing w:after="0" w:line="240" w:lineRule="auto"/>
      <w:jc w:val="both"/>
    </w:pPr>
    <w:rPr>
      <w:rFonts w:ascii="Courier New" w:eastAsia="Times New Roman" w:hAnsi="Courier New" w:cs="Times New Roman"/>
      <w:snapToGrid w:val="0"/>
      <w:spacing w:val="-3"/>
      <w:sz w:val="24"/>
      <w:szCs w:val="20"/>
      <w:lang w:val="es-ES_tradnl" w:eastAsia="es-ES"/>
    </w:rPr>
  </w:style>
  <w:style w:type="character" w:customStyle="1" w:styleId="TextoindependienteCar">
    <w:name w:val="Texto independiente Car"/>
    <w:basedOn w:val="Fuentedeprrafopredeter"/>
    <w:link w:val="Textoindependiente"/>
    <w:semiHidden/>
    <w:rsid w:val="008E55A5"/>
    <w:rPr>
      <w:rFonts w:ascii="Courier New" w:eastAsia="Times New Roman" w:hAnsi="Courier New" w:cs="Times New Roman"/>
      <w:snapToGrid w:val="0"/>
      <w:spacing w:val="-3"/>
      <w:sz w:val="24"/>
      <w:szCs w:val="20"/>
      <w:lang w:val="es-ES_tradnl" w:eastAsia="es-ES"/>
    </w:rPr>
  </w:style>
  <w:style w:type="paragraph" w:styleId="Ttulo">
    <w:name w:val="Title"/>
    <w:basedOn w:val="Normal"/>
    <w:link w:val="TtuloCar"/>
    <w:qFormat/>
    <w:rsid w:val="008E55A5"/>
    <w:pPr>
      <w:tabs>
        <w:tab w:val="left" w:pos="-720"/>
      </w:tabs>
      <w:suppressAutoHyphens/>
      <w:spacing w:after="0" w:line="240" w:lineRule="auto"/>
      <w:jc w:val="center"/>
    </w:pPr>
    <w:rPr>
      <w:rFonts w:ascii="Arial" w:eastAsia="Times New Roman" w:hAnsi="Arial" w:cs="Times New Roman"/>
      <w:b/>
      <w:bCs/>
      <w:spacing w:val="-3"/>
      <w:sz w:val="24"/>
      <w:szCs w:val="24"/>
      <w:lang w:val="es-ES_tradnl" w:eastAsia="es-ES"/>
    </w:rPr>
  </w:style>
  <w:style w:type="character" w:customStyle="1" w:styleId="TtuloCar">
    <w:name w:val="Título Car"/>
    <w:basedOn w:val="Fuentedeprrafopredeter"/>
    <w:link w:val="Ttulo"/>
    <w:rsid w:val="008E55A5"/>
    <w:rPr>
      <w:rFonts w:ascii="Arial" w:eastAsia="Times New Roman" w:hAnsi="Arial" w:cs="Times New Roman"/>
      <w:b/>
      <w:bCs/>
      <w:spacing w:val="-3"/>
      <w:sz w:val="24"/>
      <w:szCs w:val="24"/>
      <w:lang w:val="es-ES_tradnl" w:eastAsia="es-ES"/>
    </w:rPr>
  </w:style>
  <w:style w:type="paragraph" w:styleId="Prrafodelista">
    <w:name w:val="List Paragraph"/>
    <w:basedOn w:val="Normal"/>
    <w:uiPriority w:val="34"/>
    <w:qFormat/>
    <w:rsid w:val="008E5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1076</Words>
  <Characters>5919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2018-08-27T17:54:00Z</cp:lastPrinted>
  <dcterms:created xsi:type="dcterms:W3CDTF">2018-08-27T17:40:00Z</dcterms:created>
  <dcterms:modified xsi:type="dcterms:W3CDTF">2018-10-03T15:52:00Z</dcterms:modified>
</cp:coreProperties>
</file>