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020" w:rsidRPr="00786EEB" w:rsidRDefault="00027020" w:rsidP="00786EEB">
      <w:pPr>
        <w:tabs>
          <w:tab w:val="center" w:pos="4253"/>
        </w:tabs>
        <w:jc w:val="right"/>
        <w:rPr>
          <w:rFonts w:ascii="Arial" w:hAnsi="Arial" w:cs="Arial"/>
          <w:b/>
          <w:sz w:val="28"/>
          <w:szCs w:val="28"/>
          <w:lang w:val="es-ES_tradnl"/>
        </w:rPr>
      </w:pPr>
      <w:bookmarkStart w:id="0" w:name="_GoBack"/>
      <w:bookmarkEnd w:id="0"/>
      <w:r>
        <w:rPr>
          <w:rFonts w:ascii="Arial" w:hAnsi="Arial" w:cs="Arial"/>
          <w:b/>
          <w:sz w:val="28"/>
          <w:szCs w:val="28"/>
          <w:lang w:val="es-ES_tradnl"/>
        </w:rPr>
        <w:t>RES. 2593/18</w:t>
      </w:r>
    </w:p>
    <w:p w:rsidR="00027020" w:rsidRPr="00027020" w:rsidRDefault="00027020" w:rsidP="00027020">
      <w:pPr>
        <w:tabs>
          <w:tab w:val="center" w:pos="4253"/>
        </w:tabs>
        <w:spacing w:after="0" w:line="240" w:lineRule="auto"/>
        <w:jc w:val="center"/>
        <w:rPr>
          <w:rFonts w:ascii="Arial" w:hAnsi="Arial" w:cs="Arial"/>
          <w:b/>
          <w:sz w:val="24"/>
          <w:szCs w:val="24"/>
          <w:lang w:val="es-ES_tradnl"/>
        </w:rPr>
      </w:pPr>
      <w:r w:rsidRPr="00027020">
        <w:rPr>
          <w:rFonts w:ascii="Arial" w:hAnsi="Arial" w:cs="Arial"/>
          <w:b/>
          <w:sz w:val="24"/>
          <w:szCs w:val="24"/>
          <w:lang w:val="es-ES_tradnl"/>
        </w:rPr>
        <w:t>RESOLUCION ADOPTADA POR EL</w:t>
      </w:r>
    </w:p>
    <w:p w:rsidR="00027020" w:rsidRPr="00027020" w:rsidRDefault="00027020" w:rsidP="00027020">
      <w:pPr>
        <w:tabs>
          <w:tab w:val="left" w:pos="-720"/>
        </w:tabs>
        <w:spacing w:after="0" w:line="240" w:lineRule="auto"/>
        <w:jc w:val="center"/>
        <w:rPr>
          <w:rFonts w:ascii="Arial" w:hAnsi="Arial" w:cs="Arial"/>
          <w:b/>
          <w:sz w:val="24"/>
          <w:szCs w:val="24"/>
          <w:lang w:val="es-ES_tradnl"/>
        </w:rPr>
      </w:pPr>
    </w:p>
    <w:p w:rsidR="00027020" w:rsidRPr="00027020" w:rsidRDefault="00027020" w:rsidP="00027020">
      <w:pPr>
        <w:tabs>
          <w:tab w:val="center" w:pos="4253"/>
        </w:tabs>
        <w:spacing w:after="0" w:line="240" w:lineRule="auto"/>
        <w:jc w:val="center"/>
        <w:rPr>
          <w:rFonts w:ascii="Arial" w:hAnsi="Arial" w:cs="Arial"/>
          <w:b/>
          <w:sz w:val="24"/>
          <w:szCs w:val="24"/>
          <w:lang w:val="es-ES_tradnl"/>
        </w:rPr>
      </w:pPr>
      <w:r w:rsidRPr="00027020">
        <w:rPr>
          <w:rFonts w:ascii="Arial" w:hAnsi="Arial" w:cs="Arial"/>
          <w:b/>
          <w:sz w:val="24"/>
          <w:szCs w:val="24"/>
          <w:lang w:val="es-ES_tradnl"/>
        </w:rPr>
        <w:t>TRIBUNAL DE CUENTAS</w:t>
      </w:r>
    </w:p>
    <w:p w:rsidR="00027020" w:rsidRPr="00027020" w:rsidRDefault="00027020" w:rsidP="00027020">
      <w:pPr>
        <w:tabs>
          <w:tab w:val="left" w:pos="-720"/>
        </w:tabs>
        <w:spacing w:after="0" w:line="240" w:lineRule="auto"/>
        <w:jc w:val="center"/>
        <w:rPr>
          <w:rFonts w:ascii="Arial" w:hAnsi="Arial" w:cs="Arial"/>
          <w:b/>
          <w:sz w:val="24"/>
          <w:szCs w:val="24"/>
          <w:lang w:val="es-ES_tradnl"/>
        </w:rPr>
      </w:pPr>
    </w:p>
    <w:p w:rsidR="00027020" w:rsidRPr="00027020" w:rsidRDefault="00027020" w:rsidP="00027020">
      <w:pPr>
        <w:tabs>
          <w:tab w:val="center" w:pos="4253"/>
        </w:tabs>
        <w:spacing w:after="0" w:line="240" w:lineRule="auto"/>
        <w:jc w:val="center"/>
        <w:rPr>
          <w:rFonts w:ascii="Arial" w:hAnsi="Arial" w:cs="Arial"/>
          <w:b/>
          <w:sz w:val="24"/>
          <w:szCs w:val="24"/>
          <w:lang w:val="es-ES_tradnl"/>
        </w:rPr>
      </w:pPr>
      <w:r w:rsidRPr="00027020">
        <w:rPr>
          <w:rFonts w:ascii="Arial" w:hAnsi="Arial" w:cs="Arial"/>
          <w:b/>
          <w:sz w:val="24"/>
          <w:szCs w:val="24"/>
          <w:lang w:val="es-ES_tradnl"/>
        </w:rPr>
        <w:t xml:space="preserve">EN SESION DE FECHA 15 DE AGOSTO </w:t>
      </w:r>
      <w:r w:rsidRPr="00027020">
        <w:rPr>
          <w:rFonts w:ascii="Helvetica" w:hAnsi="Helvetica"/>
          <w:b/>
          <w:sz w:val="24"/>
          <w:szCs w:val="24"/>
          <w:lang w:val="es-ES_tradnl"/>
        </w:rPr>
        <w:t>DE 2018</w:t>
      </w:r>
    </w:p>
    <w:p w:rsidR="00027020" w:rsidRPr="00027020" w:rsidRDefault="00027020" w:rsidP="00027020">
      <w:pPr>
        <w:tabs>
          <w:tab w:val="center" w:pos="4253"/>
        </w:tabs>
        <w:spacing w:after="0" w:line="240" w:lineRule="auto"/>
        <w:jc w:val="center"/>
        <w:rPr>
          <w:rFonts w:ascii="Arial" w:hAnsi="Arial" w:cs="Arial"/>
          <w:b/>
          <w:sz w:val="24"/>
          <w:szCs w:val="24"/>
          <w:lang w:val="es-ES_tradnl"/>
        </w:rPr>
      </w:pPr>
    </w:p>
    <w:p w:rsidR="00027020" w:rsidRPr="00092F68" w:rsidRDefault="00027020">
      <w:pPr>
        <w:tabs>
          <w:tab w:val="center" w:pos="4253"/>
        </w:tabs>
        <w:jc w:val="center"/>
        <w:rPr>
          <w:rFonts w:ascii="Arial" w:hAnsi="Arial" w:cs="Arial"/>
          <w:b/>
          <w:sz w:val="24"/>
          <w:szCs w:val="24"/>
        </w:rPr>
      </w:pPr>
      <w:r w:rsidRPr="00092F68">
        <w:rPr>
          <w:rFonts w:ascii="Arial" w:hAnsi="Arial" w:cs="Arial"/>
          <w:b/>
          <w:sz w:val="24"/>
          <w:szCs w:val="24"/>
        </w:rPr>
        <w:t xml:space="preserve">(E. E. Nº 2016-17-1-0007289, </w:t>
      </w:r>
      <w:proofErr w:type="spellStart"/>
      <w:r w:rsidRPr="00092F68">
        <w:rPr>
          <w:rFonts w:ascii="Arial" w:hAnsi="Arial" w:cs="Arial"/>
          <w:b/>
          <w:sz w:val="24"/>
          <w:szCs w:val="24"/>
        </w:rPr>
        <w:t>Ent</w:t>
      </w:r>
      <w:proofErr w:type="spellEnd"/>
      <w:r w:rsidRPr="00092F68">
        <w:rPr>
          <w:rFonts w:ascii="Arial" w:hAnsi="Arial" w:cs="Arial"/>
          <w:b/>
          <w:sz w:val="24"/>
          <w:szCs w:val="24"/>
        </w:rPr>
        <w:t>. N° 5659/16)</w:t>
      </w:r>
    </w:p>
    <w:p w:rsidR="00027020" w:rsidRDefault="004F4080" w:rsidP="00027020">
      <w:pPr>
        <w:spacing w:after="0" w:line="360" w:lineRule="auto"/>
        <w:ind w:firstLine="851"/>
        <w:jc w:val="both"/>
        <w:textAlignment w:val="baseline"/>
        <w:rPr>
          <w:rFonts w:ascii="Arial" w:eastAsia="Lucida Sans Unicode" w:hAnsi="Arial" w:cs="Arial"/>
          <w:iCs/>
          <w:kern w:val="2"/>
          <w:sz w:val="24"/>
          <w:szCs w:val="24"/>
          <w:lang w:eastAsia="en-US"/>
        </w:rPr>
      </w:pPr>
      <w:r w:rsidRPr="00DB4DF6">
        <w:rPr>
          <w:rFonts w:ascii="Arial" w:eastAsia="Lucida Sans Unicode" w:hAnsi="Arial" w:cs="Arial"/>
          <w:b/>
          <w:iCs/>
          <w:kern w:val="2"/>
          <w:sz w:val="24"/>
          <w:szCs w:val="24"/>
          <w:lang w:eastAsia="en-US"/>
        </w:rPr>
        <w:t>VISTO</w:t>
      </w:r>
      <w:r w:rsidR="00A96660" w:rsidRPr="00723C14">
        <w:rPr>
          <w:rFonts w:ascii="Arial" w:eastAsia="Lucida Sans Unicode" w:hAnsi="Arial" w:cs="Arial"/>
          <w:b/>
          <w:iCs/>
          <w:kern w:val="2"/>
          <w:sz w:val="24"/>
          <w:szCs w:val="24"/>
          <w:lang w:eastAsia="en-US"/>
        </w:rPr>
        <w:t>:</w:t>
      </w:r>
      <w:r w:rsidR="00A96660" w:rsidRPr="00A1356F">
        <w:rPr>
          <w:rFonts w:ascii="Arial" w:eastAsia="Lucida Sans Unicode" w:hAnsi="Arial" w:cs="Arial"/>
          <w:iCs/>
          <w:kern w:val="2"/>
          <w:sz w:val="24"/>
          <w:szCs w:val="24"/>
          <w:lang w:eastAsia="en-US"/>
        </w:rPr>
        <w:t xml:space="preserve"> </w:t>
      </w:r>
      <w:r w:rsidR="00A96660">
        <w:rPr>
          <w:rFonts w:ascii="Arial" w:eastAsia="Lucida Sans Unicode" w:hAnsi="Arial" w:cs="Arial"/>
          <w:iCs/>
          <w:kern w:val="2"/>
          <w:sz w:val="24"/>
          <w:szCs w:val="24"/>
          <w:lang w:eastAsia="en-US"/>
        </w:rPr>
        <w:t>el</w:t>
      </w:r>
      <w:r w:rsidR="00B96FA4">
        <w:rPr>
          <w:rFonts w:ascii="Arial" w:eastAsia="Lucida Sans Unicode" w:hAnsi="Arial" w:cs="Arial"/>
          <w:iCs/>
          <w:kern w:val="2"/>
          <w:sz w:val="24"/>
          <w:szCs w:val="24"/>
          <w:lang w:eastAsia="en-US"/>
        </w:rPr>
        <w:t xml:space="preserve"> Oficio</w:t>
      </w:r>
      <w:r w:rsidRPr="00A1356F">
        <w:rPr>
          <w:rFonts w:ascii="Arial" w:eastAsia="Lucida Sans Unicode" w:hAnsi="Arial" w:cs="Arial"/>
          <w:iCs/>
          <w:kern w:val="2"/>
          <w:sz w:val="24"/>
          <w:szCs w:val="24"/>
          <w:lang w:eastAsia="en-US"/>
        </w:rPr>
        <w:t xml:space="preserve"> de  la  </w:t>
      </w:r>
      <w:r w:rsidR="00FA39E2">
        <w:rPr>
          <w:rFonts w:ascii="Arial" w:eastAsia="Lucida Sans Unicode" w:hAnsi="Arial" w:cs="Arial"/>
          <w:iCs/>
          <w:kern w:val="2"/>
          <w:sz w:val="24"/>
          <w:szCs w:val="24"/>
          <w:lang w:eastAsia="en-US"/>
        </w:rPr>
        <w:t>Intendencia</w:t>
      </w:r>
      <w:r w:rsidRPr="00A1356F">
        <w:rPr>
          <w:rFonts w:ascii="Arial" w:eastAsia="Lucida Sans Unicode" w:hAnsi="Arial" w:cs="Arial"/>
          <w:iCs/>
          <w:kern w:val="2"/>
          <w:sz w:val="24"/>
          <w:szCs w:val="24"/>
          <w:lang w:eastAsia="en-US"/>
        </w:rPr>
        <w:t xml:space="preserve">  de</w:t>
      </w:r>
      <w:r>
        <w:rPr>
          <w:rFonts w:ascii="Arial" w:eastAsia="Lucida Sans Unicode" w:hAnsi="Arial" w:cs="Arial"/>
          <w:iCs/>
          <w:kern w:val="2"/>
          <w:sz w:val="24"/>
          <w:szCs w:val="24"/>
          <w:lang w:eastAsia="en-US"/>
        </w:rPr>
        <w:t xml:space="preserve">  </w:t>
      </w:r>
      <w:r w:rsidR="00B96FA4">
        <w:rPr>
          <w:rFonts w:ascii="Arial" w:eastAsia="Lucida Sans Unicode" w:hAnsi="Arial" w:cs="Arial"/>
          <w:iCs/>
          <w:kern w:val="2"/>
          <w:sz w:val="24"/>
          <w:szCs w:val="24"/>
          <w:lang w:eastAsia="en-US"/>
        </w:rPr>
        <w:t>Treinta y Tres</w:t>
      </w:r>
      <w:r>
        <w:rPr>
          <w:rFonts w:ascii="Arial" w:eastAsia="Lucida Sans Unicode" w:hAnsi="Arial" w:cs="Arial"/>
          <w:iCs/>
          <w:kern w:val="2"/>
          <w:sz w:val="24"/>
          <w:szCs w:val="24"/>
          <w:lang w:eastAsia="en-US"/>
        </w:rPr>
        <w:t xml:space="preserve"> Nº</w:t>
      </w:r>
      <w:r w:rsidR="00B96FA4">
        <w:rPr>
          <w:rFonts w:ascii="Arial" w:eastAsia="Lucida Sans Unicode" w:hAnsi="Arial" w:cs="Arial"/>
          <w:iCs/>
          <w:kern w:val="2"/>
          <w:sz w:val="24"/>
          <w:szCs w:val="24"/>
          <w:lang w:eastAsia="en-US"/>
        </w:rPr>
        <w:t xml:space="preserve"> </w:t>
      </w:r>
      <w:r w:rsidR="00FA39E2">
        <w:rPr>
          <w:rFonts w:ascii="Arial" w:eastAsia="Lucida Sans Unicode" w:hAnsi="Arial" w:cs="Arial"/>
          <w:iCs/>
          <w:kern w:val="2"/>
          <w:sz w:val="24"/>
          <w:szCs w:val="24"/>
          <w:lang w:eastAsia="en-US"/>
        </w:rPr>
        <w:t>245</w:t>
      </w:r>
      <w:r>
        <w:rPr>
          <w:rFonts w:ascii="Arial" w:eastAsia="Lucida Sans Unicode" w:hAnsi="Arial" w:cs="Arial"/>
          <w:iCs/>
          <w:kern w:val="2"/>
          <w:sz w:val="24"/>
          <w:szCs w:val="24"/>
          <w:lang w:eastAsia="en-US"/>
        </w:rPr>
        <w:t>/201</w:t>
      </w:r>
      <w:r w:rsidR="00FA39E2">
        <w:rPr>
          <w:rFonts w:ascii="Arial" w:eastAsia="Lucida Sans Unicode" w:hAnsi="Arial" w:cs="Arial"/>
          <w:iCs/>
          <w:kern w:val="2"/>
          <w:sz w:val="24"/>
          <w:szCs w:val="24"/>
          <w:lang w:eastAsia="en-US"/>
        </w:rPr>
        <w:t>6</w:t>
      </w:r>
      <w:r>
        <w:rPr>
          <w:rFonts w:ascii="Arial" w:eastAsia="Lucida Sans Unicode" w:hAnsi="Arial" w:cs="Arial"/>
          <w:iCs/>
          <w:kern w:val="2"/>
          <w:sz w:val="24"/>
          <w:szCs w:val="24"/>
          <w:lang w:eastAsia="en-US"/>
        </w:rPr>
        <w:t xml:space="preserve"> de fecha </w:t>
      </w:r>
      <w:r w:rsidR="00FA39E2">
        <w:rPr>
          <w:rFonts w:ascii="Arial" w:eastAsia="Lucida Sans Unicode" w:hAnsi="Arial" w:cs="Arial"/>
          <w:iCs/>
          <w:kern w:val="2"/>
          <w:sz w:val="24"/>
          <w:szCs w:val="24"/>
          <w:lang w:eastAsia="en-US"/>
        </w:rPr>
        <w:t>20</w:t>
      </w:r>
      <w:r>
        <w:rPr>
          <w:rFonts w:ascii="Arial" w:eastAsia="Lucida Sans Unicode" w:hAnsi="Arial" w:cs="Arial"/>
          <w:iCs/>
          <w:kern w:val="2"/>
          <w:sz w:val="24"/>
          <w:szCs w:val="24"/>
          <w:lang w:eastAsia="en-US"/>
        </w:rPr>
        <w:t>/</w:t>
      </w:r>
      <w:r w:rsidR="00FA39E2">
        <w:rPr>
          <w:rFonts w:ascii="Arial" w:eastAsia="Lucida Sans Unicode" w:hAnsi="Arial" w:cs="Arial"/>
          <w:iCs/>
          <w:kern w:val="2"/>
          <w:sz w:val="24"/>
          <w:szCs w:val="24"/>
          <w:lang w:eastAsia="en-US"/>
        </w:rPr>
        <w:t>10</w:t>
      </w:r>
      <w:r w:rsidRPr="00A1356F">
        <w:rPr>
          <w:rFonts w:ascii="Arial" w:eastAsia="Lucida Sans Unicode" w:hAnsi="Arial" w:cs="Arial"/>
          <w:iCs/>
          <w:kern w:val="2"/>
          <w:sz w:val="24"/>
          <w:szCs w:val="24"/>
          <w:lang w:eastAsia="en-US"/>
        </w:rPr>
        <w:t>/201</w:t>
      </w:r>
      <w:r w:rsidR="00FA39E2">
        <w:rPr>
          <w:rFonts w:ascii="Arial" w:eastAsia="Lucida Sans Unicode" w:hAnsi="Arial" w:cs="Arial"/>
          <w:iCs/>
          <w:kern w:val="2"/>
          <w:sz w:val="24"/>
          <w:szCs w:val="24"/>
          <w:lang w:eastAsia="en-US"/>
        </w:rPr>
        <w:t>6</w:t>
      </w:r>
      <w:r w:rsidR="00027020">
        <w:rPr>
          <w:rFonts w:ascii="Arial" w:eastAsia="Lucida Sans Unicode" w:hAnsi="Arial" w:cs="Arial"/>
          <w:iCs/>
          <w:kern w:val="2"/>
          <w:sz w:val="24"/>
          <w:szCs w:val="24"/>
          <w:lang w:eastAsia="en-US"/>
        </w:rPr>
        <w:t xml:space="preserve"> por el</w:t>
      </w:r>
      <w:r w:rsidRPr="00A1356F">
        <w:rPr>
          <w:rFonts w:ascii="Arial" w:eastAsia="Lucida Sans Unicode" w:hAnsi="Arial" w:cs="Arial"/>
          <w:iCs/>
          <w:kern w:val="2"/>
          <w:sz w:val="24"/>
          <w:szCs w:val="24"/>
          <w:lang w:eastAsia="en-US"/>
        </w:rPr>
        <w:t xml:space="preserve"> que solicitó </w:t>
      </w:r>
      <w:r w:rsidR="00FA39E2">
        <w:rPr>
          <w:rFonts w:ascii="Arial" w:eastAsia="Lucida Sans Unicode" w:hAnsi="Arial" w:cs="Arial"/>
          <w:iCs/>
          <w:kern w:val="2"/>
          <w:sz w:val="24"/>
          <w:szCs w:val="24"/>
          <w:lang w:eastAsia="en-US"/>
        </w:rPr>
        <w:t xml:space="preserve">una Auditoría e Intervención </w:t>
      </w:r>
      <w:r w:rsidRPr="00A1356F">
        <w:rPr>
          <w:rFonts w:ascii="Arial" w:eastAsia="Lucida Sans Unicode" w:hAnsi="Arial" w:cs="Arial"/>
          <w:iCs/>
          <w:kern w:val="2"/>
          <w:sz w:val="24"/>
          <w:szCs w:val="24"/>
          <w:lang w:eastAsia="en-US"/>
        </w:rPr>
        <w:t xml:space="preserve">de este Tribunal </w:t>
      </w:r>
      <w:r w:rsidR="00FA39E2">
        <w:rPr>
          <w:rFonts w:ascii="Arial" w:eastAsia="Lucida Sans Unicode" w:hAnsi="Arial" w:cs="Arial"/>
          <w:iCs/>
          <w:kern w:val="2"/>
          <w:sz w:val="24"/>
          <w:szCs w:val="24"/>
          <w:lang w:eastAsia="en-US"/>
        </w:rPr>
        <w:t xml:space="preserve">en el área de Tributos de </w:t>
      </w:r>
      <w:r w:rsidR="00A96660">
        <w:rPr>
          <w:rFonts w:ascii="Arial" w:eastAsia="Lucida Sans Unicode" w:hAnsi="Arial" w:cs="Arial"/>
          <w:iCs/>
          <w:kern w:val="2"/>
          <w:sz w:val="24"/>
          <w:szCs w:val="24"/>
          <w:lang w:eastAsia="en-US"/>
        </w:rPr>
        <w:t>la misma</w:t>
      </w:r>
      <w:r w:rsidR="00FA39E2">
        <w:rPr>
          <w:rFonts w:ascii="Arial" w:eastAsia="Lucida Sans Unicode" w:hAnsi="Arial" w:cs="Arial"/>
          <w:iCs/>
          <w:kern w:val="2"/>
          <w:sz w:val="24"/>
          <w:szCs w:val="24"/>
          <w:lang w:eastAsia="en-US"/>
        </w:rPr>
        <w:t xml:space="preserve"> desde el 01/01/2015 hasta el </w:t>
      </w:r>
      <w:r w:rsidR="00A96660">
        <w:rPr>
          <w:rFonts w:ascii="Arial" w:eastAsia="Lucida Sans Unicode" w:hAnsi="Arial" w:cs="Arial"/>
          <w:iCs/>
          <w:kern w:val="2"/>
          <w:sz w:val="24"/>
          <w:szCs w:val="24"/>
          <w:lang w:eastAsia="en-US"/>
        </w:rPr>
        <w:t xml:space="preserve">20/10/2016 </w:t>
      </w:r>
      <w:r w:rsidRPr="00A1356F">
        <w:rPr>
          <w:rFonts w:ascii="Arial" w:eastAsia="Lucida Sans Unicode" w:hAnsi="Arial" w:cs="Arial"/>
          <w:iCs/>
          <w:kern w:val="2"/>
          <w:sz w:val="24"/>
          <w:szCs w:val="24"/>
          <w:lang w:eastAsia="en-US"/>
        </w:rPr>
        <w:t>para inform</w:t>
      </w:r>
      <w:r w:rsidR="00873166">
        <w:rPr>
          <w:rFonts w:ascii="Arial" w:eastAsia="Lucida Sans Unicode" w:hAnsi="Arial" w:cs="Arial"/>
          <w:iCs/>
          <w:kern w:val="2"/>
          <w:sz w:val="24"/>
          <w:szCs w:val="24"/>
          <w:lang w:eastAsia="en-US"/>
        </w:rPr>
        <w:t>ar</w:t>
      </w:r>
      <w:r w:rsidRPr="00A1356F">
        <w:rPr>
          <w:rFonts w:ascii="Arial" w:eastAsia="Lucida Sans Unicode" w:hAnsi="Arial" w:cs="Arial"/>
          <w:iCs/>
          <w:kern w:val="2"/>
          <w:sz w:val="24"/>
          <w:szCs w:val="24"/>
          <w:lang w:eastAsia="en-US"/>
        </w:rPr>
        <w:t xml:space="preserve"> sobre l</w:t>
      </w:r>
      <w:r w:rsidR="00A96660">
        <w:rPr>
          <w:rFonts w:ascii="Arial" w:eastAsia="Lucida Sans Unicode" w:hAnsi="Arial" w:cs="Arial"/>
          <w:iCs/>
          <w:kern w:val="2"/>
          <w:sz w:val="24"/>
          <w:szCs w:val="24"/>
          <w:lang w:eastAsia="en-US"/>
        </w:rPr>
        <w:t>os presuntos ilícitos ocurridos en es</w:t>
      </w:r>
      <w:r w:rsidRPr="00A1356F">
        <w:rPr>
          <w:rFonts w:ascii="Arial" w:eastAsia="Lucida Sans Unicode" w:hAnsi="Arial" w:cs="Arial"/>
          <w:iCs/>
          <w:kern w:val="2"/>
          <w:sz w:val="24"/>
          <w:szCs w:val="24"/>
          <w:lang w:eastAsia="en-US"/>
        </w:rPr>
        <w:t xml:space="preserve">a </w:t>
      </w:r>
      <w:r w:rsidR="00A96660">
        <w:rPr>
          <w:rFonts w:ascii="Arial" w:eastAsia="Lucida Sans Unicode" w:hAnsi="Arial" w:cs="Arial"/>
          <w:iCs/>
          <w:kern w:val="2"/>
          <w:sz w:val="24"/>
          <w:szCs w:val="24"/>
          <w:lang w:eastAsia="en-US"/>
        </w:rPr>
        <w:t>dependencia</w:t>
      </w:r>
      <w:r w:rsidRPr="00A1356F">
        <w:rPr>
          <w:rFonts w:ascii="Arial" w:eastAsia="Lucida Sans Unicode" w:hAnsi="Arial" w:cs="Arial"/>
          <w:iCs/>
          <w:kern w:val="2"/>
          <w:sz w:val="24"/>
          <w:szCs w:val="24"/>
          <w:lang w:eastAsia="en-US"/>
        </w:rPr>
        <w:t>;</w:t>
      </w:r>
    </w:p>
    <w:p w:rsidR="00027020" w:rsidRDefault="0096396E" w:rsidP="00027020">
      <w:pPr>
        <w:spacing w:after="0" w:line="360" w:lineRule="auto"/>
        <w:ind w:firstLine="851"/>
        <w:jc w:val="both"/>
        <w:textAlignment w:val="baseline"/>
        <w:rPr>
          <w:rFonts w:ascii="Arial" w:hAnsi="Arial" w:cs="Arial"/>
          <w:sz w:val="24"/>
          <w:szCs w:val="24"/>
          <w:lang w:val="es-ES"/>
        </w:rPr>
      </w:pPr>
      <w:r w:rsidRPr="009A1F80">
        <w:rPr>
          <w:rFonts w:ascii="Arial" w:hAnsi="Arial" w:cs="Arial"/>
          <w:b/>
          <w:sz w:val="24"/>
          <w:szCs w:val="24"/>
          <w:lang w:val="es-ES"/>
        </w:rPr>
        <w:t xml:space="preserve">RESULTANDO: </w:t>
      </w:r>
      <w:r w:rsidRPr="009A1F80">
        <w:rPr>
          <w:rFonts w:ascii="Arial" w:hAnsi="Arial" w:cs="Arial"/>
          <w:sz w:val="24"/>
          <w:szCs w:val="24"/>
          <w:lang w:val="es-ES"/>
        </w:rPr>
        <w:t xml:space="preserve">que el examen se efectuó aplicando en lo pertinente, los Principios Fundamentales de Auditoría </w:t>
      </w:r>
      <w:r w:rsidRPr="009A1F80">
        <w:rPr>
          <w:rFonts w:ascii="Arial" w:hAnsi="Arial" w:cs="Arial"/>
          <w:kern w:val="1"/>
          <w:sz w:val="24"/>
          <w:szCs w:val="20"/>
          <w:lang w:val="es-ES"/>
        </w:rPr>
        <w:t>(ISSAI 100) de la Organización Internacional de Entidades Fiscalizadoras Superiores (INTOSAI)</w:t>
      </w:r>
      <w:r w:rsidRPr="009A1F80">
        <w:rPr>
          <w:rFonts w:ascii="Arial" w:hAnsi="Arial" w:cs="Arial"/>
          <w:sz w:val="24"/>
          <w:szCs w:val="24"/>
          <w:lang w:val="es-ES"/>
        </w:rPr>
        <w:t>, habiéndose llevado a cabo los procedimientos considerados necesarios en las circunstancias;</w:t>
      </w:r>
    </w:p>
    <w:p w:rsidR="0096396E" w:rsidRDefault="0096396E" w:rsidP="00027020">
      <w:pPr>
        <w:spacing w:after="0" w:line="360" w:lineRule="auto"/>
        <w:ind w:firstLine="851"/>
        <w:jc w:val="both"/>
        <w:textAlignment w:val="baseline"/>
        <w:rPr>
          <w:rFonts w:ascii="Arial" w:hAnsi="Arial" w:cs="Arial"/>
          <w:sz w:val="24"/>
          <w:szCs w:val="24"/>
        </w:rPr>
      </w:pPr>
      <w:r w:rsidRPr="009A1F80">
        <w:rPr>
          <w:rFonts w:ascii="Arial" w:hAnsi="Arial" w:cs="Arial"/>
          <w:b/>
          <w:sz w:val="24"/>
          <w:szCs w:val="24"/>
          <w:lang w:val="es-MX"/>
        </w:rPr>
        <w:t xml:space="preserve">CONSIDERANDO: </w:t>
      </w:r>
      <w:r w:rsidRPr="009A1F80">
        <w:rPr>
          <w:rFonts w:ascii="Arial" w:hAnsi="Arial" w:cs="Arial"/>
          <w:sz w:val="24"/>
          <w:szCs w:val="24"/>
        </w:rPr>
        <w:t>que las conclusiones y evidencias obtenidas son las que se expresan en el Informe de Auditoría, las cuales están suficiente</w:t>
      </w:r>
      <w:r w:rsidR="00027020">
        <w:rPr>
          <w:rFonts w:ascii="Arial" w:hAnsi="Arial" w:cs="Arial"/>
          <w:sz w:val="24"/>
          <w:szCs w:val="24"/>
        </w:rPr>
        <w:softHyphen/>
      </w:r>
      <w:r w:rsidRPr="009A1F80">
        <w:rPr>
          <w:rFonts w:ascii="Arial" w:hAnsi="Arial" w:cs="Arial"/>
          <w:sz w:val="24"/>
          <w:szCs w:val="24"/>
        </w:rPr>
        <w:t>mente documentadas;</w:t>
      </w:r>
    </w:p>
    <w:p w:rsidR="0096396E" w:rsidRDefault="0096396E" w:rsidP="00027020">
      <w:pPr>
        <w:spacing w:after="0" w:line="360" w:lineRule="auto"/>
        <w:ind w:firstLine="851"/>
        <w:jc w:val="both"/>
        <w:rPr>
          <w:rFonts w:ascii="Arial" w:hAnsi="Arial" w:cs="Arial"/>
          <w:sz w:val="24"/>
          <w:szCs w:val="24"/>
        </w:rPr>
      </w:pPr>
      <w:r w:rsidRPr="009A1F80">
        <w:rPr>
          <w:rFonts w:ascii="Arial" w:hAnsi="Arial" w:cs="Arial"/>
          <w:b/>
          <w:sz w:val="24"/>
          <w:szCs w:val="24"/>
          <w:lang w:val="es-ES"/>
        </w:rPr>
        <w:t xml:space="preserve">ATENTO: </w:t>
      </w:r>
      <w:r w:rsidRPr="009A1F80">
        <w:rPr>
          <w:rFonts w:ascii="Arial" w:hAnsi="Arial" w:cs="Arial"/>
          <w:color w:val="000000"/>
          <w:sz w:val="24"/>
          <w:szCs w:val="24"/>
          <w:lang w:val="es-ES"/>
        </w:rPr>
        <w:t>a lo dispuesto por el Artículo 211 Literales C) y E) de la Constitución de la República y Artículo 111 del TOCAF</w:t>
      </w:r>
      <w:r w:rsidRPr="009A1F80">
        <w:rPr>
          <w:rFonts w:ascii="Arial" w:hAnsi="Arial" w:cs="Arial"/>
          <w:sz w:val="24"/>
          <w:szCs w:val="24"/>
        </w:rPr>
        <w:t>;</w:t>
      </w:r>
    </w:p>
    <w:p w:rsidR="004F4080" w:rsidRPr="009A5EB6" w:rsidRDefault="004F4080" w:rsidP="00027020">
      <w:pPr>
        <w:spacing w:after="0" w:line="360" w:lineRule="auto"/>
        <w:jc w:val="center"/>
        <w:textAlignment w:val="baseline"/>
        <w:rPr>
          <w:rFonts w:ascii="Arial" w:eastAsia="Lucida Sans Unicode" w:hAnsi="Arial" w:cs="Arial"/>
          <w:b/>
          <w:iCs/>
          <w:kern w:val="2"/>
          <w:sz w:val="24"/>
          <w:szCs w:val="24"/>
          <w:lang w:eastAsia="en-US"/>
        </w:rPr>
      </w:pPr>
      <w:r w:rsidRPr="009A5EB6">
        <w:rPr>
          <w:rFonts w:ascii="Arial" w:eastAsia="Lucida Sans Unicode" w:hAnsi="Arial" w:cs="Arial"/>
          <w:b/>
          <w:iCs/>
          <w:kern w:val="2"/>
          <w:sz w:val="24"/>
          <w:szCs w:val="24"/>
          <w:lang w:eastAsia="en-US"/>
        </w:rPr>
        <w:t>EL TRIBUNAL ACUERDA</w:t>
      </w:r>
    </w:p>
    <w:p w:rsidR="007E4A4D" w:rsidRPr="00D91818" w:rsidRDefault="004F4080" w:rsidP="00027020">
      <w:pPr>
        <w:pStyle w:val="Prrafodelista"/>
        <w:numPr>
          <w:ilvl w:val="0"/>
          <w:numId w:val="1"/>
        </w:numPr>
        <w:tabs>
          <w:tab w:val="left" w:pos="284"/>
        </w:tabs>
        <w:spacing w:after="0" w:line="360" w:lineRule="auto"/>
        <w:ind w:left="0" w:firstLine="0"/>
        <w:jc w:val="both"/>
        <w:textAlignment w:val="baseline"/>
        <w:rPr>
          <w:rFonts w:ascii="Arial" w:eastAsia="Lucida Sans Unicode" w:hAnsi="Arial" w:cs="Arial"/>
          <w:iCs/>
          <w:kern w:val="2"/>
          <w:sz w:val="24"/>
          <w:szCs w:val="24"/>
          <w:lang w:eastAsia="en-US"/>
        </w:rPr>
      </w:pPr>
      <w:r w:rsidRPr="00D91818">
        <w:rPr>
          <w:rFonts w:ascii="Arial" w:eastAsia="Lucida Sans Unicode" w:hAnsi="Arial" w:cs="Arial"/>
          <w:iCs/>
          <w:kern w:val="2"/>
          <w:sz w:val="24"/>
          <w:szCs w:val="24"/>
          <w:lang w:eastAsia="en-US"/>
        </w:rPr>
        <w:t>Aprobar el Informe que se adjunta</w:t>
      </w:r>
      <w:r w:rsidR="00027020">
        <w:rPr>
          <w:rFonts w:ascii="Arial" w:eastAsia="Lucida Sans Unicode" w:hAnsi="Arial" w:cs="Arial"/>
          <w:iCs/>
          <w:kern w:val="2"/>
          <w:sz w:val="24"/>
          <w:szCs w:val="24"/>
          <w:lang w:eastAsia="en-US"/>
        </w:rPr>
        <w:t>;</w:t>
      </w:r>
    </w:p>
    <w:p w:rsidR="00D93D49" w:rsidRDefault="004F4080" w:rsidP="00027020">
      <w:pPr>
        <w:pStyle w:val="Prrafodelista"/>
        <w:numPr>
          <w:ilvl w:val="0"/>
          <w:numId w:val="1"/>
        </w:numPr>
        <w:tabs>
          <w:tab w:val="left" w:pos="284"/>
        </w:tabs>
        <w:spacing w:after="0" w:line="360" w:lineRule="auto"/>
        <w:ind w:left="284" w:hanging="284"/>
        <w:jc w:val="both"/>
        <w:textAlignment w:val="baseline"/>
        <w:rPr>
          <w:rFonts w:ascii="Arial" w:eastAsia="Lucida Sans Unicode" w:hAnsi="Arial" w:cs="Arial"/>
          <w:iCs/>
          <w:kern w:val="2"/>
          <w:sz w:val="24"/>
          <w:szCs w:val="24"/>
          <w:lang w:eastAsia="en-US"/>
        </w:rPr>
      </w:pPr>
      <w:r w:rsidRPr="007E4A4D">
        <w:rPr>
          <w:rFonts w:ascii="Arial" w:eastAsia="Lucida Sans Unicode" w:hAnsi="Arial" w:cs="Arial"/>
          <w:iCs/>
          <w:kern w:val="2"/>
          <w:sz w:val="24"/>
          <w:szCs w:val="24"/>
          <w:lang w:eastAsia="en-US"/>
        </w:rPr>
        <w:t xml:space="preserve">Comunicar la presente Resolución a la Junta Departamental </w:t>
      </w:r>
      <w:r w:rsidR="00A96660" w:rsidRPr="007E4A4D">
        <w:rPr>
          <w:rFonts w:ascii="Arial" w:eastAsia="Lucida Sans Unicode" w:hAnsi="Arial" w:cs="Arial"/>
          <w:iCs/>
          <w:kern w:val="2"/>
          <w:sz w:val="24"/>
          <w:szCs w:val="24"/>
          <w:lang w:eastAsia="en-US"/>
        </w:rPr>
        <w:t>y</w:t>
      </w:r>
      <w:r w:rsidR="00181689">
        <w:rPr>
          <w:rFonts w:ascii="Arial" w:eastAsia="Lucida Sans Unicode" w:hAnsi="Arial" w:cs="Arial"/>
          <w:iCs/>
          <w:kern w:val="2"/>
          <w:sz w:val="24"/>
          <w:szCs w:val="24"/>
          <w:lang w:eastAsia="en-US"/>
        </w:rPr>
        <w:t xml:space="preserve"> a la </w:t>
      </w:r>
      <w:r w:rsidR="009A5EB6" w:rsidRPr="007E4A4D">
        <w:rPr>
          <w:rFonts w:ascii="Arial" w:eastAsia="Lucida Sans Unicode" w:hAnsi="Arial" w:cs="Arial"/>
          <w:iCs/>
          <w:kern w:val="2"/>
          <w:sz w:val="24"/>
          <w:szCs w:val="24"/>
          <w:lang w:eastAsia="en-US"/>
        </w:rPr>
        <w:t>Intendencia</w:t>
      </w:r>
      <w:r w:rsidR="00027020">
        <w:rPr>
          <w:rFonts w:ascii="Arial" w:eastAsia="Lucida Sans Unicode" w:hAnsi="Arial" w:cs="Arial"/>
          <w:iCs/>
          <w:kern w:val="2"/>
          <w:sz w:val="24"/>
          <w:szCs w:val="24"/>
          <w:lang w:eastAsia="en-US"/>
        </w:rPr>
        <w:t xml:space="preserve"> de Treinta y Tres;</w:t>
      </w:r>
    </w:p>
    <w:p w:rsidR="0096396E" w:rsidRDefault="00C33C66" w:rsidP="0072167F">
      <w:pPr>
        <w:pStyle w:val="Prrafodelista"/>
        <w:numPr>
          <w:ilvl w:val="0"/>
          <w:numId w:val="1"/>
        </w:numPr>
        <w:tabs>
          <w:tab w:val="left" w:pos="284"/>
        </w:tabs>
        <w:spacing w:after="0" w:line="360" w:lineRule="auto"/>
        <w:ind w:left="0" w:firstLine="0"/>
        <w:jc w:val="both"/>
        <w:textAlignment w:val="baseline"/>
        <w:rPr>
          <w:rFonts w:ascii="Arial" w:eastAsia="Lucida Sans Unicode" w:hAnsi="Arial" w:cs="Arial"/>
          <w:iCs/>
          <w:kern w:val="2"/>
          <w:sz w:val="24"/>
          <w:szCs w:val="24"/>
          <w:lang w:eastAsia="en-US"/>
        </w:rPr>
      </w:pPr>
      <w:r w:rsidRPr="00D93D49">
        <w:rPr>
          <w:rFonts w:ascii="Arial" w:eastAsia="Lucida Sans Unicode" w:hAnsi="Arial" w:cs="Arial"/>
          <w:iCs/>
          <w:kern w:val="2"/>
          <w:sz w:val="24"/>
          <w:szCs w:val="24"/>
          <w:lang w:eastAsia="en-US"/>
        </w:rPr>
        <w:t>Dar cuenta a la Asamblea General.</w:t>
      </w:r>
    </w:p>
    <w:p w:rsidR="00C33C66" w:rsidRDefault="00027020" w:rsidP="00027020">
      <w:pPr>
        <w:tabs>
          <w:tab w:val="left" w:pos="284"/>
        </w:tabs>
        <w:spacing w:after="0" w:line="360" w:lineRule="auto"/>
        <w:ind w:hanging="426"/>
        <w:jc w:val="both"/>
        <w:textAlignment w:val="baseline"/>
        <w:rPr>
          <w:rFonts w:ascii="Arial" w:eastAsia="Lucida Sans Unicode" w:hAnsi="Arial" w:cs="Arial"/>
          <w:iCs/>
          <w:kern w:val="2"/>
          <w:sz w:val="24"/>
          <w:szCs w:val="24"/>
          <w:lang w:eastAsia="en-US"/>
        </w:rPr>
      </w:pPr>
      <w:proofErr w:type="gramStart"/>
      <w:r>
        <w:rPr>
          <w:rFonts w:ascii="Arial" w:eastAsia="Lucida Sans Unicode" w:hAnsi="Arial" w:cs="Arial"/>
          <w:iCs/>
          <w:kern w:val="2"/>
          <w:sz w:val="24"/>
          <w:szCs w:val="24"/>
          <w:lang w:eastAsia="en-US"/>
        </w:rPr>
        <w:t>dc</w:t>
      </w:r>
      <w:proofErr w:type="gramEnd"/>
    </w:p>
    <w:p w:rsidR="00B033F7" w:rsidRDefault="00B033F7" w:rsidP="00027020">
      <w:pPr>
        <w:tabs>
          <w:tab w:val="left" w:pos="284"/>
        </w:tabs>
        <w:spacing w:after="0" w:line="360" w:lineRule="auto"/>
        <w:ind w:hanging="426"/>
        <w:jc w:val="both"/>
        <w:textAlignment w:val="baseline"/>
        <w:rPr>
          <w:sz w:val="16"/>
          <w:szCs w:val="16"/>
        </w:rPr>
      </w:pPr>
    </w:p>
    <w:p w:rsidR="00B033F7" w:rsidRDefault="00B033F7" w:rsidP="00027020">
      <w:pPr>
        <w:tabs>
          <w:tab w:val="left" w:pos="284"/>
        </w:tabs>
        <w:spacing w:after="0" w:line="360" w:lineRule="auto"/>
        <w:ind w:hanging="426"/>
        <w:jc w:val="both"/>
        <w:textAlignment w:val="baseline"/>
        <w:rPr>
          <w:sz w:val="16"/>
          <w:szCs w:val="16"/>
        </w:rPr>
      </w:pPr>
    </w:p>
    <w:p w:rsidR="00B033F7" w:rsidRPr="00BF1E93" w:rsidRDefault="00B033F7">
      <w:pPr>
        <w:pStyle w:val="xl24"/>
        <w:spacing w:before="0" w:beforeAutospacing="0" w:after="0" w:afterAutospacing="0" w:line="360" w:lineRule="auto"/>
        <w:rPr>
          <w:rFonts w:eastAsia="Times New Roman"/>
          <w:bCs w:val="0"/>
          <w:szCs w:val="20"/>
        </w:rPr>
      </w:pPr>
      <w:r w:rsidRPr="00BF1E93">
        <w:rPr>
          <w:rFonts w:eastAsia="Times New Roman"/>
          <w:bCs w:val="0"/>
          <w:szCs w:val="20"/>
        </w:rPr>
        <w:lastRenderedPageBreak/>
        <w:t>INFORME DE AUDITORIA</w:t>
      </w:r>
    </w:p>
    <w:p w:rsidR="00B033F7" w:rsidRPr="00B739B1" w:rsidRDefault="00B033F7" w:rsidP="00B739B1">
      <w:pPr>
        <w:pStyle w:val="xl24"/>
        <w:spacing w:before="0" w:beforeAutospacing="0" w:after="0" w:afterAutospacing="0" w:line="360" w:lineRule="auto"/>
        <w:rPr>
          <w:rFonts w:eastAsia="Times New Roman"/>
          <w:bCs w:val="0"/>
          <w:szCs w:val="20"/>
        </w:rPr>
      </w:pPr>
      <w:bookmarkStart w:id="1" w:name="_Toc59429534"/>
    </w:p>
    <w:p w:rsidR="00B033F7" w:rsidRPr="00BF1E93" w:rsidRDefault="00B033F7" w:rsidP="005849DD">
      <w:pPr>
        <w:pStyle w:val="Ttulo1"/>
        <w:spacing w:line="360" w:lineRule="auto"/>
        <w:jc w:val="both"/>
        <w:rPr>
          <w:rFonts w:ascii="Arial" w:hAnsi="Arial" w:cs="Arial"/>
        </w:rPr>
      </w:pPr>
      <w:bookmarkStart w:id="2" w:name="_Toc300573394"/>
      <w:r w:rsidRPr="00BF1E93">
        <w:rPr>
          <w:rFonts w:ascii="Arial" w:hAnsi="Arial" w:cs="Arial"/>
        </w:rPr>
        <w:t>1. ANTECEDENTES</w:t>
      </w:r>
      <w:bookmarkEnd w:id="1"/>
      <w:bookmarkEnd w:id="2"/>
    </w:p>
    <w:p w:rsidR="00B033F7" w:rsidRPr="00092F68" w:rsidRDefault="00B033F7" w:rsidP="0025387A">
      <w:pPr>
        <w:spacing w:line="360" w:lineRule="auto"/>
        <w:jc w:val="both"/>
        <w:rPr>
          <w:rFonts w:ascii="Arial" w:hAnsi="Arial" w:cs="Arial"/>
          <w:sz w:val="24"/>
          <w:szCs w:val="24"/>
          <w:lang w:val="es-MX"/>
        </w:rPr>
      </w:pPr>
      <w:bookmarkStart w:id="3" w:name="_Toc59429535"/>
      <w:bookmarkStart w:id="4" w:name="_Toc300573395"/>
      <w:r w:rsidRPr="00092F68">
        <w:rPr>
          <w:rFonts w:ascii="Arial" w:hAnsi="Arial" w:cs="Arial"/>
          <w:sz w:val="24"/>
          <w:szCs w:val="24"/>
          <w:lang w:val="es-MX"/>
        </w:rPr>
        <w:t>Por Oficio Nº 245/2016 de fecha 20/10/16, la Intendencia de Treinta y Tres solicitó una Auditoría e Intervención de este Tribunal en el área de Tributos de esa Intendencia.</w:t>
      </w:r>
    </w:p>
    <w:p w:rsidR="00B033F7" w:rsidRPr="0047654A" w:rsidRDefault="00B033F7" w:rsidP="0047654A">
      <w:pPr>
        <w:rPr>
          <w:lang w:val="es-MX"/>
        </w:rPr>
      </w:pPr>
    </w:p>
    <w:p w:rsidR="00B033F7" w:rsidRDefault="00B033F7">
      <w:pPr>
        <w:pStyle w:val="Ttulo1"/>
        <w:spacing w:line="360" w:lineRule="auto"/>
        <w:rPr>
          <w:rFonts w:ascii="Arial" w:hAnsi="Arial" w:cs="Arial"/>
        </w:rPr>
      </w:pPr>
      <w:r w:rsidRPr="00BF1E93">
        <w:rPr>
          <w:rFonts w:ascii="Arial" w:hAnsi="Arial" w:cs="Arial"/>
        </w:rPr>
        <w:t>2. OBJET</w:t>
      </w:r>
      <w:r>
        <w:rPr>
          <w:rFonts w:ascii="Arial" w:hAnsi="Arial" w:cs="Arial"/>
        </w:rPr>
        <w:t xml:space="preserve">IVO </w:t>
      </w:r>
      <w:r w:rsidRPr="00BF1E93">
        <w:rPr>
          <w:rFonts w:ascii="Arial" w:hAnsi="Arial" w:cs="Arial"/>
        </w:rPr>
        <w:t>DE LA AUDITORIA</w:t>
      </w:r>
      <w:bookmarkEnd w:id="3"/>
      <w:bookmarkEnd w:id="4"/>
    </w:p>
    <w:p w:rsidR="00B033F7" w:rsidRPr="00092F68" w:rsidRDefault="00B033F7" w:rsidP="0025387A">
      <w:pPr>
        <w:spacing w:line="360" w:lineRule="auto"/>
        <w:jc w:val="both"/>
        <w:rPr>
          <w:rFonts w:ascii="Arial" w:hAnsi="Arial" w:cs="Arial"/>
          <w:sz w:val="24"/>
          <w:szCs w:val="24"/>
          <w:lang w:val="es-MX"/>
        </w:rPr>
      </w:pPr>
      <w:r w:rsidRPr="00092F68">
        <w:rPr>
          <w:rFonts w:ascii="Arial" w:hAnsi="Arial" w:cs="Arial"/>
          <w:sz w:val="24"/>
          <w:szCs w:val="24"/>
          <w:lang w:val="es-MX"/>
        </w:rPr>
        <w:t>El objetivo de este encargo fue realizar una auditoría en el área de Tributos de la Intendencia de Treinta y Tres en el período 01/01/2015 al 20/10/2016, con el fin de informar con respecto a los hechos relacionados con presuntos ilícitos. En este sentido, se evaluaron los procedimientos y la documentación en el área de Tributos en el período mencionado, y se efectuó la evaluación y prueba de efectividad de los controles de los sistemas de información sobre las aplicaciones computarizadas en el área de Reca</w:t>
      </w:r>
      <w:r w:rsidR="00092F68">
        <w:rPr>
          <w:rFonts w:ascii="Arial" w:hAnsi="Arial" w:cs="Arial"/>
          <w:sz w:val="24"/>
          <w:szCs w:val="24"/>
          <w:lang w:val="es-MX"/>
        </w:rPr>
        <w:t>udación.</w:t>
      </w:r>
    </w:p>
    <w:p w:rsidR="00B033F7" w:rsidRPr="00BF1E93" w:rsidRDefault="00B033F7">
      <w:pPr>
        <w:pStyle w:val="Textoindependiente"/>
        <w:rPr>
          <w:rFonts w:ascii="Arial" w:hAnsi="Arial" w:cs="Arial"/>
        </w:rPr>
      </w:pPr>
    </w:p>
    <w:p w:rsidR="00B033F7" w:rsidRDefault="00B033F7" w:rsidP="005B551A">
      <w:pPr>
        <w:pStyle w:val="Ttulo1"/>
        <w:spacing w:line="360" w:lineRule="auto"/>
        <w:rPr>
          <w:rFonts w:ascii="Arial" w:hAnsi="Arial" w:cs="Arial"/>
        </w:rPr>
      </w:pPr>
      <w:r w:rsidRPr="00CB2E28">
        <w:rPr>
          <w:rFonts w:ascii="Arial" w:hAnsi="Arial" w:cs="Arial"/>
        </w:rPr>
        <w:t>3. MARCO NORMATIVO</w:t>
      </w:r>
    </w:p>
    <w:p w:rsidR="00B033F7" w:rsidRDefault="00B033F7" w:rsidP="00437984">
      <w:pPr>
        <w:pStyle w:val="Ttulo1"/>
        <w:keepNext w:val="0"/>
        <w:widowControl w:val="0"/>
        <w:tabs>
          <w:tab w:val="left" w:pos="0"/>
        </w:tabs>
        <w:spacing w:line="360" w:lineRule="auto"/>
        <w:jc w:val="both"/>
        <w:rPr>
          <w:rFonts w:ascii="Arial" w:hAnsi="Arial" w:cs="Arial"/>
          <w:b w:val="0"/>
        </w:rPr>
      </w:pPr>
      <w:r>
        <w:rPr>
          <w:rFonts w:ascii="Arial" w:hAnsi="Arial" w:cs="Arial"/>
          <w:b w:val="0"/>
        </w:rPr>
        <w:t>E</w:t>
      </w:r>
      <w:r w:rsidRPr="00163E7B">
        <w:rPr>
          <w:rFonts w:ascii="Arial" w:hAnsi="Arial" w:cs="Arial"/>
          <w:b w:val="0"/>
        </w:rPr>
        <w:t>l</w:t>
      </w:r>
      <w:r>
        <w:rPr>
          <w:rFonts w:ascii="Arial" w:hAnsi="Arial" w:cs="Arial"/>
          <w:b w:val="0"/>
        </w:rPr>
        <w:t xml:space="preserve"> </w:t>
      </w:r>
      <w:r w:rsidRPr="00163E7B">
        <w:rPr>
          <w:rFonts w:ascii="Arial" w:hAnsi="Arial" w:cs="Arial"/>
          <w:b w:val="0"/>
        </w:rPr>
        <w:t>marco normativo sobre el cual se establecerá</w:t>
      </w:r>
      <w:r>
        <w:rPr>
          <w:rFonts w:ascii="Arial" w:hAnsi="Arial" w:cs="Arial"/>
          <w:b w:val="0"/>
        </w:rPr>
        <w:t xml:space="preserve">n las conclusiones y </w:t>
      </w:r>
      <w:r w:rsidRPr="00CB2E28">
        <w:rPr>
          <w:rFonts w:ascii="Arial" w:hAnsi="Arial" w:cs="Arial"/>
          <w:b w:val="0"/>
        </w:rPr>
        <w:t>recomendaciones</w:t>
      </w:r>
      <w:r>
        <w:rPr>
          <w:rFonts w:ascii="Arial" w:hAnsi="Arial" w:cs="Arial"/>
          <w:b w:val="0"/>
        </w:rPr>
        <w:t xml:space="preserve"> de la presente auditoría, es el siguiente:</w:t>
      </w:r>
    </w:p>
    <w:p w:rsidR="00B033F7" w:rsidRPr="00092F68" w:rsidRDefault="00B033F7" w:rsidP="00B033F7">
      <w:pPr>
        <w:numPr>
          <w:ilvl w:val="0"/>
          <w:numId w:val="4"/>
        </w:numPr>
        <w:suppressAutoHyphens w:val="0"/>
        <w:spacing w:after="0" w:line="360" w:lineRule="auto"/>
        <w:ind w:left="284" w:hanging="284"/>
        <w:rPr>
          <w:rFonts w:ascii="Arial" w:hAnsi="Arial" w:cs="Arial"/>
          <w:sz w:val="24"/>
          <w:szCs w:val="24"/>
        </w:rPr>
      </w:pPr>
      <w:r w:rsidRPr="00092F68">
        <w:rPr>
          <w:rFonts w:ascii="Arial" w:hAnsi="Arial" w:cs="Arial"/>
          <w:sz w:val="24"/>
          <w:szCs w:val="24"/>
          <w:lang w:val="es-MX"/>
        </w:rPr>
        <w:t xml:space="preserve">Constitución de la República </w:t>
      </w:r>
      <w:r w:rsidRPr="00092F68">
        <w:rPr>
          <w:rStyle w:val="apple-converted-space"/>
          <w:rFonts w:ascii="Arial" w:hAnsi="Arial" w:cs="Arial"/>
          <w:color w:val="222222"/>
          <w:sz w:val="24"/>
          <w:szCs w:val="24"/>
          <w:shd w:val="clear" w:color="auto" w:fill="FFFFFF"/>
        </w:rPr>
        <w:t> </w:t>
      </w:r>
      <w:r w:rsidRPr="00092F68">
        <w:rPr>
          <w:rFonts w:ascii="Arial" w:hAnsi="Arial" w:cs="Arial"/>
          <w:sz w:val="24"/>
          <w:szCs w:val="24"/>
          <w:lang w:val="es-MX"/>
        </w:rPr>
        <w:t>Artículos 211 y 273 Numeral 4.</w:t>
      </w:r>
    </w:p>
    <w:p w:rsidR="00B033F7" w:rsidRPr="00092F68" w:rsidRDefault="00B033F7" w:rsidP="00B033F7">
      <w:pPr>
        <w:numPr>
          <w:ilvl w:val="0"/>
          <w:numId w:val="4"/>
        </w:numPr>
        <w:suppressAutoHyphens w:val="0"/>
        <w:spacing w:after="0" w:line="360" w:lineRule="auto"/>
        <w:ind w:left="284" w:hanging="284"/>
        <w:rPr>
          <w:rFonts w:ascii="Arial" w:hAnsi="Arial" w:cs="Arial"/>
          <w:sz w:val="24"/>
          <w:szCs w:val="24"/>
        </w:rPr>
      </w:pPr>
      <w:r w:rsidRPr="00092F68">
        <w:rPr>
          <w:rFonts w:ascii="Arial" w:hAnsi="Arial" w:cs="Arial"/>
          <w:sz w:val="24"/>
          <w:szCs w:val="24"/>
        </w:rPr>
        <w:t>Ley Nº 9.515 Artículo 19 numeral 5 y 46.</w:t>
      </w:r>
    </w:p>
    <w:p w:rsidR="00B033F7" w:rsidRPr="00092F68" w:rsidRDefault="00B033F7" w:rsidP="00B033F7">
      <w:pPr>
        <w:numPr>
          <w:ilvl w:val="0"/>
          <w:numId w:val="4"/>
        </w:numPr>
        <w:suppressAutoHyphens w:val="0"/>
        <w:spacing w:after="0" w:line="360" w:lineRule="auto"/>
        <w:ind w:left="284" w:hanging="284"/>
        <w:rPr>
          <w:rFonts w:ascii="Arial" w:hAnsi="Arial" w:cs="Arial"/>
          <w:sz w:val="24"/>
          <w:szCs w:val="24"/>
          <w:lang w:val="es-MX"/>
        </w:rPr>
      </w:pPr>
      <w:r w:rsidRPr="00092F68">
        <w:rPr>
          <w:rFonts w:ascii="Arial" w:hAnsi="Arial" w:cs="Arial"/>
          <w:sz w:val="24"/>
          <w:szCs w:val="24"/>
          <w:lang w:val="es-MX"/>
        </w:rPr>
        <w:t>TOCAF Artículos 140, 142 y 146.</w:t>
      </w:r>
    </w:p>
    <w:p w:rsidR="00B033F7" w:rsidRPr="00092F68" w:rsidRDefault="00B033F7" w:rsidP="00B033F7">
      <w:pPr>
        <w:numPr>
          <w:ilvl w:val="0"/>
          <w:numId w:val="4"/>
        </w:numPr>
        <w:suppressAutoHyphens w:val="0"/>
        <w:spacing w:after="0" w:line="360" w:lineRule="auto"/>
        <w:ind w:left="284" w:hanging="284"/>
        <w:rPr>
          <w:rFonts w:ascii="Arial" w:hAnsi="Arial" w:cs="Arial"/>
          <w:sz w:val="24"/>
          <w:szCs w:val="24"/>
          <w:lang w:val="es-MX"/>
        </w:rPr>
      </w:pPr>
      <w:r w:rsidRPr="00092F68">
        <w:rPr>
          <w:rFonts w:ascii="Arial" w:hAnsi="Arial" w:cs="Arial"/>
          <w:sz w:val="24"/>
          <w:szCs w:val="24"/>
          <w:lang w:val="es-MX"/>
        </w:rPr>
        <w:t>Ordenanza Nº 62 del Tribunal de Cuentas</w:t>
      </w:r>
      <w:r w:rsidR="00092F68">
        <w:rPr>
          <w:rFonts w:ascii="Arial" w:hAnsi="Arial" w:cs="Arial"/>
          <w:sz w:val="24"/>
          <w:szCs w:val="24"/>
          <w:lang w:val="es-MX"/>
        </w:rPr>
        <w:t>.</w:t>
      </w:r>
    </w:p>
    <w:p w:rsidR="00B033F7" w:rsidRPr="00092F68" w:rsidRDefault="00B033F7" w:rsidP="00B033F7">
      <w:pPr>
        <w:numPr>
          <w:ilvl w:val="0"/>
          <w:numId w:val="4"/>
        </w:numPr>
        <w:suppressAutoHyphens w:val="0"/>
        <w:spacing w:after="0" w:line="360" w:lineRule="auto"/>
        <w:ind w:left="284" w:hanging="284"/>
        <w:jc w:val="both"/>
        <w:rPr>
          <w:rFonts w:ascii="Arial" w:hAnsi="Arial" w:cs="Arial"/>
          <w:sz w:val="24"/>
          <w:szCs w:val="24"/>
          <w:lang w:val="es-MX"/>
        </w:rPr>
      </w:pPr>
      <w:r w:rsidRPr="00092F68">
        <w:rPr>
          <w:rFonts w:ascii="Arial" w:hAnsi="Arial" w:cs="Arial"/>
          <w:sz w:val="24"/>
          <w:szCs w:val="24"/>
          <w:lang w:val="es-MX"/>
        </w:rPr>
        <w:t>Decreto Nº 500/991: aplicable a la Intendencia de Treinta y Tres, con las modificaciones del Decreto Nº 420/2007 por Decreto de la Junta Departamental Nº 02/2008 Artículos 182 y siguientes.</w:t>
      </w:r>
    </w:p>
    <w:p w:rsidR="00B033F7" w:rsidRPr="00092F68" w:rsidRDefault="00B033F7" w:rsidP="00B033F7">
      <w:pPr>
        <w:numPr>
          <w:ilvl w:val="0"/>
          <w:numId w:val="4"/>
        </w:numPr>
        <w:suppressAutoHyphens w:val="0"/>
        <w:spacing w:after="0" w:line="360" w:lineRule="auto"/>
        <w:ind w:left="284" w:hanging="284"/>
        <w:jc w:val="both"/>
        <w:rPr>
          <w:rFonts w:ascii="Arial" w:hAnsi="Arial" w:cs="Arial"/>
          <w:sz w:val="24"/>
          <w:szCs w:val="24"/>
        </w:rPr>
      </w:pPr>
      <w:r w:rsidRPr="00092F68">
        <w:rPr>
          <w:rFonts w:ascii="Arial" w:hAnsi="Arial" w:cs="Arial"/>
          <w:sz w:val="24"/>
          <w:szCs w:val="24"/>
        </w:rPr>
        <w:t>Presupuesto Quinquenal (Decreto Nº 8/2016) vigente en el período examinado y las modificaciones presupuestales correspondientes.</w:t>
      </w:r>
    </w:p>
    <w:p w:rsidR="00B033F7" w:rsidRPr="00092F68" w:rsidRDefault="00B033F7" w:rsidP="00B033F7">
      <w:pPr>
        <w:numPr>
          <w:ilvl w:val="0"/>
          <w:numId w:val="4"/>
        </w:numPr>
        <w:suppressAutoHyphens w:val="0"/>
        <w:spacing w:after="0" w:line="360" w:lineRule="auto"/>
        <w:ind w:left="284" w:hanging="284"/>
        <w:jc w:val="both"/>
        <w:rPr>
          <w:rFonts w:ascii="Arial" w:hAnsi="Arial" w:cs="Arial"/>
          <w:sz w:val="24"/>
          <w:szCs w:val="24"/>
        </w:rPr>
      </w:pPr>
      <w:r w:rsidRPr="00092F68">
        <w:rPr>
          <w:rFonts w:ascii="Arial" w:hAnsi="Arial" w:cs="Arial"/>
          <w:sz w:val="24"/>
          <w:szCs w:val="24"/>
        </w:rPr>
        <w:lastRenderedPageBreak/>
        <w:t>Decretos de la Junta Departamental Nº 11/2015 -Régimen de flexibilización para cancelación de adeudos y Nº 17/2015 -Levantamiento observaciones TCR régimen de flexibilización.</w:t>
      </w:r>
    </w:p>
    <w:p w:rsidR="00B033F7" w:rsidRPr="00092F68" w:rsidRDefault="00B033F7" w:rsidP="00B033F7">
      <w:pPr>
        <w:numPr>
          <w:ilvl w:val="0"/>
          <w:numId w:val="4"/>
        </w:numPr>
        <w:suppressAutoHyphens w:val="0"/>
        <w:spacing w:after="0" w:line="360" w:lineRule="auto"/>
        <w:ind w:left="284" w:hanging="284"/>
        <w:jc w:val="both"/>
        <w:rPr>
          <w:rFonts w:ascii="Arial" w:hAnsi="Arial" w:cs="Arial"/>
          <w:sz w:val="24"/>
          <w:szCs w:val="24"/>
        </w:rPr>
      </w:pPr>
      <w:r w:rsidRPr="00092F68">
        <w:rPr>
          <w:rFonts w:ascii="Arial" w:hAnsi="Arial" w:cs="Arial"/>
          <w:sz w:val="24"/>
          <w:szCs w:val="24"/>
        </w:rPr>
        <w:t>Resoluciones de la Intendencia de Treinta y Tres Nº 1306/2016 (instrucción de Sumario Administrativo a las supuestas funcionarias involucradas), Nº1377/2016 (designación de instructora sumariante), N° 1253/2016 de 28/09/2016 y 1292/2016 de 05/10/2016 (realización de una auditoría interna) y Nº 0265/2017 (instrucción de una investigación administrativa en lo referente a la enajenación de semovientes y el impuesto correspondiente) de 14/02/2017.</w:t>
      </w:r>
    </w:p>
    <w:p w:rsidR="00B033F7" w:rsidRPr="006B0A42" w:rsidRDefault="00B033F7" w:rsidP="00075682">
      <w:pPr>
        <w:spacing w:line="360" w:lineRule="auto"/>
        <w:ind w:left="720"/>
        <w:jc w:val="both"/>
        <w:rPr>
          <w:rFonts w:ascii="Arial" w:hAnsi="Arial" w:cs="Arial"/>
          <w:szCs w:val="24"/>
        </w:rPr>
      </w:pPr>
    </w:p>
    <w:p w:rsidR="00B033F7" w:rsidRDefault="00B033F7">
      <w:pPr>
        <w:pStyle w:val="Ttulo1"/>
        <w:spacing w:line="360" w:lineRule="auto"/>
        <w:rPr>
          <w:rFonts w:ascii="Arial" w:hAnsi="Arial" w:cs="Arial"/>
        </w:rPr>
      </w:pPr>
      <w:bookmarkStart w:id="5" w:name="_Toc59429536"/>
      <w:bookmarkStart w:id="6" w:name="_Toc300573396"/>
      <w:r w:rsidRPr="00BF1E93">
        <w:rPr>
          <w:rFonts w:ascii="Arial" w:hAnsi="Arial" w:cs="Arial"/>
        </w:rPr>
        <w:t xml:space="preserve">4.  </w:t>
      </w:r>
      <w:r>
        <w:rPr>
          <w:rFonts w:ascii="Arial" w:hAnsi="Arial" w:cs="Arial"/>
        </w:rPr>
        <w:t>NATURALEZA Y ALCANCE DE LA AUDITORIA</w:t>
      </w:r>
    </w:p>
    <w:p w:rsidR="00B033F7" w:rsidRPr="00092F68" w:rsidRDefault="00B033F7" w:rsidP="004B7581">
      <w:pPr>
        <w:spacing w:line="360" w:lineRule="auto"/>
        <w:jc w:val="both"/>
        <w:rPr>
          <w:rFonts w:ascii="Arial" w:hAnsi="Arial" w:cs="Arial"/>
          <w:color w:val="00B0F0"/>
          <w:sz w:val="24"/>
          <w:szCs w:val="24"/>
          <w:lang w:val="es-MX"/>
        </w:rPr>
      </w:pPr>
      <w:r w:rsidRPr="00092F68">
        <w:rPr>
          <w:rFonts w:ascii="Arial" w:hAnsi="Arial" w:cs="Arial"/>
          <w:sz w:val="24"/>
          <w:szCs w:val="24"/>
          <w:lang w:val="es-MX"/>
        </w:rPr>
        <w:t>El análisis comprendió las principales actividades relacionadas con el proceso de recaudación, especialmente las vinculadas con la determinación, registro, cobro y control de la Contribución Inmobiliaria Urbana (CIU) y de la Contribución Inmobiliaria Rural (CIR), en el período 01/01/15 al  31/12/16.</w:t>
      </w:r>
    </w:p>
    <w:p w:rsidR="00B033F7" w:rsidRDefault="00B033F7" w:rsidP="000915A8">
      <w:pPr>
        <w:pStyle w:val="Piedepgina"/>
        <w:spacing w:line="360" w:lineRule="auto"/>
        <w:jc w:val="both"/>
        <w:rPr>
          <w:rFonts w:ascii="Arial" w:hAnsi="Arial" w:cs="Arial"/>
          <w:lang w:val="es-UY"/>
        </w:rPr>
      </w:pPr>
      <w:r>
        <w:rPr>
          <w:rFonts w:ascii="Arial" w:hAnsi="Arial" w:cs="Arial"/>
        </w:rPr>
        <w:t>La auditoría fue realizada</w:t>
      </w:r>
      <w:r w:rsidRPr="00BF1E93">
        <w:rPr>
          <w:rFonts w:ascii="Arial" w:hAnsi="Arial" w:cs="Arial"/>
        </w:rPr>
        <w:t xml:space="preserve"> de acuerdo con Normas de Auditoría emitidas por la Organización Internacional de Entidades Fiscalizadoras Superiores (INTOSAI).</w:t>
      </w:r>
      <w:r w:rsidRPr="00BF1E93">
        <w:rPr>
          <w:rFonts w:ascii="Arial" w:hAnsi="Arial" w:cs="Arial"/>
          <w:lang w:val="es-UY"/>
        </w:rPr>
        <w:t xml:space="preserve"> </w:t>
      </w:r>
    </w:p>
    <w:p w:rsidR="00B033F7" w:rsidRPr="00BF1E93" w:rsidRDefault="00B033F7" w:rsidP="000915A8">
      <w:pPr>
        <w:pStyle w:val="Piedepgina"/>
        <w:spacing w:line="360" w:lineRule="auto"/>
        <w:jc w:val="both"/>
        <w:rPr>
          <w:rFonts w:ascii="Arial" w:hAnsi="Arial" w:cs="Arial"/>
          <w:lang w:val="es-UY"/>
        </w:rPr>
      </w:pPr>
      <w:r>
        <w:rPr>
          <w:rFonts w:ascii="Arial" w:hAnsi="Arial" w:cs="Arial"/>
          <w:lang w:val="es-UY"/>
        </w:rPr>
        <w:t>Dichas n</w:t>
      </w:r>
      <w:r w:rsidRPr="00BF1E93">
        <w:rPr>
          <w:rFonts w:ascii="Arial" w:hAnsi="Arial" w:cs="Arial"/>
          <w:lang w:val="es-UY"/>
        </w:rPr>
        <w:t>ormas requieren que se planifique y se realice la auditoría para obtener evidencia suficiente y apropiada para los hallazgos y conclusiones.</w:t>
      </w:r>
    </w:p>
    <w:p w:rsidR="00B033F7" w:rsidRPr="00F33083" w:rsidRDefault="00B033F7" w:rsidP="00F33083">
      <w:pPr>
        <w:pStyle w:val="Ttulo1"/>
        <w:spacing w:line="360" w:lineRule="auto"/>
        <w:rPr>
          <w:rFonts w:ascii="Arial" w:hAnsi="Arial" w:cs="Arial"/>
        </w:rPr>
      </w:pPr>
    </w:p>
    <w:p w:rsidR="00B033F7" w:rsidRDefault="00B033F7" w:rsidP="00F33083">
      <w:pPr>
        <w:pStyle w:val="Ttulo1"/>
        <w:spacing w:line="360" w:lineRule="auto"/>
        <w:rPr>
          <w:rFonts w:ascii="Arial" w:hAnsi="Arial" w:cs="Arial"/>
        </w:rPr>
      </w:pPr>
      <w:r>
        <w:rPr>
          <w:rFonts w:ascii="Arial" w:hAnsi="Arial" w:cs="Arial"/>
        </w:rPr>
        <w:t>5</w:t>
      </w:r>
      <w:r w:rsidRPr="00F33083">
        <w:rPr>
          <w:rFonts w:ascii="Arial" w:hAnsi="Arial" w:cs="Arial"/>
        </w:rPr>
        <w:t xml:space="preserve">. </w:t>
      </w:r>
      <w:r>
        <w:rPr>
          <w:rFonts w:ascii="Arial" w:hAnsi="Arial" w:cs="Arial"/>
          <w:caps/>
        </w:rPr>
        <w:t>HECHOS PREVIOS A LA AUDITORIA</w:t>
      </w:r>
    </w:p>
    <w:p w:rsidR="00B033F7" w:rsidRPr="00092F68" w:rsidRDefault="00B033F7" w:rsidP="00B033F7">
      <w:pPr>
        <w:numPr>
          <w:ilvl w:val="0"/>
          <w:numId w:val="13"/>
        </w:numPr>
        <w:suppressAutoHyphens w:val="0"/>
        <w:spacing w:after="0" w:line="360" w:lineRule="auto"/>
        <w:ind w:left="284" w:hanging="284"/>
        <w:jc w:val="both"/>
        <w:rPr>
          <w:rFonts w:ascii="Arial" w:hAnsi="Arial"/>
          <w:sz w:val="24"/>
          <w:szCs w:val="24"/>
        </w:rPr>
      </w:pPr>
      <w:r w:rsidRPr="00092F68">
        <w:rPr>
          <w:rFonts w:ascii="Arial" w:hAnsi="Arial"/>
          <w:sz w:val="24"/>
          <w:szCs w:val="24"/>
        </w:rPr>
        <w:t>Se realizó una denuncia por parte de un contribuyente a un Contador de la Intendencia, alegando que se intentó cobrarle por parte de una funcionaria de la misma una determinada suma de dinero para eliminar una deuda de tributos.</w:t>
      </w:r>
    </w:p>
    <w:p w:rsidR="00B033F7" w:rsidRPr="00092F68" w:rsidRDefault="00B033F7" w:rsidP="00EE21B7">
      <w:pPr>
        <w:spacing w:line="360" w:lineRule="auto"/>
        <w:ind w:left="284"/>
        <w:jc w:val="both"/>
        <w:rPr>
          <w:rFonts w:ascii="Arial" w:hAnsi="Arial"/>
          <w:sz w:val="24"/>
          <w:szCs w:val="24"/>
        </w:rPr>
      </w:pPr>
      <w:r w:rsidRPr="00092F68">
        <w:rPr>
          <w:rFonts w:ascii="Arial" w:hAnsi="Arial"/>
          <w:sz w:val="24"/>
          <w:szCs w:val="24"/>
        </w:rPr>
        <w:t>Ante esta situación, el Intendente y el Contador realizaron la denuncia policial, la que posteriormente dio origen a un trámite judicial.</w:t>
      </w:r>
    </w:p>
    <w:p w:rsidR="00B033F7" w:rsidRPr="00092F68" w:rsidRDefault="00B033F7" w:rsidP="00B033F7">
      <w:pPr>
        <w:numPr>
          <w:ilvl w:val="0"/>
          <w:numId w:val="13"/>
        </w:numPr>
        <w:suppressAutoHyphens w:val="0"/>
        <w:spacing w:after="0" w:line="360" w:lineRule="auto"/>
        <w:ind w:left="284" w:hanging="284"/>
        <w:jc w:val="both"/>
        <w:rPr>
          <w:rFonts w:ascii="Arial" w:hAnsi="Arial"/>
          <w:sz w:val="24"/>
          <w:szCs w:val="24"/>
        </w:rPr>
      </w:pPr>
      <w:r w:rsidRPr="00092F68">
        <w:rPr>
          <w:rFonts w:ascii="Arial" w:hAnsi="Arial"/>
          <w:sz w:val="24"/>
          <w:szCs w:val="24"/>
        </w:rPr>
        <w:t>En el Juzgado Letrado de Primera Instancia de Primer Turno, por Resolución N° 2007 de fecha 28/09/16, se decretó el procesamiento sin prisión de tres  funcionarias de la Intendencia de Treinta y Tres, imputadas en calidad de autoras por la presunta comisión de un delito de fraude, lo que fue comunicado a la Intendencia por Oficio N° 4405 de 06/10/16.</w:t>
      </w:r>
    </w:p>
    <w:p w:rsidR="00B033F7" w:rsidRPr="00092F68" w:rsidRDefault="00B033F7" w:rsidP="00B033F7">
      <w:pPr>
        <w:numPr>
          <w:ilvl w:val="0"/>
          <w:numId w:val="13"/>
        </w:numPr>
        <w:suppressAutoHyphens w:val="0"/>
        <w:spacing w:after="0" w:line="360" w:lineRule="auto"/>
        <w:ind w:left="284" w:hanging="284"/>
        <w:jc w:val="both"/>
        <w:rPr>
          <w:rFonts w:ascii="Arial" w:hAnsi="Arial"/>
          <w:sz w:val="24"/>
          <w:szCs w:val="24"/>
        </w:rPr>
      </w:pPr>
      <w:r w:rsidRPr="00092F68">
        <w:rPr>
          <w:rFonts w:ascii="Arial" w:hAnsi="Arial"/>
          <w:sz w:val="24"/>
          <w:szCs w:val="24"/>
        </w:rPr>
        <w:t>El Intendente, por Resolución Nº 1306/2016, determinó la instrucción de un Sumario Administrativo a las funcionarias involucradas, suspendiéndolas en el desempeño de sus cargos en forma preventiva, y disponiendo la retención de los medios sueldos correspondientes.</w:t>
      </w:r>
    </w:p>
    <w:p w:rsidR="00B033F7" w:rsidRPr="00092F68" w:rsidRDefault="00B033F7" w:rsidP="006C2BE2">
      <w:pPr>
        <w:spacing w:line="360" w:lineRule="auto"/>
        <w:ind w:left="568" w:hanging="284"/>
        <w:jc w:val="both"/>
        <w:rPr>
          <w:rFonts w:ascii="Arial" w:hAnsi="Arial"/>
          <w:sz w:val="24"/>
          <w:szCs w:val="24"/>
        </w:rPr>
      </w:pPr>
      <w:r w:rsidRPr="00092F68">
        <w:rPr>
          <w:rFonts w:ascii="Arial" w:hAnsi="Arial"/>
          <w:sz w:val="24"/>
          <w:szCs w:val="24"/>
        </w:rPr>
        <w:t>Por Resolución Nº 1377/2016, se design</w:t>
      </w:r>
      <w:r w:rsidR="00723C14">
        <w:rPr>
          <w:rFonts w:ascii="Arial" w:hAnsi="Arial"/>
          <w:sz w:val="24"/>
          <w:szCs w:val="24"/>
        </w:rPr>
        <w:t>ó a una Instructora Sumariante.</w:t>
      </w:r>
    </w:p>
    <w:p w:rsidR="00B033F7" w:rsidRPr="00092F68" w:rsidRDefault="00B033F7" w:rsidP="006C2BE2">
      <w:pPr>
        <w:spacing w:line="360" w:lineRule="auto"/>
        <w:ind w:left="284"/>
        <w:jc w:val="both"/>
        <w:rPr>
          <w:rFonts w:ascii="Arial" w:hAnsi="Arial"/>
          <w:sz w:val="24"/>
          <w:szCs w:val="24"/>
        </w:rPr>
      </w:pPr>
      <w:r w:rsidRPr="00092F68">
        <w:rPr>
          <w:rFonts w:ascii="Arial" w:hAnsi="Arial"/>
          <w:sz w:val="24"/>
          <w:szCs w:val="24"/>
        </w:rPr>
        <w:t>Con fecha 18/11/2016, de conformidad por el Artículo 212 del Decreto N°500/91, se prorrogó el plazo del sumario, a la espera de la culminación del expediente penal.</w:t>
      </w:r>
    </w:p>
    <w:p w:rsidR="00B033F7" w:rsidRPr="00092F68" w:rsidRDefault="00B033F7" w:rsidP="00B033F7">
      <w:pPr>
        <w:numPr>
          <w:ilvl w:val="0"/>
          <w:numId w:val="14"/>
        </w:numPr>
        <w:suppressAutoHyphens w:val="0"/>
        <w:spacing w:after="0" w:line="360" w:lineRule="auto"/>
        <w:ind w:left="284" w:hanging="284"/>
        <w:jc w:val="both"/>
        <w:rPr>
          <w:rFonts w:ascii="Arial" w:hAnsi="Arial"/>
          <w:sz w:val="24"/>
          <w:szCs w:val="24"/>
        </w:rPr>
      </w:pPr>
      <w:r w:rsidRPr="00092F68">
        <w:rPr>
          <w:rFonts w:ascii="Arial" w:hAnsi="Arial"/>
          <w:sz w:val="24"/>
          <w:szCs w:val="24"/>
        </w:rPr>
        <w:t>En el transcurso de esta auditoría del Tribunal de Cuentas,  las funcionarias involucradas en presuntos ilícitos, sobre los cuales no existe aún pronunciamiento de la Sede Penal, se reincorporaron a tareas administrativas fuera del área de recaudación que no implican el manejo de valores.</w:t>
      </w:r>
    </w:p>
    <w:p w:rsidR="00B033F7" w:rsidRPr="00092F68" w:rsidRDefault="00B033F7" w:rsidP="00B033F7">
      <w:pPr>
        <w:numPr>
          <w:ilvl w:val="0"/>
          <w:numId w:val="14"/>
        </w:numPr>
        <w:suppressAutoHyphens w:val="0"/>
        <w:spacing w:after="0" w:line="360" w:lineRule="auto"/>
        <w:ind w:left="284" w:hanging="284"/>
        <w:jc w:val="both"/>
        <w:rPr>
          <w:rFonts w:ascii="Arial" w:hAnsi="Arial"/>
          <w:sz w:val="24"/>
          <w:szCs w:val="24"/>
        </w:rPr>
      </w:pPr>
      <w:r w:rsidRPr="00092F68">
        <w:rPr>
          <w:rFonts w:ascii="Arial" w:hAnsi="Arial"/>
          <w:sz w:val="24"/>
          <w:szCs w:val="24"/>
        </w:rPr>
        <w:t>Por Resoluciones Nros. 1253/2016 y 1292/2016 del Intendente de fechas 28/09/2016 y 05/10/2016 respectivamente, se dispuso la realización de una auditoría interna relativa a la gestión de la Oficina de Tributos de la Intendencia de Treinta y Tres.</w:t>
      </w:r>
    </w:p>
    <w:p w:rsidR="00B033F7" w:rsidRPr="00092F68" w:rsidRDefault="00B033F7" w:rsidP="006C2BE2">
      <w:pPr>
        <w:spacing w:line="360" w:lineRule="auto"/>
        <w:ind w:left="284"/>
        <w:jc w:val="both"/>
        <w:rPr>
          <w:rFonts w:ascii="Arial" w:hAnsi="Arial" w:cs="Arial"/>
          <w:sz w:val="24"/>
          <w:szCs w:val="24"/>
        </w:rPr>
      </w:pPr>
      <w:r w:rsidRPr="00092F68">
        <w:rPr>
          <w:rFonts w:ascii="Arial" w:hAnsi="Arial"/>
          <w:sz w:val="24"/>
          <w:szCs w:val="24"/>
        </w:rPr>
        <w:t>En dicha auditoría interna, en una primera instancia, se analizaron los convenios correspondientes a la Contribución Inmobiliaria Urbana y Rural, causal “acción 40 baja de Padrón”. Esta causal</w:t>
      </w:r>
      <w:r w:rsidRPr="00092F68">
        <w:rPr>
          <w:rFonts w:ascii="Arial" w:hAnsi="Arial" w:cs="Arial"/>
          <w:sz w:val="24"/>
          <w:szCs w:val="24"/>
        </w:rPr>
        <w:t xml:space="preserve"> implica la baja manual de convenios de deuda en el sistema informático, dejando estos de estar activos independientemente de h</w:t>
      </w:r>
      <w:r w:rsidR="00AE0AFD">
        <w:rPr>
          <w:rFonts w:ascii="Arial" w:hAnsi="Arial" w:cs="Arial"/>
          <w:sz w:val="24"/>
          <w:szCs w:val="24"/>
        </w:rPr>
        <w:t>aberse cancelado o no la deuda.</w:t>
      </w:r>
    </w:p>
    <w:p w:rsidR="00B033F7" w:rsidRPr="00092F68" w:rsidRDefault="00B033F7" w:rsidP="006C2BE2">
      <w:pPr>
        <w:spacing w:line="360" w:lineRule="auto"/>
        <w:ind w:left="284"/>
        <w:jc w:val="both"/>
        <w:rPr>
          <w:rFonts w:ascii="Arial" w:hAnsi="Arial"/>
          <w:sz w:val="24"/>
          <w:szCs w:val="24"/>
        </w:rPr>
      </w:pPr>
      <w:r w:rsidRPr="00092F68">
        <w:rPr>
          <w:rFonts w:ascii="Arial" w:hAnsi="Arial" w:cs="Arial"/>
          <w:sz w:val="24"/>
          <w:szCs w:val="24"/>
        </w:rPr>
        <w:t xml:space="preserve">En el período </w:t>
      </w:r>
      <w:r w:rsidRPr="00092F68">
        <w:rPr>
          <w:rFonts w:ascii="Arial" w:hAnsi="Arial"/>
          <w:sz w:val="24"/>
          <w:szCs w:val="24"/>
        </w:rPr>
        <w:t>01/07/15 al 22/09/16</w:t>
      </w:r>
      <w:r w:rsidRPr="00092F68">
        <w:rPr>
          <w:rFonts w:ascii="Arial" w:hAnsi="Arial" w:cs="Arial"/>
          <w:sz w:val="24"/>
          <w:szCs w:val="24"/>
        </w:rPr>
        <w:t>, la</w:t>
      </w:r>
      <w:r w:rsidRPr="00092F68">
        <w:rPr>
          <w:rFonts w:ascii="Arial" w:hAnsi="Arial"/>
          <w:sz w:val="24"/>
          <w:szCs w:val="24"/>
        </w:rPr>
        <w:t xml:space="preserve"> citada causal se utilizó en 745 convenios. La Auditoría Interna restringió el alcance del trabajo solicitado al período 01/01/16 al 22/09/16, analizando 220 convenios. Cabe aclarar que 187 de los mismos se efectuaron al amparo de los Decretos Nros. 11/2015 y 17/2015 de flexibilización </w:t>
      </w:r>
      <w:r w:rsidR="00092F68" w:rsidRPr="00092F68">
        <w:rPr>
          <w:rFonts w:ascii="Arial" w:hAnsi="Arial"/>
          <w:sz w:val="24"/>
          <w:szCs w:val="24"/>
        </w:rPr>
        <w:t>para la cancelación de adeudos.</w:t>
      </w:r>
    </w:p>
    <w:p w:rsidR="00B033F7" w:rsidRPr="00092F68" w:rsidRDefault="00B033F7" w:rsidP="006C2BE2">
      <w:pPr>
        <w:spacing w:line="360" w:lineRule="auto"/>
        <w:ind w:left="284"/>
        <w:jc w:val="both"/>
        <w:rPr>
          <w:rFonts w:ascii="Arial" w:hAnsi="Arial"/>
          <w:sz w:val="24"/>
          <w:szCs w:val="24"/>
        </w:rPr>
      </w:pPr>
      <w:r w:rsidRPr="00092F68">
        <w:rPr>
          <w:rFonts w:ascii="Arial" w:hAnsi="Arial"/>
          <w:sz w:val="24"/>
          <w:szCs w:val="24"/>
        </w:rPr>
        <w:t>Como resultado de dicha auditoría se constató:</w:t>
      </w:r>
    </w:p>
    <w:p w:rsidR="00B033F7" w:rsidRPr="00092F68" w:rsidRDefault="00B033F7" w:rsidP="00B033F7">
      <w:pPr>
        <w:numPr>
          <w:ilvl w:val="0"/>
          <w:numId w:val="16"/>
        </w:numPr>
        <w:suppressAutoHyphens w:val="0"/>
        <w:spacing w:after="0" w:line="360" w:lineRule="auto"/>
        <w:ind w:left="567" w:hanging="283"/>
        <w:jc w:val="both"/>
        <w:rPr>
          <w:rFonts w:ascii="Arial" w:hAnsi="Arial"/>
          <w:sz w:val="24"/>
          <w:szCs w:val="24"/>
        </w:rPr>
      </w:pPr>
      <w:r w:rsidRPr="00092F68">
        <w:rPr>
          <w:rFonts w:ascii="Arial" w:hAnsi="Arial"/>
          <w:sz w:val="24"/>
          <w:szCs w:val="24"/>
        </w:rPr>
        <w:t>158 convenios fueron pagados en su totalidad o dados de baja con el alta de la deuda convenida. Se puede destacar que en 2 convenios se identificó exoneración de multas y recargos realizada por 2 de las funcionarias involucradas, sin detallar motivo ni contar con documentación respaldatoria.</w:t>
      </w:r>
    </w:p>
    <w:p w:rsidR="00B033F7" w:rsidRPr="00092F68" w:rsidRDefault="00B033F7" w:rsidP="00B033F7">
      <w:pPr>
        <w:numPr>
          <w:ilvl w:val="0"/>
          <w:numId w:val="16"/>
        </w:numPr>
        <w:suppressAutoHyphens w:val="0"/>
        <w:spacing w:after="0" w:line="360" w:lineRule="auto"/>
        <w:ind w:left="567" w:hanging="283"/>
        <w:jc w:val="both"/>
        <w:rPr>
          <w:rFonts w:ascii="Arial" w:hAnsi="Arial"/>
          <w:sz w:val="24"/>
          <w:szCs w:val="24"/>
        </w:rPr>
      </w:pPr>
      <w:r w:rsidRPr="00092F68">
        <w:rPr>
          <w:rFonts w:ascii="Arial" w:hAnsi="Arial"/>
          <w:sz w:val="24"/>
          <w:szCs w:val="24"/>
        </w:rPr>
        <w:t>37 convenios en los que el contribuyente no había cancelado la totalidad del importe adeudado, y sin dar de alta la deuda convenida. De los convenios referidos, una de las funcionarias involucradas dio de baja 33 convenios por un monto impago total de $ 1:001.295, y otra de ellas dio de baja 4 convenios, por un monto impago total de $ 23.400. Asimismo, 13 convenios fueron dados de alta y de baja el mismo día, por las tres funcionarias involucradas.</w:t>
      </w:r>
    </w:p>
    <w:p w:rsidR="00B033F7" w:rsidRPr="00092F68" w:rsidRDefault="00B033F7" w:rsidP="00B033F7">
      <w:pPr>
        <w:numPr>
          <w:ilvl w:val="0"/>
          <w:numId w:val="16"/>
        </w:numPr>
        <w:suppressAutoHyphens w:val="0"/>
        <w:spacing w:after="0" w:line="360" w:lineRule="auto"/>
        <w:ind w:left="567" w:hanging="283"/>
        <w:jc w:val="both"/>
        <w:rPr>
          <w:rFonts w:ascii="Arial" w:hAnsi="Arial"/>
          <w:sz w:val="24"/>
          <w:szCs w:val="24"/>
        </w:rPr>
      </w:pPr>
      <w:r w:rsidRPr="00092F68">
        <w:rPr>
          <w:rFonts w:ascii="Arial" w:hAnsi="Arial"/>
          <w:sz w:val="24"/>
          <w:szCs w:val="24"/>
        </w:rPr>
        <w:t>6 convenios fueron dados de baja sin haberse cancelado en su totalidad, con el alta de la deuda convenida e ingreso en la cuenta corriente del contribuyente</w:t>
      </w:r>
      <w:r w:rsidRPr="00092F68">
        <w:rPr>
          <w:rFonts w:ascii="Arial" w:hAnsi="Arial"/>
          <w:b/>
          <w:sz w:val="24"/>
          <w:szCs w:val="24"/>
        </w:rPr>
        <w:t xml:space="preserve"> </w:t>
      </w:r>
      <w:r w:rsidRPr="00092F68">
        <w:rPr>
          <w:rFonts w:ascii="Arial" w:hAnsi="Arial"/>
          <w:sz w:val="24"/>
          <w:szCs w:val="24"/>
        </w:rPr>
        <w:t xml:space="preserve">de saldo a favor, el cual se desconoce su origen. Los 6 convenios corresponden a 6 Padrones del mismo contribuyente. Todos fueron dados de baja con el usuario de una de las funcionarias involucradas, y con fecha posterior a la baja, el mismo usuario ingresó en la cuenta corriente del contribuyente, un monto de </w:t>
      </w:r>
      <w:r w:rsidR="00AE0AFD">
        <w:rPr>
          <w:rFonts w:ascii="Arial" w:hAnsi="Arial"/>
          <w:sz w:val="24"/>
          <w:szCs w:val="24"/>
        </w:rPr>
        <w:t>$ 87.000 de origen desconocido.</w:t>
      </w:r>
    </w:p>
    <w:p w:rsidR="00B033F7" w:rsidRPr="00092F68" w:rsidRDefault="00B033F7" w:rsidP="00B033F7">
      <w:pPr>
        <w:numPr>
          <w:ilvl w:val="0"/>
          <w:numId w:val="16"/>
        </w:numPr>
        <w:suppressAutoHyphens w:val="0"/>
        <w:spacing w:after="0" w:line="360" w:lineRule="auto"/>
        <w:ind w:left="567" w:hanging="283"/>
        <w:jc w:val="both"/>
        <w:rPr>
          <w:rFonts w:ascii="Arial" w:hAnsi="Arial"/>
          <w:sz w:val="24"/>
          <w:szCs w:val="24"/>
        </w:rPr>
      </w:pPr>
      <w:r w:rsidRPr="00092F68">
        <w:rPr>
          <w:rFonts w:ascii="Arial" w:hAnsi="Arial"/>
          <w:sz w:val="24"/>
          <w:szCs w:val="24"/>
        </w:rPr>
        <w:t>2 convenios fueron dados de baja sin haberse cancelado la totalidad, con alta de la deuda convenida y sin alta del monto ya abonado en cuenta corriente. Ambos fueron dados de baja por el usuario del sistema de una de las funcionarias involucradas, con la descripción “a pedido de la titular del convenio”.</w:t>
      </w:r>
    </w:p>
    <w:p w:rsidR="00B033F7" w:rsidRPr="00092F68" w:rsidRDefault="00B033F7" w:rsidP="00B033F7">
      <w:pPr>
        <w:numPr>
          <w:ilvl w:val="0"/>
          <w:numId w:val="16"/>
        </w:numPr>
        <w:suppressAutoHyphens w:val="0"/>
        <w:spacing w:after="0" w:line="360" w:lineRule="auto"/>
        <w:ind w:left="567" w:hanging="283"/>
        <w:jc w:val="both"/>
        <w:rPr>
          <w:rFonts w:ascii="Arial" w:hAnsi="Arial"/>
          <w:sz w:val="24"/>
          <w:szCs w:val="24"/>
        </w:rPr>
      </w:pPr>
      <w:r w:rsidRPr="00092F68">
        <w:rPr>
          <w:rFonts w:ascii="Arial" w:hAnsi="Arial"/>
          <w:sz w:val="24"/>
          <w:szCs w:val="24"/>
        </w:rPr>
        <w:t>17 convenios fueron dados de baja con la prescripción de la deuda convenida anteriormente. De estos 17 convenios 4 fueron dados de baja dando lugar a un nuevo convenio y utilizando como parte de pago lo abonado en el convenio anterior. Los 13 convenios restantes fueron cancelados en su totalidad, utilizando como parte de pago lo abonado en el convenio anterior, los cuales también fueron dados de baja.</w:t>
      </w:r>
    </w:p>
    <w:p w:rsidR="00B033F7" w:rsidRPr="00092F68" w:rsidRDefault="00B033F7" w:rsidP="006C2BE2">
      <w:pPr>
        <w:spacing w:line="360" w:lineRule="auto"/>
        <w:ind w:left="284" w:hanging="284"/>
        <w:jc w:val="both"/>
        <w:rPr>
          <w:rFonts w:ascii="Arial" w:hAnsi="Arial"/>
          <w:sz w:val="24"/>
          <w:szCs w:val="24"/>
        </w:rPr>
      </w:pPr>
    </w:p>
    <w:p w:rsidR="00B033F7" w:rsidRPr="00092F68" w:rsidRDefault="00B033F7" w:rsidP="00B033F7">
      <w:pPr>
        <w:numPr>
          <w:ilvl w:val="0"/>
          <w:numId w:val="17"/>
        </w:numPr>
        <w:suppressAutoHyphens w:val="0"/>
        <w:spacing w:after="0" w:line="360" w:lineRule="auto"/>
        <w:ind w:left="284" w:hanging="284"/>
        <w:jc w:val="both"/>
        <w:rPr>
          <w:rFonts w:ascii="Arial" w:hAnsi="Arial"/>
          <w:sz w:val="24"/>
          <w:szCs w:val="24"/>
        </w:rPr>
      </w:pPr>
      <w:r w:rsidRPr="00092F68">
        <w:rPr>
          <w:rFonts w:ascii="Arial" w:hAnsi="Arial"/>
          <w:sz w:val="24"/>
          <w:szCs w:val="24"/>
        </w:rPr>
        <w:t>En segunda instancia, finalizada la auditoría sobre Contribución Inmobiliaria Urbana y Rural, se procedió a realizar la auditoría interna de Enajenación de Semovientes. De la misma surge como principal constatación que 722 guías, de un total de 15.618, no estaban ingresadas al sistema de Geotributos de la Intendencia, pero sí utilizadas en el Sistema Na</w:t>
      </w:r>
      <w:r w:rsidR="00092F68">
        <w:rPr>
          <w:rFonts w:ascii="Arial" w:hAnsi="Arial"/>
          <w:sz w:val="24"/>
          <w:szCs w:val="24"/>
        </w:rPr>
        <w:t>cional de Información Ganadera.</w:t>
      </w:r>
    </w:p>
    <w:p w:rsidR="00B033F7" w:rsidRPr="00092F68" w:rsidRDefault="00B033F7" w:rsidP="00B033F7">
      <w:pPr>
        <w:numPr>
          <w:ilvl w:val="0"/>
          <w:numId w:val="15"/>
        </w:numPr>
        <w:suppressAutoHyphens w:val="0"/>
        <w:spacing w:after="0" w:line="360" w:lineRule="auto"/>
        <w:ind w:left="284" w:hanging="284"/>
        <w:jc w:val="both"/>
        <w:rPr>
          <w:rFonts w:ascii="Arial" w:hAnsi="Arial"/>
          <w:sz w:val="24"/>
          <w:szCs w:val="24"/>
        </w:rPr>
      </w:pPr>
      <w:r w:rsidRPr="00092F68">
        <w:rPr>
          <w:rFonts w:ascii="Arial" w:hAnsi="Arial"/>
          <w:sz w:val="24"/>
          <w:szCs w:val="24"/>
        </w:rPr>
        <w:t xml:space="preserve">Por Resolución Nº 0265/2017 de 14/02/2017, el Intendente dispuso una Investigación Administrativa cuyo objeto es la individualización de los responsables de las maniobras puestas de manifiesto en la enajenación de semovientes y el impuesto relativo al mismo, designándose </w:t>
      </w:r>
      <w:r w:rsidR="00AE0AFD">
        <w:rPr>
          <w:rFonts w:ascii="Arial" w:hAnsi="Arial"/>
          <w:sz w:val="24"/>
          <w:szCs w:val="24"/>
        </w:rPr>
        <w:t>a un Escribano a estos efectos.</w:t>
      </w:r>
    </w:p>
    <w:p w:rsidR="00B033F7" w:rsidRPr="00055AC8" w:rsidRDefault="00B033F7" w:rsidP="00130F14">
      <w:pPr>
        <w:spacing w:line="360" w:lineRule="auto"/>
        <w:ind w:left="720"/>
        <w:jc w:val="both"/>
        <w:rPr>
          <w:rFonts w:ascii="Arial" w:hAnsi="Arial"/>
          <w:szCs w:val="24"/>
        </w:rPr>
      </w:pPr>
    </w:p>
    <w:p w:rsidR="00B033F7" w:rsidRPr="00BF1E93" w:rsidRDefault="00B033F7">
      <w:pPr>
        <w:pStyle w:val="Ttulo1"/>
        <w:spacing w:line="360" w:lineRule="auto"/>
        <w:rPr>
          <w:rFonts w:ascii="Arial" w:hAnsi="Arial" w:cs="Arial"/>
        </w:rPr>
      </w:pPr>
      <w:r>
        <w:rPr>
          <w:rFonts w:ascii="Arial" w:hAnsi="Arial" w:cs="Arial"/>
        </w:rPr>
        <w:t xml:space="preserve">6. </w:t>
      </w:r>
      <w:r w:rsidRPr="00BF1E93">
        <w:rPr>
          <w:rFonts w:ascii="Arial" w:hAnsi="Arial" w:cs="Arial"/>
        </w:rPr>
        <w:t>PROCEDIMIENTOS APLICADOS</w:t>
      </w:r>
      <w:bookmarkEnd w:id="5"/>
      <w:bookmarkEnd w:id="6"/>
    </w:p>
    <w:p w:rsidR="00B033F7" w:rsidRDefault="00B033F7" w:rsidP="006A3973">
      <w:pPr>
        <w:pStyle w:val="Acta"/>
        <w:widowControl/>
        <w:tabs>
          <w:tab w:val="clear" w:pos="4536"/>
          <w:tab w:val="clear" w:pos="9072"/>
          <w:tab w:val="left" w:pos="284"/>
        </w:tabs>
        <w:spacing w:line="360" w:lineRule="auto"/>
        <w:rPr>
          <w:rFonts w:ascii="Arial" w:hAnsi="Arial" w:cs="Arial"/>
          <w:lang w:val="es-ES"/>
        </w:rPr>
      </w:pPr>
      <w:r>
        <w:rPr>
          <w:rFonts w:ascii="Arial" w:hAnsi="Arial" w:cs="Arial"/>
          <w:lang w:val="es-ES"/>
        </w:rPr>
        <w:t>A efectos de obtener evidencia suficiente para cumplir con el objetivo de auditoría mencionado en el punto 2 de este informe, se efectuaron los siguientes procedimientos.</w:t>
      </w:r>
    </w:p>
    <w:p w:rsidR="00B033F7" w:rsidRPr="00E40F30" w:rsidRDefault="00B033F7" w:rsidP="00B033F7">
      <w:pPr>
        <w:pStyle w:val="Textoindependiente"/>
        <w:numPr>
          <w:ilvl w:val="0"/>
          <w:numId w:val="2"/>
        </w:numPr>
        <w:tabs>
          <w:tab w:val="left" w:pos="284"/>
        </w:tabs>
        <w:ind w:left="284" w:hanging="284"/>
        <w:rPr>
          <w:rFonts w:ascii="Arial" w:hAnsi="Arial" w:cs="Arial"/>
        </w:rPr>
      </w:pPr>
      <w:r>
        <w:rPr>
          <w:rFonts w:ascii="Arial" w:hAnsi="Arial" w:cs="Arial"/>
        </w:rPr>
        <w:t>E</w:t>
      </w:r>
      <w:r w:rsidRPr="00380DCA">
        <w:rPr>
          <w:rFonts w:ascii="Arial" w:hAnsi="Arial" w:cs="Arial"/>
        </w:rPr>
        <w:t>ntrevist</w:t>
      </w:r>
      <w:r>
        <w:rPr>
          <w:rFonts w:ascii="Arial" w:hAnsi="Arial" w:cs="Arial"/>
        </w:rPr>
        <w:t>as</w:t>
      </w:r>
      <w:r w:rsidRPr="00380DCA">
        <w:rPr>
          <w:rFonts w:ascii="Arial" w:hAnsi="Arial" w:cs="Arial"/>
        </w:rPr>
        <w:t xml:space="preserve"> al personal de </w:t>
      </w:r>
      <w:r>
        <w:rPr>
          <w:rFonts w:ascii="Arial" w:hAnsi="Arial" w:cs="Arial"/>
        </w:rPr>
        <w:t>I</w:t>
      </w:r>
      <w:r w:rsidRPr="00380DCA">
        <w:rPr>
          <w:rFonts w:ascii="Arial" w:hAnsi="Arial" w:cs="Arial"/>
        </w:rPr>
        <w:t>nformática</w:t>
      </w:r>
      <w:r>
        <w:rPr>
          <w:rFonts w:ascii="Arial" w:hAnsi="Arial" w:cs="Arial"/>
        </w:rPr>
        <w:t xml:space="preserve"> de la Intendencia.</w:t>
      </w:r>
    </w:p>
    <w:p w:rsidR="00B033F7" w:rsidRPr="00F67BEB" w:rsidRDefault="00B033F7" w:rsidP="00B033F7">
      <w:pPr>
        <w:pStyle w:val="Textoindependiente"/>
        <w:numPr>
          <w:ilvl w:val="0"/>
          <w:numId w:val="2"/>
        </w:numPr>
        <w:tabs>
          <w:tab w:val="left" w:pos="284"/>
        </w:tabs>
        <w:ind w:left="284" w:hanging="284"/>
        <w:rPr>
          <w:rFonts w:ascii="Arial" w:hAnsi="Arial" w:cs="Arial"/>
        </w:rPr>
      </w:pPr>
      <w:r>
        <w:rPr>
          <w:rFonts w:ascii="Arial" w:hAnsi="Arial" w:cs="Arial"/>
        </w:rPr>
        <w:t xml:space="preserve">Relevamiento del </w:t>
      </w:r>
      <w:r w:rsidRPr="00380DCA">
        <w:rPr>
          <w:rFonts w:ascii="Arial" w:hAnsi="Arial" w:cs="Arial"/>
        </w:rPr>
        <w:t>procedimiento de otorga</w:t>
      </w:r>
      <w:r>
        <w:rPr>
          <w:rFonts w:ascii="Arial" w:hAnsi="Arial" w:cs="Arial"/>
        </w:rPr>
        <w:t xml:space="preserve">r </w:t>
      </w:r>
      <w:r w:rsidRPr="00380DCA">
        <w:rPr>
          <w:rFonts w:ascii="Arial" w:hAnsi="Arial" w:cs="Arial"/>
        </w:rPr>
        <w:t>permisos,</w:t>
      </w:r>
      <w:r>
        <w:rPr>
          <w:rFonts w:ascii="Arial" w:hAnsi="Arial" w:cs="Arial"/>
        </w:rPr>
        <w:t xml:space="preserve"> </w:t>
      </w:r>
      <w:r w:rsidRPr="00380DCA">
        <w:rPr>
          <w:rFonts w:ascii="Arial" w:hAnsi="Arial" w:cs="Arial"/>
        </w:rPr>
        <w:t xml:space="preserve">revisión de logs, seguridad </w:t>
      </w:r>
      <w:r>
        <w:rPr>
          <w:rFonts w:ascii="Arial" w:hAnsi="Arial" w:cs="Arial"/>
        </w:rPr>
        <w:t>y</w:t>
      </w:r>
      <w:r w:rsidRPr="00380DCA">
        <w:rPr>
          <w:rFonts w:ascii="Arial" w:hAnsi="Arial" w:cs="Arial"/>
        </w:rPr>
        <w:t xml:space="preserve"> parametrización de las </w:t>
      </w:r>
      <w:r>
        <w:rPr>
          <w:rFonts w:ascii="Arial" w:hAnsi="Arial" w:cs="Arial"/>
        </w:rPr>
        <w:t>contraseñas</w:t>
      </w:r>
      <w:r w:rsidRPr="00380DCA">
        <w:rPr>
          <w:rFonts w:ascii="Arial" w:hAnsi="Arial" w:cs="Arial"/>
        </w:rPr>
        <w:t>, resguardo y respaldo de la información y los controles de aplicación sobre los sistemas Geotributos (tributos) y GCI (contable) e interfaz entre los mismos.</w:t>
      </w:r>
    </w:p>
    <w:p w:rsidR="00B033F7" w:rsidRPr="00380DCA" w:rsidRDefault="00B033F7" w:rsidP="00B033F7">
      <w:pPr>
        <w:pStyle w:val="Textoindependiente"/>
        <w:numPr>
          <w:ilvl w:val="0"/>
          <w:numId w:val="2"/>
        </w:numPr>
        <w:tabs>
          <w:tab w:val="left" w:pos="284"/>
        </w:tabs>
        <w:ind w:left="284" w:hanging="284"/>
        <w:rPr>
          <w:rFonts w:ascii="Arial" w:hAnsi="Arial" w:cs="Arial"/>
        </w:rPr>
      </w:pPr>
      <w:r>
        <w:rPr>
          <w:rFonts w:ascii="Arial" w:hAnsi="Arial" w:cs="Arial"/>
        </w:rPr>
        <w:t>Solicitud de</w:t>
      </w:r>
      <w:r w:rsidRPr="00380DCA">
        <w:rPr>
          <w:rFonts w:ascii="Arial" w:hAnsi="Arial" w:cs="Arial"/>
        </w:rPr>
        <w:t xml:space="preserve"> información a Tesorería, sobre los sistemas informáticos utilizados en el proceso del cobro de tributos, y las actividades realizadas por esta dependencia vinculada con el proceso de cobranzas.</w:t>
      </w:r>
    </w:p>
    <w:p w:rsidR="00B033F7" w:rsidRDefault="00B033F7" w:rsidP="00B033F7">
      <w:pPr>
        <w:pStyle w:val="Textoindependiente"/>
        <w:numPr>
          <w:ilvl w:val="0"/>
          <w:numId w:val="2"/>
        </w:numPr>
        <w:tabs>
          <w:tab w:val="left" w:pos="284"/>
        </w:tabs>
        <w:ind w:left="284" w:hanging="284"/>
        <w:rPr>
          <w:rFonts w:ascii="Arial" w:hAnsi="Arial" w:cs="Arial"/>
        </w:rPr>
      </w:pPr>
      <w:r>
        <w:rPr>
          <w:rFonts w:ascii="Arial" w:hAnsi="Arial" w:cs="Arial"/>
        </w:rPr>
        <w:t>Solicitud de</w:t>
      </w:r>
      <w:r w:rsidRPr="007B0EFB">
        <w:rPr>
          <w:rFonts w:ascii="Arial" w:hAnsi="Arial" w:cs="Arial"/>
        </w:rPr>
        <w:t xml:space="preserve"> información a la Dirección de Jurídica sobre el procedimiento para realizar un convenio de pago y los sistemas informáticos utilizados para ello</w:t>
      </w:r>
      <w:r>
        <w:rPr>
          <w:rFonts w:ascii="Arial" w:hAnsi="Arial" w:cs="Arial"/>
        </w:rPr>
        <w:t>,</w:t>
      </w:r>
      <w:r w:rsidRPr="007B0EFB">
        <w:rPr>
          <w:rFonts w:ascii="Arial" w:hAnsi="Arial" w:cs="Arial"/>
        </w:rPr>
        <w:t xml:space="preserve"> así como la forma para dar de baja un convenio por configurar alguna causal de incumplimiento</w:t>
      </w:r>
      <w:r>
        <w:rPr>
          <w:rFonts w:ascii="Arial" w:hAnsi="Arial" w:cs="Arial"/>
        </w:rPr>
        <w:t>,</w:t>
      </w:r>
      <w:r w:rsidRPr="007B0EFB">
        <w:rPr>
          <w:rFonts w:ascii="Arial" w:hAnsi="Arial" w:cs="Arial"/>
        </w:rPr>
        <w:t xml:space="preserve"> y la copia de la normativa  por la cual se </w:t>
      </w:r>
      <w:r w:rsidR="00092F68">
        <w:rPr>
          <w:rFonts w:ascii="Arial" w:hAnsi="Arial" w:cs="Arial"/>
        </w:rPr>
        <w:t>autoriza a suscribir convenios.</w:t>
      </w:r>
    </w:p>
    <w:p w:rsidR="00B033F7" w:rsidRDefault="00B033F7" w:rsidP="00B033F7">
      <w:pPr>
        <w:pStyle w:val="Textoindependiente"/>
        <w:numPr>
          <w:ilvl w:val="0"/>
          <w:numId w:val="2"/>
        </w:numPr>
        <w:tabs>
          <w:tab w:val="left" w:pos="284"/>
        </w:tabs>
        <w:ind w:left="284" w:hanging="284"/>
        <w:rPr>
          <w:rFonts w:ascii="Arial" w:hAnsi="Arial" w:cs="Arial"/>
        </w:rPr>
      </w:pPr>
      <w:r>
        <w:rPr>
          <w:rFonts w:ascii="Arial" w:hAnsi="Arial" w:cs="Arial"/>
        </w:rPr>
        <w:t>C</w:t>
      </w:r>
      <w:r w:rsidRPr="007B0EFB">
        <w:rPr>
          <w:rFonts w:ascii="Arial" w:hAnsi="Arial" w:cs="Arial"/>
        </w:rPr>
        <w:t xml:space="preserve">uestionario </w:t>
      </w:r>
      <w:r>
        <w:rPr>
          <w:rFonts w:ascii="Arial" w:hAnsi="Arial" w:cs="Arial"/>
        </w:rPr>
        <w:t>de evaluación de</w:t>
      </w:r>
      <w:r w:rsidRPr="007B0EFB">
        <w:rPr>
          <w:rFonts w:ascii="Arial" w:hAnsi="Arial" w:cs="Arial"/>
        </w:rPr>
        <w:t xml:space="preserve"> control interno</w:t>
      </w:r>
      <w:r>
        <w:rPr>
          <w:rFonts w:ascii="Arial" w:hAnsi="Arial" w:cs="Arial"/>
        </w:rPr>
        <w:t>.</w:t>
      </w:r>
    </w:p>
    <w:p w:rsidR="00B033F7" w:rsidRPr="007B0EFB" w:rsidRDefault="00B033F7" w:rsidP="00B033F7">
      <w:pPr>
        <w:pStyle w:val="Textoindependiente"/>
        <w:numPr>
          <w:ilvl w:val="0"/>
          <w:numId w:val="2"/>
        </w:numPr>
        <w:tabs>
          <w:tab w:val="left" w:pos="284"/>
        </w:tabs>
        <w:ind w:left="284" w:hanging="284"/>
        <w:rPr>
          <w:rFonts w:ascii="Arial" w:hAnsi="Arial" w:cs="Arial"/>
        </w:rPr>
      </w:pPr>
      <w:r>
        <w:rPr>
          <w:rFonts w:ascii="Arial" w:hAnsi="Arial" w:cs="Arial"/>
        </w:rPr>
        <w:t>Elaboración de</w:t>
      </w:r>
      <w:r w:rsidRPr="007B0EFB">
        <w:rPr>
          <w:rFonts w:ascii="Arial" w:hAnsi="Arial" w:cs="Arial"/>
        </w:rPr>
        <w:t xml:space="preserve"> </w:t>
      </w:r>
      <w:r>
        <w:rPr>
          <w:rFonts w:ascii="Arial" w:hAnsi="Arial" w:cs="Arial"/>
        </w:rPr>
        <w:t xml:space="preserve">un </w:t>
      </w:r>
      <w:r w:rsidRPr="007B0EFB">
        <w:rPr>
          <w:rFonts w:ascii="Arial" w:hAnsi="Arial" w:cs="Arial"/>
        </w:rPr>
        <w:t xml:space="preserve">acta a la Directora de Hacienda, </w:t>
      </w:r>
      <w:r>
        <w:rPr>
          <w:rFonts w:ascii="Arial" w:hAnsi="Arial" w:cs="Arial"/>
        </w:rPr>
        <w:t>para relevar el</w:t>
      </w:r>
      <w:r w:rsidRPr="007B0EFB">
        <w:rPr>
          <w:rFonts w:ascii="Arial" w:hAnsi="Arial" w:cs="Arial"/>
        </w:rPr>
        <w:t xml:space="preserve"> procedimiento de determinación de los montos de los tributos, proceso de cobranzas, contabilización y sistemas informáticos</w:t>
      </w:r>
      <w:r w:rsidR="00092F68">
        <w:rPr>
          <w:rFonts w:ascii="Arial" w:hAnsi="Arial" w:cs="Arial"/>
        </w:rPr>
        <w:t xml:space="preserve"> utilizados por la Intendencia.</w:t>
      </w:r>
    </w:p>
    <w:p w:rsidR="00B033F7" w:rsidRPr="00380DCA" w:rsidRDefault="00B033F7" w:rsidP="00B033F7">
      <w:pPr>
        <w:pStyle w:val="Textoindependiente"/>
        <w:numPr>
          <w:ilvl w:val="0"/>
          <w:numId w:val="2"/>
        </w:numPr>
        <w:tabs>
          <w:tab w:val="left" w:pos="284"/>
        </w:tabs>
        <w:ind w:left="284" w:hanging="284"/>
        <w:rPr>
          <w:rFonts w:ascii="Arial" w:hAnsi="Arial" w:cs="Arial"/>
        </w:rPr>
      </w:pPr>
      <w:r>
        <w:rPr>
          <w:rFonts w:ascii="Arial" w:hAnsi="Arial" w:cs="Arial"/>
        </w:rPr>
        <w:t xml:space="preserve">Entrevistas al </w:t>
      </w:r>
      <w:r w:rsidRPr="00380DCA">
        <w:rPr>
          <w:rFonts w:ascii="Arial" w:hAnsi="Arial" w:cs="Arial"/>
        </w:rPr>
        <w:t>Director del Área de Tributos.</w:t>
      </w:r>
    </w:p>
    <w:p w:rsidR="00B033F7" w:rsidRDefault="00B033F7" w:rsidP="00B033F7">
      <w:pPr>
        <w:pStyle w:val="Textoindependiente"/>
        <w:numPr>
          <w:ilvl w:val="0"/>
          <w:numId w:val="2"/>
        </w:numPr>
        <w:tabs>
          <w:tab w:val="left" w:pos="284"/>
        </w:tabs>
        <w:ind w:left="284" w:hanging="284"/>
        <w:rPr>
          <w:rFonts w:ascii="Arial" w:hAnsi="Arial" w:cs="Arial"/>
        </w:rPr>
      </w:pPr>
      <w:r>
        <w:rPr>
          <w:rFonts w:ascii="Arial" w:hAnsi="Arial" w:cs="Arial"/>
        </w:rPr>
        <w:t>Análisis de</w:t>
      </w:r>
      <w:r w:rsidRPr="003D2612">
        <w:rPr>
          <w:rFonts w:ascii="Arial" w:hAnsi="Arial" w:cs="Arial"/>
        </w:rPr>
        <w:t xml:space="preserve"> los expedientes de sumarios e investigaciones </w:t>
      </w:r>
      <w:r w:rsidRPr="002B5BE9">
        <w:rPr>
          <w:rFonts w:ascii="Arial" w:hAnsi="Arial" w:cs="Arial"/>
        </w:rPr>
        <w:t>administrativas efectuados por la Intendencia a las funcionarias involucradas.</w:t>
      </w:r>
    </w:p>
    <w:p w:rsidR="00B033F7" w:rsidRPr="00FE3A4B" w:rsidRDefault="00B033F7" w:rsidP="00B033F7">
      <w:pPr>
        <w:pStyle w:val="Textoindependiente"/>
        <w:numPr>
          <w:ilvl w:val="0"/>
          <w:numId w:val="2"/>
        </w:numPr>
        <w:tabs>
          <w:tab w:val="left" w:pos="284"/>
        </w:tabs>
        <w:ind w:left="284" w:hanging="284"/>
        <w:rPr>
          <w:rFonts w:ascii="Arial" w:hAnsi="Arial" w:cs="Arial"/>
        </w:rPr>
      </w:pPr>
      <w:r>
        <w:rPr>
          <w:rFonts w:ascii="Arial" w:hAnsi="Arial" w:cs="Arial"/>
        </w:rPr>
        <w:t>Determinación de</w:t>
      </w:r>
      <w:r w:rsidRPr="00FE3A4B">
        <w:rPr>
          <w:rFonts w:ascii="Arial" w:hAnsi="Arial" w:cs="Arial"/>
        </w:rPr>
        <w:t xml:space="preserve"> una muestra sobre los convenios dados de “baja por causal 40” en el sistema de Geotributos, para comprobar las irregularidades denunciadas y a los efectos de verificar si los mismos fueron dados de alta</w:t>
      </w:r>
      <w:r>
        <w:rPr>
          <w:rFonts w:ascii="Arial" w:hAnsi="Arial" w:cs="Arial"/>
        </w:rPr>
        <w:t xml:space="preserve"> con posterioridad</w:t>
      </w:r>
      <w:r w:rsidR="00092F68">
        <w:rPr>
          <w:rFonts w:ascii="Arial" w:hAnsi="Arial" w:cs="Arial"/>
        </w:rPr>
        <w:t>.</w:t>
      </w:r>
    </w:p>
    <w:p w:rsidR="00B033F7" w:rsidRDefault="00B033F7" w:rsidP="00B033F7">
      <w:pPr>
        <w:pStyle w:val="Textoindependiente"/>
        <w:numPr>
          <w:ilvl w:val="0"/>
          <w:numId w:val="2"/>
        </w:numPr>
        <w:tabs>
          <w:tab w:val="left" w:pos="284"/>
        </w:tabs>
        <w:ind w:left="284" w:hanging="284"/>
        <w:rPr>
          <w:rFonts w:ascii="Arial" w:hAnsi="Arial" w:cs="Arial"/>
        </w:rPr>
      </w:pPr>
      <w:r>
        <w:rPr>
          <w:rFonts w:ascii="Arial" w:hAnsi="Arial" w:cs="Arial"/>
        </w:rPr>
        <w:t>Selección de</w:t>
      </w:r>
      <w:r w:rsidRPr="00293174">
        <w:rPr>
          <w:rFonts w:ascii="Arial" w:hAnsi="Arial" w:cs="Arial"/>
        </w:rPr>
        <w:t xml:space="preserve"> una muestra al azar </w:t>
      </w:r>
      <w:r>
        <w:rPr>
          <w:rFonts w:ascii="Arial" w:hAnsi="Arial" w:cs="Arial"/>
        </w:rPr>
        <w:t xml:space="preserve">de convenios </w:t>
      </w:r>
      <w:r w:rsidRPr="00293174">
        <w:rPr>
          <w:rFonts w:ascii="Arial" w:hAnsi="Arial" w:cs="Arial"/>
        </w:rPr>
        <w:t xml:space="preserve">del año 2016, </w:t>
      </w:r>
      <w:r>
        <w:rPr>
          <w:rFonts w:ascii="Arial" w:hAnsi="Arial" w:cs="Arial"/>
        </w:rPr>
        <w:t xml:space="preserve">que no fueron </w:t>
      </w:r>
      <w:r w:rsidRPr="00293174">
        <w:rPr>
          <w:rFonts w:ascii="Arial" w:hAnsi="Arial" w:cs="Arial"/>
        </w:rPr>
        <w:t>dados de “baja con causal 40”</w:t>
      </w:r>
      <w:r>
        <w:rPr>
          <w:rFonts w:ascii="Arial" w:hAnsi="Arial" w:cs="Arial"/>
        </w:rPr>
        <w:t>.</w:t>
      </w:r>
    </w:p>
    <w:p w:rsidR="00B033F7" w:rsidRPr="000E441B" w:rsidRDefault="00B033F7" w:rsidP="00B033F7">
      <w:pPr>
        <w:pStyle w:val="Textoindependiente"/>
        <w:numPr>
          <w:ilvl w:val="0"/>
          <w:numId w:val="2"/>
        </w:numPr>
        <w:tabs>
          <w:tab w:val="left" w:pos="284"/>
        </w:tabs>
        <w:ind w:left="284" w:hanging="284"/>
        <w:rPr>
          <w:rFonts w:ascii="Arial" w:hAnsi="Arial" w:cs="Arial"/>
        </w:rPr>
      </w:pPr>
      <w:r w:rsidRPr="004C39C7">
        <w:rPr>
          <w:rFonts w:ascii="Arial" w:hAnsi="Arial" w:cs="Arial"/>
        </w:rPr>
        <w:t>Análisis de convenios suscritos durante el per</w:t>
      </w:r>
      <w:r>
        <w:rPr>
          <w:rFonts w:ascii="Arial" w:hAnsi="Arial" w:cs="Arial"/>
        </w:rPr>
        <w:t>í</w:t>
      </w:r>
      <w:r w:rsidRPr="004C39C7">
        <w:rPr>
          <w:rFonts w:ascii="Arial" w:hAnsi="Arial" w:cs="Arial"/>
        </w:rPr>
        <w:t xml:space="preserve">odo de vigencia del Decreto </w:t>
      </w:r>
      <w:r>
        <w:rPr>
          <w:rFonts w:ascii="Arial" w:hAnsi="Arial" w:cs="Arial"/>
        </w:rPr>
        <w:t xml:space="preserve">Nº </w:t>
      </w:r>
      <w:r w:rsidRPr="004C39C7">
        <w:rPr>
          <w:rFonts w:ascii="Arial" w:hAnsi="Arial" w:cs="Arial"/>
        </w:rPr>
        <w:t xml:space="preserve">11/2015 de la Junta Departamental, que establece un régimen de flexibilización para cancelación de adeudos de </w:t>
      </w:r>
      <w:r>
        <w:rPr>
          <w:rFonts w:ascii="Arial" w:hAnsi="Arial" w:cs="Arial"/>
        </w:rPr>
        <w:t>la Contribución Inmobiliaria R</w:t>
      </w:r>
      <w:r w:rsidRPr="004C39C7">
        <w:rPr>
          <w:rFonts w:ascii="Arial" w:hAnsi="Arial" w:cs="Arial"/>
        </w:rPr>
        <w:t>ural y tributos depart</w:t>
      </w:r>
      <w:r>
        <w:rPr>
          <w:rFonts w:ascii="Arial" w:hAnsi="Arial" w:cs="Arial"/>
        </w:rPr>
        <w:t>amentales, con excepción de la P</w:t>
      </w:r>
      <w:r w:rsidRPr="004C39C7">
        <w:rPr>
          <w:rFonts w:ascii="Arial" w:hAnsi="Arial" w:cs="Arial"/>
        </w:rPr>
        <w:t>atent</w:t>
      </w:r>
      <w:r>
        <w:rPr>
          <w:rFonts w:ascii="Arial" w:hAnsi="Arial" w:cs="Arial"/>
        </w:rPr>
        <w:t>e de R</w:t>
      </w:r>
      <w:r w:rsidRPr="000E441B">
        <w:rPr>
          <w:rFonts w:ascii="Arial" w:hAnsi="Arial" w:cs="Arial"/>
        </w:rPr>
        <w:t>odados.</w:t>
      </w:r>
    </w:p>
    <w:p w:rsidR="00B033F7" w:rsidRPr="00380DCA" w:rsidRDefault="00B033F7" w:rsidP="00B033F7">
      <w:pPr>
        <w:pStyle w:val="Textoindependiente"/>
        <w:numPr>
          <w:ilvl w:val="0"/>
          <w:numId w:val="2"/>
        </w:numPr>
        <w:tabs>
          <w:tab w:val="left" w:pos="284"/>
        </w:tabs>
        <w:ind w:left="284" w:hanging="284"/>
        <w:rPr>
          <w:rFonts w:ascii="Arial" w:hAnsi="Arial" w:cs="Arial"/>
        </w:rPr>
      </w:pPr>
      <w:r>
        <w:rPr>
          <w:rFonts w:ascii="Arial" w:hAnsi="Arial" w:cs="Arial"/>
        </w:rPr>
        <w:t xml:space="preserve"> Indagación</w:t>
      </w:r>
      <w:r w:rsidRPr="00380DCA">
        <w:rPr>
          <w:rFonts w:ascii="Arial" w:hAnsi="Arial" w:cs="Arial"/>
        </w:rPr>
        <w:t xml:space="preserve"> sobre las direcciones virtuales </w:t>
      </w:r>
      <w:r>
        <w:rPr>
          <w:rFonts w:ascii="Arial" w:hAnsi="Arial" w:cs="Arial"/>
        </w:rPr>
        <w:t xml:space="preserve">(IP) </w:t>
      </w:r>
      <w:r w:rsidRPr="00380DCA">
        <w:rPr>
          <w:rFonts w:ascii="Arial" w:hAnsi="Arial" w:cs="Arial"/>
        </w:rPr>
        <w:t>de los puestos de trabajo del personal involucrado</w:t>
      </w:r>
      <w:r>
        <w:rPr>
          <w:rFonts w:ascii="Arial" w:hAnsi="Arial" w:cs="Arial"/>
        </w:rPr>
        <w:t>,</w:t>
      </w:r>
      <w:r w:rsidRPr="00380DCA">
        <w:rPr>
          <w:rFonts w:ascii="Arial" w:hAnsi="Arial" w:cs="Arial"/>
        </w:rPr>
        <w:t xml:space="preserve"> para determinar la posibilidad de identificar desde qu</w:t>
      </w:r>
      <w:r>
        <w:rPr>
          <w:rFonts w:ascii="Arial" w:hAnsi="Arial" w:cs="Arial"/>
        </w:rPr>
        <w:t>é</w:t>
      </w:r>
      <w:r w:rsidRPr="00380DCA">
        <w:rPr>
          <w:rFonts w:ascii="Arial" w:hAnsi="Arial" w:cs="Arial"/>
        </w:rPr>
        <w:t xml:space="preserve"> equipos se realizaron las bajas irregulares de convenios.</w:t>
      </w:r>
    </w:p>
    <w:p w:rsidR="00B033F7" w:rsidRPr="00380DCA" w:rsidRDefault="00B033F7" w:rsidP="00B033F7">
      <w:pPr>
        <w:pStyle w:val="Textoindependiente"/>
        <w:numPr>
          <w:ilvl w:val="0"/>
          <w:numId w:val="2"/>
        </w:numPr>
        <w:tabs>
          <w:tab w:val="left" w:pos="284"/>
        </w:tabs>
        <w:ind w:left="284" w:hanging="284"/>
        <w:rPr>
          <w:rFonts w:ascii="Arial" w:hAnsi="Arial" w:cs="Arial"/>
        </w:rPr>
      </w:pPr>
      <w:r>
        <w:rPr>
          <w:rFonts w:ascii="Arial" w:hAnsi="Arial" w:cs="Arial"/>
        </w:rPr>
        <w:t xml:space="preserve">Estudio de </w:t>
      </w:r>
      <w:r w:rsidRPr="00380DCA">
        <w:rPr>
          <w:rFonts w:ascii="Arial" w:hAnsi="Arial" w:cs="Arial"/>
        </w:rPr>
        <w:t>los campos de las tablas del sistema Geotributos en busca de</w:t>
      </w:r>
      <w:r>
        <w:rPr>
          <w:rFonts w:ascii="Arial" w:hAnsi="Arial" w:cs="Arial"/>
        </w:rPr>
        <w:t xml:space="preserve">l </w:t>
      </w:r>
      <w:r w:rsidRPr="00380DCA">
        <w:rPr>
          <w:rFonts w:ascii="Arial" w:hAnsi="Arial" w:cs="Arial"/>
        </w:rPr>
        <w:t>registro de identificación de los puestos que realizan las transacciones.</w:t>
      </w:r>
    </w:p>
    <w:p w:rsidR="00B033F7" w:rsidRDefault="00B033F7" w:rsidP="00B033F7">
      <w:pPr>
        <w:pStyle w:val="Textoindependiente"/>
        <w:numPr>
          <w:ilvl w:val="0"/>
          <w:numId w:val="2"/>
        </w:numPr>
        <w:tabs>
          <w:tab w:val="left" w:pos="284"/>
        </w:tabs>
        <w:ind w:left="284" w:hanging="284"/>
        <w:rPr>
          <w:rFonts w:ascii="Arial" w:hAnsi="Arial" w:cs="Arial"/>
        </w:rPr>
      </w:pPr>
      <w:r>
        <w:rPr>
          <w:rFonts w:ascii="Arial" w:hAnsi="Arial" w:cs="Arial"/>
        </w:rPr>
        <w:t>Análisis de</w:t>
      </w:r>
      <w:r w:rsidRPr="00380DCA">
        <w:rPr>
          <w:rFonts w:ascii="Arial" w:hAnsi="Arial" w:cs="Arial"/>
        </w:rPr>
        <w:t xml:space="preserve"> la evolución de la recaudación de los años 2013, 2014, 2015 y 2016, comparando las bases de datos del sistema Geotributos, con lo contabilizado en el sistema contable GCI.</w:t>
      </w:r>
    </w:p>
    <w:p w:rsidR="00B033F7" w:rsidRDefault="00B033F7" w:rsidP="00A977DF">
      <w:pPr>
        <w:pStyle w:val="Textoindependiente"/>
        <w:tabs>
          <w:tab w:val="left" w:pos="284"/>
        </w:tabs>
        <w:ind w:left="644"/>
        <w:rPr>
          <w:rFonts w:ascii="Arial" w:hAnsi="Arial" w:cs="Arial"/>
        </w:rPr>
      </w:pPr>
    </w:p>
    <w:p w:rsidR="00B033F7" w:rsidRPr="00BC643C" w:rsidRDefault="00B033F7" w:rsidP="000E577D">
      <w:pPr>
        <w:pStyle w:val="Ttulo1"/>
        <w:spacing w:line="360" w:lineRule="auto"/>
        <w:rPr>
          <w:rFonts w:ascii="Arial" w:hAnsi="Arial" w:cs="Arial"/>
        </w:rPr>
      </w:pPr>
      <w:r w:rsidRPr="00BC643C">
        <w:rPr>
          <w:rFonts w:ascii="Arial" w:hAnsi="Arial" w:cs="Arial"/>
        </w:rPr>
        <w:t xml:space="preserve">7. </w:t>
      </w:r>
      <w:r w:rsidRPr="00BC643C">
        <w:rPr>
          <w:rFonts w:ascii="Arial" w:hAnsi="Arial" w:cs="Arial"/>
          <w:caps/>
        </w:rPr>
        <w:t>Limitaciones que afectaron la ejecución de la auditoría</w:t>
      </w:r>
    </w:p>
    <w:p w:rsidR="00B033F7" w:rsidRDefault="00B033F7" w:rsidP="00AA34E5">
      <w:pPr>
        <w:pStyle w:val="Textoindependiente"/>
        <w:tabs>
          <w:tab w:val="left" w:pos="284"/>
        </w:tabs>
        <w:rPr>
          <w:rFonts w:ascii="Arial" w:hAnsi="Arial" w:cs="Arial"/>
        </w:rPr>
      </w:pPr>
      <w:r>
        <w:rPr>
          <w:rFonts w:ascii="Arial" w:hAnsi="Arial" w:cs="Arial"/>
        </w:rPr>
        <w:t xml:space="preserve">Del total de la muestra analizada de 107 convenios </w:t>
      </w:r>
      <w:r w:rsidRPr="00233FF9">
        <w:rPr>
          <w:rFonts w:ascii="Arial" w:hAnsi="Arial" w:cs="Arial"/>
        </w:rPr>
        <w:t xml:space="preserve">dados de </w:t>
      </w:r>
      <w:r>
        <w:rPr>
          <w:rFonts w:ascii="Arial" w:hAnsi="Arial" w:cs="Arial"/>
        </w:rPr>
        <w:t>“</w:t>
      </w:r>
      <w:r w:rsidRPr="00233FF9">
        <w:rPr>
          <w:rFonts w:ascii="Arial" w:hAnsi="Arial" w:cs="Arial"/>
        </w:rPr>
        <w:t>baj</w:t>
      </w:r>
      <w:r>
        <w:rPr>
          <w:rFonts w:ascii="Arial" w:hAnsi="Arial" w:cs="Arial"/>
        </w:rPr>
        <w:t>a</w:t>
      </w:r>
      <w:r w:rsidRPr="00233FF9">
        <w:rPr>
          <w:rFonts w:ascii="Arial" w:hAnsi="Arial" w:cs="Arial"/>
        </w:rPr>
        <w:t xml:space="preserve"> con causal 40</w:t>
      </w:r>
      <w:r>
        <w:rPr>
          <w:rFonts w:ascii="Arial" w:hAnsi="Arial" w:cs="Arial"/>
        </w:rPr>
        <w:t xml:space="preserve">” en el período examinado, sólo el 6% </w:t>
      </w:r>
      <w:r w:rsidRPr="00233FF9">
        <w:rPr>
          <w:rFonts w:ascii="Arial" w:hAnsi="Arial" w:cs="Arial"/>
        </w:rPr>
        <w:t>fueron proporcionados</w:t>
      </w:r>
      <w:r>
        <w:rPr>
          <w:rFonts w:ascii="Arial" w:hAnsi="Arial" w:cs="Arial"/>
        </w:rPr>
        <w:t xml:space="preserve"> en su documentación original, hecho que constituye una importante limitación al alcance de este encargo.</w:t>
      </w:r>
    </w:p>
    <w:p w:rsidR="00B033F7" w:rsidRPr="0013351D" w:rsidRDefault="00B033F7" w:rsidP="00AA34E5">
      <w:pPr>
        <w:pStyle w:val="Textoindependiente"/>
        <w:tabs>
          <w:tab w:val="left" w:pos="284"/>
        </w:tabs>
        <w:rPr>
          <w:rFonts w:ascii="Arial" w:hAnsi="Arial" w:cs="Arial"/>
        </w:rPr>
      </w:pPr>
      <w:r>
        <w:rPr>
          <w:rFonts w:ascii="Arial" w:hAnsi="Arial" w:cs="Arial"/>
        </w:rPr>
        <w:t>Por otra parte, no se proporcionó al equipo auditor la clave del Sistema Nacional de Información Ganadera (SNIG), ya que se manifestó por parte de la Directora de Hacienda que dicha clave es intransferible y que ella actualmente es la responsable de la misma.</w:t>
      </w:r>
    </w:p>
    <w:p w:rsidR="00B033F7" w:rsidRPr="00200D60" w:rsidRDefault="00B033F7" w:rsidP="00200D60">
      <w:pPr>
        <w:rPr>
          <w:highlight w:val="yellow"/>
          <w:lang w:val="es-MX"/>
        </w:rPr>
      </w:pPr>
    </w:p>
    <w:p w:rsidR="00B033F7" w:rsidRPr="00BF1E93" w:rsidRDefault="00B033F7">
      <w:pPr>
        <w:pStyle w:val="Ttulo1"/>
        <w:spacing w:line="360" w:lineRule="auto"/>
        <w:rPr>
          <w:rFonts w:ascii="Arial" w:hAnsi="Arial" w:cs="Arial"/>
        </w:rPr>
      </w:pPr>
      <w:bookmarkStart w:id="7" w:name="_Toc59429537"/>
      <w:bookmarkStart w:id="8" w:name="_Toc300573397"/>
      <w:r>
        <w:rPr>
          <w:rFonts w:ascii="Arial" w:hAnsi="Arial" w:cs="Arial"/>
        </w:rPr>
        <w:t>8</w:t>
      </w:r>
      <w:r w:rsidRPr="00BF1E93">
        <w:rPr>
          <w:rFonts w:ascii="Arial" w:hAnsi="Arial" w:cs="Arial"/>
        </w:rPr>
        <w:t>. CONSTATACIONES</w:t>
      </w:r>
      <w:bookmarkEnd w:id="7"/>
      <w:bookmarkEnd w:id="8"/>
    </w:p>
    <w:p w:rsidR="00B033F7" w:rsidRDefault="00B033F7" w:rsidP="007C0E89">
      <w:pPr>
        <w:pStyle w:val="Acta"/>
        <w:widowControl/>
        <w:tabs>
          <w:tab w:val="clear" w:pos="4536"/>
          <w:tab w:val="clear" w:pos="9072"/>
          <w:tab w:val="left" w:pos="284"/>
        </w:tabs>
        <w:spacing w:line="360" w:lineRule="auto"/>
        <w:rPr>
          <w:rFonts w:ascii="Arial" w:hAnsi="Arial" w:cs="Arial"/>
          <w:lang w:val="es-ES"/>
        </w:rPr>
      </w:pPr>
      <w:r w:rsidRPr="00BF1E93">
        <w:rPr>
          <w:rFonts w:ascii="Arial" w:hAnsi="Arial" w:cs="Arial"/>
          <w:lang w:val="es-ES"/>
        </w:rPr>
        <w:t>Como resultado de los procedimientos realizados</w:t>
      </w:r>
      <w:r>
        <w:rPr>
          <w:rFonts w:ascii="Arial" w:hAnsi="Arial" w:cs="Arial"/>
          <w:lang w:val="es-ES"/>
        </w:rPr>
        <w:t xml:space="preserve">, </w:t>
      </w:r>
      <w:r w:rsidR="00194916">
        <w:rPr>
          <w:rFonts w:ascii="Arial" w:hAnsi="Arial" w:cs="Arial"/>
          <w:lang w:val="es-ES"/>
        </w:rPr>
        <w:t xml:space="preserve"> se constató lo siguiente:</w:t>
      </w:r>
    </w:p>
    <w:p w:rsidR="00B033F7" w:rsidRPr="00194916" w:rsidRDefault="00B033F7" w:rsidP="007C0E89">
      <w:pPr>
        <w:pStyle w:val="Acta"/>
        <w:widowControl/>
        <w:tabs>
          <w:tab w:val="clear" w:pos="4536"/>
          <w:tab w:val="clear" w:pos="9072"/>
          <w:tab w:val="left" w:pos="284"/>
        </w:tabs>
        <w:spacing w:line="360" w:lineRule="auto"/>
        <w:rPr>
          <w:rFonts w:ascii="Arial" w:hAnsi="Arial" w:cs="Arial"/>
          <w:szCs w:val="24"/>
          <w:lang w:val="es-ES"/>
        </w:rPr>
      </w:pPr>
      <w:r w:rsidRPr="00194916">
        <w:rPr>
          <w:rFonts w:ascii="Arial" w:hAnsi="Arial" w:cs="Arial"/>
          <w:b/>
          <w:szCs w:val="24"/>
          <w:lang w:val="es-ES"/>
        </w:rPr>
        <w:t>8.1</w:t>
      </w:r>
      <w:r w:rsidRPr="00194916">
        <w:rPr>
          <w:rFonts w:ascii="Arial" w:hAnsi="Arial" w:cs="Arial"/>
          <w:szCs w:val="24"/>
          <w:lang w:val="es-ES"/>
        </w:rPr>
        <w:t xml:space="preserve"> Respecto al sistema de Geotributos:</w:t>
      </w:r>
    </w:p>
    <w:p w:rsidR="00B033F7" w:rsidRPr="00194916" w:rsidRDefault="00B033F7" w:rsidP="00B033F7">
      <w:pPr>
        <w:numPr>
          <w:ilvl w:val="0"/>
          <w:numId w:val="5"/>
        </w:numPr>
        <w:suppressAutoHyphens w:val="0"/>
        <w:spacing w:after="0" w:line="360" w:lineRule="auto"/>
        <w:ind w:left="284" w:hanging="284"/>
        <w:contextualSpacing/>
        <w:jc w:val="both"/>
        <w:rPr>
          <w:rFonts w:ascii="Arial" w:hAnsi="Arial" w:cs="Arial"/>
          <w:sz w:val="24"/>
          <w:szCs w:val="24"/>
        </w:rPr>
      </w:pPr>
      <w:r w:rsidRPr="00194916">
        <w:rPr>
          <w:rFonts w:ascii="Arial" w:hAnsi="Arial" w:cs="Arial"/>
          <w:sz w:val="24"/>
          <w:szCs w:val="24"/>
        </w:rPr>
        <w:t>En el período examinado existía una inadecuada segregación de funciones entre los usuarios del sistema, ya que los permisos de menú y roles asignados conferían, a algunos usuarios del sistema informático, el control completo del procesamiento de transacciones relacionadas con la baja de convenios. Esta situación no sucede actualmente.</w:t>
      </w:r>
    </w:p>
    <w:p w:rsidR="00B033F7" w:rsidRPr="00194916" w:rsidRDefault="00B033F7" w:rsidP="00B033F7">
      <w:pPr>
        <w:numPr>
          <w:ilvl w:val="0"/>
          <w:numId w:val="5"/>
        </w:numPr>
        <w:suppressAutoHyphens w:val="0"/>
        <w:spacing w:after="0" w:line="360" w:lineRule="auto"/>
        <w:ind w:left="284" w:hanging="284"/>
        <w:contextualSpacing/>
        <w:jc w:val="both"/>
        <w:rPr>
          <w:rFonts w:ascii="Arial" w:hAnsi="Arial" w:cs="Arial"/>
          <w:sz w:val="24"/>
          <w:szCs w:val="24"/>
        </w:rPr>
      </w:pPr>
      <w:r w:rsidRPr="00194916">
        <w:rPr>
          <w:rFonts w:ascii="Arial" w:hAnsi="Arial" w:cs="Arial"/>
          <w:sz w:val="24"/>
          <w:szCs w:val="24"/>
        </w:rPr>
        <w:t>Las funcionarias administradoras del sistema informático tenían todos los permisos sobre el mismo. Por lo tanto, podían realizar todas las transacciones habilitadas, dando de baja convenios sin  tener la autorización superior, o sin que el deudor haya cancelado la deuda. Estas funcionarias no eran las personas a cargo del área o proveedores del software.</w:t>
      </w:r>
    </w:p>
    <w:p w:rsidR="00B033F7" w:rsidRPr="00194916" w:rsidRDefault="00B033F7" w:rsidP="00B033F7">
      <w:pPr>
        <w:numPr>
          <w:ilvl w:val="0"/>
          <w:numId w:val="5"/>
        </w:numPr>
        <w:suppressAutoHyphens w:val="0"/>
        <w:spacing w:after="0" w:line="360" w:lineRule="auto"/>
        <w:ind w:left="284" w:hanging="284"/>
        <w:contextualSpacing/>
        <w:jc w:val="both"/>
        <w:rPr>
          <w:rFonts w:ascii="Arial" w:hAnsi="Arial" w:cs="Arial"/>
          <w:sz w:val="24"/>
          <w:szCs w:val="24"/>
        </w:rPr>
      </w:pPr>
      <w:r w:rsidRPr="00194916">
        <w:rPr>
          <w:rFonts w:ascii="Arial" w:hAnsi="Arial" w:cs="Arial"/>
          <w:sz w:val="24"/>
          <w:szCs w:val="24"/>
        </w:rPr>
        <w:t>La ausencia de supervisión y autorización sobre las transacciones del sistema informático por parte de los funcionarios que se desempeñan en cargos jerárquicos, posibilitan l</w:t>
      </w:r>
      <w:r w:rsidR="00194916">
        <w:rPr>
          <w:rFonts w:ascii="Arial" w:hAnsi="Arial" w:cs="Arial"/>
          <w:sz w:val="24"/>
          <w:szCs w:val="24"/>
        </w:rPr>
        <w:t>a existencia de fraude o error.</w:t>
      </w:r>
    </w:p>
    <w:p w:rsidR="00B033F7" w:rsidRPr="00194916" w:rsidRDefault="00B033F7" w:rsidP="00B033F7">
      <w:pPr>
        <w:numPr>
          <w:ilvl w:val="0"/>
          <w:numId w:val="5"/>
        </w:numPr>
        <w:suppressAutoHyphens w:val="0"/>
        <w:spacing w:after="0" w:line="360" w:lineRule="auto"/>
        <w:ind w:left="284" w:hanging="284"/>
        <w:contextualSpacing/>
        <w:jc w:val="both"/>
        <w:rPr>
          <w:rFonts w:ascii="Arial" w:eastAsia="Calibri" w:hAnsi="Arial" w:cs="Arial"/>
          <w:sz w:val="24"/>
          <w:szCs w:val="24"/>
          <w:lang w:eastAsia="en-US"/>
        </w:rPr>
      </w:pPr>
      <w:r w:rsidRPr="00194916">
        <w:rPr>
          <w:rFonts w:ascii="Arial" w:eastAsia="Calibri" w:hAnsi="Arial" w:cs="Arial"/>
          <w:sz w:val="24"/>
          <w:szCs w:val="24"/>
          <w:lang w:eastAsia="en-US"/>
        </w:rPr>
        <w:t>Dichos funcionarios de alta jerarquía, a pesar de no tener permiso de administradores, tampoco realizaban la supervisión sobre las transacciones sensibles (como la baja de convenios) realizadas por las funcionarias.</w:t>
      </w:r>
    </w:p>
    <w:p w:rsidR="00B033F7" w:rsidRPr="00194916" w:rsidRDefault="00B033F7" w:rsidP="00B033F7">
      <w:pPr>
        <w:numPr>
          <w:ilvl w:val="0"/>
          <w:numId w:val="5"/>
        </w:numPr>
        <w:suppressAutoHyphens w:val="0"/>
        <w:spacing w:after="0" w:line="360" w:lineRule="auto"/>
        <w:ind w:left="284" w:hanging="284"/>
        <w:contextualSpacing/>
        <w:jc w:val="both"/>
        <w:rPr>
          <w:rFonts w:ascii="Arial" w:hAnsi="Arial" w:cs="Arial"/>
          <w:sz w:val="24"/>
          <w:szCs w:val="24"/>
        </w:rPr>
      </w:pPr>
      <w:r w:rsidRPr="00194916">
        <w:rPr>
          <w:rFonts w:ascii="Arial" w:hAnsi="Arial" w:cs="Arial"/>
          <w:sz w:val="24"/>
          <w:szCs w:val="24"/>
        </w:rPr>
        <w:t>Las actividades de los administradores del sistema no eran monitoreadas por las personas a cargo del área de Dirección de Tributos pertene</w:t>
      </w:r>
      <w:r w:rsidR="00194916">
        <w:rPr>
          <w:rFonts w:ascii="Arial" w:hAnsi="Arial" w:cs="Arial"/>
          <w:sz w:val="24"/>
          <w:szCs w:val="24"/>
        </w:rPr>
        <w:t>ciente a Dirección de Hacienda.</w:t>
      </w:r>
    </w:p>
    <w:p w:rsidR="00B033F7" w:rsidRPr="00194916" w:rsidRDefault="00B033F7" w:rsidP="00B033F7">
      <w:pPr>
        <w:numPr>
          <w:ilvl w:val="0"/>
          <w:numId w:val="3"/>
        </w:numPr>
        <w:suppressAutoHyphens w:val="0"/>
        <w:spacing w:line="360" w:lineRule="auto"/>
        <w:ind w:left="284" w:hanging="284"/>
        <w:contextualSpacing/>
        <w:jc w:val="both"/>
        <w:rPr>
          <w:rFonts w:ascii="Arial" w:eastAsia="Calibri" w:hAnsi="Arial" w:cs="Arial"/>
          <w:sz w:val="24"/>
          <w:szCs w:val="24"/>
          <w:lang w:eastAsia="en-US"/>
        </w:rPr>
      </w:pPr>
      <w:r w:rsidRPr="00194916">
        <w:rPr>
          <w:rFonts w:ascii="Arial" w:eastAsia="Calibri" w:hAnsi="Arial" w:cs="Arial"/>
          <w:sz w:val="24"/>
          <w:szCs w:val="24"/>
          <w:lang w:eastAsia="en-US"/>
        </w:rPr>
        <w:t>Se encontraron registros de transacciones en horarios muy distintos a los horarios laborales de la Intendencia. Dichos casos corresponden a errores en la configuración de la hora en el servidor de la aplicación, lo cual genera errores en el cobro de recargos en los pagos en fecha límite.</w:t>
      </w:r>
    </w:p>
    <w:p w:rsidR="00B033F7" w:rsidRPr="00335DD7" w:rsidRDefault="00B033F7" w:rsidP="00622C50">
      <w:pPr>
        <w:spacing w:line="360" w:lineRule="auto"/>
        <w:ind w:left="720"/>
        <w:contextualSpacing/>
        <w:jc w:val="both"/>
        <w:rPr>
          <w:rFonts w:ascii="Arial" w:eastAsia="Calibri" w:hAnsi="Arial" w:cs="Arial"/>
          <w:szCs w:val="24"/>
          <w:lang w:eastAsia="en-US"/>
        </w:rPr>
      </w:pPr>
    </w:p>
    <w:p w:rsidR="00B033F7" w:rsidRDefault="00B033F7" w:rsidP="007C0E89">
      <w:pPr>
        <w:pStyle w:val="Acta"/>
        <w:widowControl/>
        <w:tabs>
          <w:tab w:val="clear" w:pos="4536"/>
          <w:tab w:val="clear" w:pos="9072"/>
          <w:tab w:val="left" w:pos="284"/>
        </w:tabs>
        <w:spacing w:line="360" w:lineRule="auto"/>
        <w:rPr>
          <w:rFonts w:ascii="Arial" w:hAnsi="Arial" w:cs="Arial"/>
          <w:lang w:val="es-ES"/>
        </w:rPr>
      </w:pPr>
      <w:r w:rsidRPr="005E7DAF">
        <w:rPr>
          <w:rFonts w:ascii="Arial" w:hAnsi="Arial" w:cs="Arial"/>
          <w:b/>
          <w:lang w:val="es-ES"/>
        </w:rPr>
        <w:t>8.</w:t>
      </w:r>
      <w:r>
        <w:rPr>
          <w:rFonts w:ascii="Arial" w:hAnsi="Arial" w:cs="Arial"/>
          <w:b/>
          <w:lang w:val="es-ES"/>
        </w:rPr>
        <w:t>2</w:t>
      </w:r>
      <w:r>
        <w:rPr>
          <w:rFonts w:ascii="Arial" w:hAnsi="Arial" w:cs="Arial"/>
          <w:lang w:val="es-ES"/>
        </w:rPr>
        <w:t xml:space="preserve"> </w:t>
      </w:r>
      <w:r w:rsidRPr="00BF1E93">
        <w:rPr>
          <w:rFonts w:ascii="Arial" w:hAnsi="Arial" w:cs="Arial"/>
          <w:lang w:val="es-ES"/>
        </w:rPr>
        <w:t xml:space="preserve">Como resultado de </w:t>
      </w:r>
      <w:r>
        <w:rPr>
          <w:rFonts w:ascii="Arial" w:hAnsi="Arial" w:cs="Arial"/>
          <w:lang w:val="es-ES"/>
        </w:rPr>
        <w:t>la evaluación de la muestra seleccionada</w:t>
      </w:r>
      <w:r w:rsidRPr="005E7DAF">
        <w:rPr>
          <w:rFonts w:ascii="Arial" w:hAnsi="Arial" w:cs="Arial"/>
          <w:lang w:val="es-ES"/>
        </w:rPr>
        <w:t xml:space="preserve"> </w:t>
      </w:r>
      <w:r>
        <w:rPr>
          <w:rFonts w:ascii="Arial" w:hAnsi="Arial" w:cs="Arial"/>
          <w:lang w:val="es-ES"/>
        </w:rPr>
        <w:t xml:space="preserve">de 107 convenios dados de “baja con causal 40”, </w:t>
      </w:r>
      <w:r w:rsidRPr="005E7DAF">
        <w:rPr>
          <w:rFonts w:ascii="Arial" w:hAnsi="Arial" w:cs="Arial"/>
          <w:lang w:val="es-ES"/>
        </w:rPr>
        <w:t xml:space="preserve">se </w:t>
      </w:r>
      <w:r>
        <w:rPr>
          <w:rFonts w:ascii="Arial" w:hAnsi="Arial" w:cs="Arial"/>
          <w:lang w:val="es-ES"/>
        </w:rPr>
        <w:t xml:space="preserve">constató </w:t>
      </w:r>
      <w:r w:rsidRPr="005E7DAF">
        <w:rPr>
          <w:rFonts w:ascii="Arial" w:hAnsi="Arial" w:cs="Arial"/>
          <w:lang w:val="es-ES"/>
        </w:rPr>
        <w:t>l</w:t>
      </w:r>
      <w:r>
        <w:rPr>
          <w:rFonts w:ascii="Arial" w:hAnsi="Arial" w:cs="Arial"/>
          <w:lang w:val="es-ES"/>
        </w:rPr>
        <w:t>o</w:t>
      </w:r>
      <w:r w:rsidRPr="005E7DAF">
        <w:rPr>
          <w:rFonts w:ascii="Arial" w:hAnsi="Arial" w:cs="Arial"/>
          <w:lang w:val="es-ES"/>
        </w:rPr>
        <w:t xml:space="preserve"> siguiente</w:t>
      </w:r>
      <w:r w:rsidR="00194916">
        <w:rPr>
          <w:rFonts w:ascii="Arial" w:hAnsi="Arial" w:cs="Arial"/>
          <w:lang w:val="es-ES"/>
        </w:rPr>
        <w:t>:</w:t>
      </w:r>
    </w:p>
    <w:p w:rsidR="00B033F7" w:rsidRDefault="00B033F7" w:rsidP="00B033F7">
      <w:pPr>
        <w:pStyle w:val="Acta"/>
        <w:widowControl/>
        <w:numPr>
          <w:ilvl w:val="0"/>
          <w:numId w:val="7"/>
        </w:numPr>
        <w:tabs>
          <w:tab w:val="clear" w:pos="4536"/>
          <w:tab w:val="clear" w:pos="9072"/>
          <w:tab w:val="left" w:pos="284"/>
        </w:tabs>
        <w:spacing w:line="360" w:lineRule="auto"/>
        <w:ind w:left="284" w:hanging="284"/>
        <w:rPr>
          <w:rFonts w:ascii="Arial" w:hAnsi="Arial" w:cs="Arial"/>
          <w:lang w:val="es-ES"/>
        </w:rPr>
      </w:pPr>
      <w:r>
        <w:rPr>
          <w:rFonts w:ascii="Arial" w:hAnsi="Arial" w:cs="Arial"/>
          <w:lang w:val="es-ES"/>
        </w:rPr>
        <w:t>Convenios dados de “baja con causal 40,” que fueron cobrados en su totalidad, total 44 casos (41% de la muestra).</w:t>
      </w:r>
    </w:p>
    <w:p w:rsidR="00B033F7" w:rsidRDefault="00B033F7" w:rsidP="00B033F7">
      <w:pPr>
        <w:pStyle w:val="Acta"/>
        <w:widowControl/>
        <w:numPr>
          <w:ilvl w:val="0"/>
          <w:numId w:val="7"/>
        </w:numPr>
        <w:tabs>
          <w:tab w:val="clear" w:pos="4536"/>
          <w:tab w:val="clear" w:pos="9072"/>
          <w:tab w:val="left" w:pos="284"/>
        </w:tabs>
        <w:spacing w:line="360" w:lineRule="auto"/>
        <w:ind w:left="284" w:hanging="284"/>
        <w:rPr>
          <w:rFonts w:ascii="Arial" w:hAnsi="Arial" w:cs="Arial"/>
          <w:lang w:val="es-ES"/>
        </w:rPr>
      </w:pPr>
      <w:r>
        <w:rPr>
          <w:rFonts w:ascii="Arial" w:hAnsi="Arial" w:cs="Arial"/>
          <w:lang w:val="es-ES"/>
        </w:rPr>
        <w:t>Convenios dados de “baja con causal 40”, que no fueron cobrados en su totalidad,</w:t>
      </w:r>
      <w:r w:rsidRPr="008616E2">
        <w:rPr>
          <w:rFonts w:ascii="Arial" w:hAnsi="Arial" w:cs="Arial"/>
          <w:b/>
          <w:color w:val="FF0000"/>
          <w:lang w:val="es-ES"/>
        </w:rPr>
        <w:t xml:space="preserve"> </w:t>
      </w:r>
      <w:r w:rsidRPr="002C0F92">
        <w:rPr>
          <w:rFonts w:ascii="Arial" w:hAnsi="Arial" w:cs="Arial"/>
          <w:lang w:val="es-ES"/>
        </w:rPr>
        <w:t>total 31 casos (29%</w:t>
      </w:r>
      <w:r>
        <w:rPr>
          <w:rFonts w:ascii="Arial" w:hAnsi="Arial" w:cs="Arial"/>
          <w:lang w:val="es-ES"/>
        </w:rPr>
        <w:t xml:space="preserve"> de la muestra</w:t>
      </w:r>
      <w:r w:rsidRPr="002C0F92">
        <w:rPr>
          <w:rFonts w:ascii="Arial" w:hAnsi="Arial" w:cs="Arial"/>
          <w:lang w:val="es-ES"/>
        </w:rPr>
        <w:t>)</w:t>
      </w:r>
      <w:r>
        <w:rPr>
          <w:rFonts w:ascii="Arial" w:hAnsi="Arial" w:cs="Arial"/>
          <w:lang w:val="es-ES"/>
        </w:rPr>
        <w:t>.</w:t>
      </w:r>
    </w:p>
    <w:p w:rsidR="00B033F7" w:rsidRPr="001D5BE8" w:rsidRDefault="00B033F7" w:rsidP="00B033F7">
      <w:pPr>
        <w:pStyle w:val="Acta"/>
        <w:widowControl/>
        <w:numPr>
          <w:ilvl w:val="0"/>
          <w:numId w:val="7"/>
        </w:numPr>
        <w:tabs>
          <w:tab w:val="clear" w:pos="4536"/>
          <w:tab w:val="clear" w:pos="9072"/>
          <w:tab w:val="left" w:pos="284"/>
        </w:tabs>
        <w:spacing w:line="360" w:lineRule="auto"/>
        <w:ind w:left="284" w:hanging="284"/>
        <w:rPr>
          <w:rFonts w:ascii="Arial" w:hAnsi="Arial" w:cs="Arial"/>
          <w:lang w:val="es-ES"/>
        </w:rPr>
      </w:pPr>
      <w:r w:rsidRPr="001D5BE8">
        <w:rPr>
          <w:rFonts w:ascii="Arial" w:hAnsi="Arial" w:cs="Arial"/>
          <w:lang w:val="es-ES"/>
        </w:rPr>
        <w:t>Convenios dados de “baja con causal 40”, en los cuales no se verificaron pagos por los contribuyentes, total 17 casos (16%</w:t>
      </w:r>
      <w:r>
        <w:rPr>
          <w:rFonts w:ascii="Arial" w:hAnsi="Arial" w:cs="Arial"/>
          <w:lang w:val="es-ES"/>
        </w:rPr>
        <w:t xml:space="preserve"> de la muestra</w:t>
      </w:r>
      <w:r w:rsidRPr="001D5BE8">
        <w:rPr>
          <w:rFonts w:ascii="Arial" w:hAnsi="Arial" w:cs="Arial"/>
          <w:lang w:val="es-ES"/>
        </w:rPr>
        <w:t>)</w:t>
      </w:r>
      <w:r>
        <w:rPr>
          <w:rFonts w:ascii="Arial" w:hAnsi="Arial" w:cs="Arial"/>
          <w:lang w:val="es-ES"/>
        </w:rPr>
        <w:t>.</w:t>
      </w:r>
    </w:p>
    <w:p w:rsidR="00B033F7" w:rsidRPr="001D5BE8" w:rsidRDefault="00B033F7" w:rsidP="00B033F7">
      <w:pPr>
        <w:pStyle w:val="Acta"/>
        <w:widowControl/>
        <w:numPr>
          <w:ilvl w:val="0"/>
          <w:numId w:val="7"/>
        </w:numPr>
        <w:tabs>
          <w:tab w:val="clear" w:pos="4536"/>
          <w:tab w:val="clear" w:pos="9072"/>
          <w:tab w:val="left" w:pos="284"/>
        </w:tabs>
        <w:spacing w:line="360" w:lineRule="auto"/>
        <w:ind w:left="284" w:hanging="284"/>
        <w:rPr>
          <w:rFonts w:ascii="Arial" w:hAnsi="Arial" w:cs="Arial"/>
          <w:lang w:val="es-ES"/>
        </w:rPr>
      </w:pPr>
      <w:r w:rsidRPr="001D5BE8">
        <w:rPr>
          <w:rFonts w:ascii="Arial" w:hAnsi="Arial" w:cs="Arial"/>
          <w:lang w:val="es-ES"/>
        </w:rPr>
        <w:t xml:space="preserve"> Existen algunos convenios que se dieron de baja con la citada causal, luego la deuda fue </w:t>
      </w:r>
      <w:r>
        <w:rPr>
          <w:rFonts w:ascii="Arial" w:hAnsi="Arial" w:cs="Arial"/>
          <w:lang w:val="es-ES"/>
        </w:rPr>
        <w:t>registrada</w:t>
      </w:r>
      <w:r w:rsidRPr="001D5BE8">
        <w:rPr>
          <w:rFonts w:ascii="Arial" w:hAnsi="Arial" w:cs="Arial"/>
          <w:lang w:val="es-ES"/>
        </w:rPr>
        <w:t xml:space="preserve"> correctamente por atraso de cuotas, y se acreditó a favor del contribuyente un monto superior al que realmente pagó, total 5 casos (5%</w:t>
      </w:r>
      <w:r>
        <w:rPr>
          <w:rFonts w:ascii="Arial" w:hAnsi="Arial" w:cs="Arial"/>
          <w:lang w:val="es-ES"/>
        </w:rPr>
        <w:t xml:space="preserve"> de la muestra</w:t>
      </w:r>
      <w:r w:rsidRPr="001D5BE8">
        <w:rPr>
          <w:rFonts w:ascii="Arial" w:hAnsi="Arial" w:cs="Arial"/>
          <w:lang w:val="es-ES"/>
        </w:rPr>
        <w:t>)</w:t>
      </w:r>
      <w:r>
        <w:rPr>
          <w:rFonts w:ascii="Arial" w:hAnsi="Arial" w:cs="Arial"/>
          <w:lang w:val="es-ES"/>
        </w:rPr>
        <w:t>.</w:t>
      </w:r>
    </w:p>
    <w:p w:rsidR="00B033F7" w:rsidRDefault="00B033F7" w:rsidP="00B033F7">
      <w:pPr>
        <w:pStyle w:val="Acta"/>
        <w:widowControl/>
        <w:numPr>
          <w:ilvl w:val="0"/>
          <w:numId w:val="7"/>
        </w:numPr>
        <w:tabs>
          <w:tab w:val="clear" w:pos="4536"/>
          <w:tab w:val="clear" w:pos="9072"/>
          <w:tab w:val="left" w:pos="284"/>
        </w:tabs>
        <w:spacing w:line="360" w:lineRule="auto"/>
        <w:ind w:left="284" w:hanging="284"/>
        <w:rPr>
          <w:rFonts w:ascii="Arial" w:hAnsi="Arial" w:cs="Arial"/>
          <w:lang w:val="es-ES"/>
        </w:rPr>
      </w:pPr>
      <w:r w:rsidRPr="001D5BE8">
        <w:rPr>
          <w:rFonts w:ascii="Arial" w:hAnsi="Arial" w:cs="Arial"/>
          <w:lang w:val="es-ES"/>
        </w:rPr>
        <w:t>En algunos convenios no amparados al Decreto 11/</w:t>
      </w:r>
      <w:r>
        <w:rPr>
          <w:rFonts w:ascii="Arial" w:hAnsi="Arial" w:cs="Arial"/>
          <w:lang w:val="es-ES"/>
        </w:rPr>
        <w:t>2015 de la Junta Departamental de A</w:t>
      </w:r>
      <w:r w:rsidRPr="001D5BE8">
        <w:rPr>
          <w:rFonts w:ascii="Arial" w:hAnsi="Arial" w:cs="Arial"/>
          <w:lang w:val="es-ES"/>
        </w:rPr>
        <w:t>mnistí</w:t>
      </w:r>
      <w:r>
        <w:rPr>
          <w:rFonts w:ascii="Arial" w:hAnsi="Arial" w:cs="Arial"/>
          <w:lang w:val="es-ES"/>
        </w:rPr>
        <w:t>a Tributaria</w:t>
      </w:r>
      <w:r w:rsidRPr="001D5BE8">
        <w:rPr>
          <w:rFonts w:ascii="Arial" w:hAnsi="Arial" w:cs="Arial"/>
          <w:lang w:val="es-ES"/>
        </w:rPr>
        <w:t xml:space="preserve">, no se </w:t>
      </w:r>
      <w:r>
        <w:rPr>
          <w:rFonts w:ascii="Arial" w:hAnsi="Arial" w:cs="Arial"/>
          <w:lang w:val="es-ES"/>
        </w:rPr>
        <w:t>incluyeron</w:t>
      </w:r>
      <w:r w:rsidRPr="001D5BE8">
        <w:rPr>
          <w:rFonts w:ascii="Arial" w:hAnsi="Arial" w:cs="Arial"/>
          <w:lang w:val="es-ES"/>
        </w:rPr>
        <w:t xml:space="preserve"> los recargos correspondientes para algunos años, situación que ya fue informada por este Tribunal en dictámenes de Rendiciones de Cuentas de </w:t>
      </w:r>
      <w:r>
        <w:rPr>
          <w:rFonts w:ascii="Arial" w:hAnsi="Arial" w:cs="Arial"/>
          <w:lang w:val="es-ES"/>
        </w:rPr>
        <w:t>E</w:t>
      </w:r>
      <w:r w:rsidRPr="001D5BE8">
        <w:rPr>
          <w:rFonts w:ascii="Arial" w:hAnsi="Arial" w:cs="Arial"/>
          <w:lang w:val="es-ES"/>
        </w:rPr>
        <w:t>jercicios</w:t>
      </w:r>
      <w:r>
        <w:rPr>
          <w:rFonts w:ascii="Arial" w:hAnsi="Arial" w:cs="Arial"/>
          <w:lang w:val="es-ES"/>
        </w:rPr>
        <w:t xml:space="preserve"> anteriores</w:t>
      </w:r>
      <w:r w:rsidRPr="001D5BE8">
        <w:rPr>
          <w:rFonts w:ascii="Arial" w:hAnsi="Arial" w:cs="Arial"/>
          <w:lang w:val="es-ES"/>
        </w:rPr>
        <w:t>, total 10 casos (9%</w:t>
      </w:r>
      <w:r>
        <w:rPr>
          <w:rFonts w:ascii="Arial" w:hAnsi="Arial" w:cs="Arial"/>
          <w:lang w:val="es-ES"/>
        </w:rPr>
        <w:t xml:space="preserve"> de la muestra</w:t>
      </w:r>
      <w:r w:rsidRPr="001D5BE8">
        <w:rPr>
          <w:rFonts w:ascii="Arial" w:hAnsi="Arial" w:cs="Arial"/>
          <w:lang w:val="es-ES"/>
        </w:rPr>
        <w:t>)</w:t>
      </w:r>
      <w:r>
        <w:rPr>
          <w:rFonts w:ascii="Arial" w:hAnsi="Arial" w:cs="Arial"/>
          <w:lang w:val="es-ES"/>
        </w:rPr>
        <w:t>.</w:t>
      </w:r>
    </w:p>
    <w:p w:rsidR="00B033F7" w:rsidRPr="00E853DF" w:rsidRDefault="00B033F7" w:rsidP="00B033F7">
      <w:pPr>
        <w:pStyle w:val="Acta"/>
        <w:widowControl/>
        <w:numPr>
          <w:ilvl w:val="0"/>
          <w:numId w:val="7"/>
        </w:numPr>
        <w:tabs>
          <w:tab w:val="clear" w:pos="4536"/>
          <w:tab w:val="clear" w:pos="9072"/>
          <w:tab w:val="left" w:pos="284"/>
        </w:tabs>
        <w:spacing w:line="360" w:lineRule="auto"/>
        <w:ind w:left="284" w:hanging="284"/>
        <w:rPr>
          <w:rFonts w:ascii="Arial" w:hAnsi="Arial" w:cs="Arial"/>
          <w:lang w:val="es-ES"/>
        </w:rPr>
      </w:pPr>
      <w:r w:rsidRPr="00E853DF">
        <w:rPr>
          <w:rFonts w:ascii="Arial" w:hAnsi="Arial" w:cs="Arial"/>
          <w:lang w:val="es-ES"/>
        </w:rPr>
        <w:t>Se constataron 8 casos, que representan el 7,5% de la muestra, en los que se aplicó la prescripción de cinco años sobre deudas que fueron convenidas anteriormente, no</w:t>
      </w:r>
      <w:r w:rsidR="00194916">
        <w:rPr>
          <w:rFonts w:ascii="Arial" w:hAnsi="Arial" w:cs="Arial"/>
          <w:lang w:val="es-ES"/>
        </w:rPr>
        <w:t xml:space="preserve"> correspondiendo su aplicación.</w:t>
      </w:r>
    </w:p>
    <w:p w:rsidR="00B033F7" w:rsidRPr="00194916" w:rsidRDefault="00B033F7" w:rsidP="00B033F7">
      <w:pPr>
        <w:numPr>
          <w:ilvl w:val="0"/>
          <w:numId w:val="8"/>
        </w:numPr>
        <w:tabs>
          <w:tab w:val="left" w:pos="284"/>
        </w:tabs>
        <w:suppressAutoHyphens w:val="0"/>
        <w:spacing w:after="0" w:line="360" w:lineRule="auto"/>
        <w:ind w:left="284" w:hanging="284"/>
        <w:jc w:val="both"/>
        <w:rPr>
          <w:rFonts w:ascii="Arial" w:hAnsi="Arial" w:cs="Arial"/>
          <w:sz w:val="24"/>
          <w:szCs w:val="24"/>
        </w:rPr>
      </w:pPr>
      <w:r w:rsidRPr="00194916">
        <w:rPr>
          <w:rFonts w:ascii="Arial" w:hAnsi="Arial" w:cs="Arial"/>
          <w:snapToGrid w:val="0"/>
          <w:sz w:val="24"/>
          <w:szCs w:val="24"/>
        </w:rPr>
        <w:t>Se realizaron convenios al amparo del  Decreto 11/15 de flexibilización para cancelación de adeudos, fuera del plazo establecido en el mismo. Dicho decreto establece que el período para ampararse es de 60 días corridos a partir de su publicación. Se realizaron dos publicaciones del Decreto, siendo la última con fecha 10/11/2015, cumpliéndose el plazo el 09/01/2016, por lo tanto los convenios celebrados el 11 y 12/01/2016 están fuera de fecha. En dicha situación están 23 casos que representan el</w:t>
      </w:r>
      <w:r w:rsidR="00194916" w:rsidRPr="00194916">
        <w:rPr>
          <w:rFonts w:ascii="Arial" w:hAnsi="Arial" w:cs="Arial"/>
          <w:snapToGrid w:val="0"/>
          <w:sz w:val="24"/>
          <w:szCs w:val="24"/>
        </w:rPr>
        <w:t xml:space="preserve"> 21,5% de la muestra analizada.</w:t>
      </w:r>
    </w:p>
    <w:p w:rsidR="00B033F7" w:rsidRPr="00987C20" w:rsidRDefault="00B033F7" w:rsidP="00A63792">
      <w:pPr>
        <w:tabs>
          <w:tab w:val="left" w:pos="284"/>
        </w:tabs>
        <w:spacing w:line="360" w:lineRule="auto"/>
        <w:ind w:left="720"/>
        <w:jc w:val="both"/>
        <w:rPr>
          <w:rFonts w:ascii="Arial" w:hAnsi="Arial" w:cs="Arial"/>
        </w:rPr>
      </w:pPr>
    </w:p>
    <w:p w:rsidR="00B033F7" w:rsidRDefault="00B033F7" w:rsidP="007C0E89">
      <w:pPr>
        <w:pStyle w:val="Acta"/>
        <w:widowControl/>
        <w:tabs>
          <w:tab w:val="clear" w:pos="4536"/>
          <w:tab w:val="clear" w:pos="9072"/>
          <w:tab w:val="left" w:pos="284"/>
        </w:tabs>
        <w:spacing w:line="360" w:lineRule="auto"/>
        <w:rPr>
          <w:rFonts w:ascii="Arial" w:hAnsi="Arial" w:cs="Arial"/>
          <w:lang w:val="es-ES"/>
        </w:rPr>
      </w:pPr>
      <w:r w:rsidRPr="00526795">
        <w:rPr>
          <w:rFonts w:ascii="Arial" w:hAnsi="Arial" w:cs="Arial"/>
          <w:b/>
          <w:lang w:val="es-ES"/>
        </w:rPr>
        <w:t>8.</w:t>
      </w:r>
      <w:r>
        <w:rPr>
          <w:rFonts w:ascii="Arial" w:hAnsi="Arial" w:cs="Arial"/>
          <w:b/>
          <w:lang w:val="es-ES"/>
        </w:rPr>
        <w:t>3</w:t>
      </w:r>
      <w:r>
        <w:rPr>
          <w:rFonts w:ascii="Arial" w:hAnsi="Arial" w:cs="Arial"/>
          <w:lang w:val="es-ES"/>
        </w:rPr>
        <w:t xml:space="preserve"> Respecto al Impuesto de Semovientes:</w:t>
      </w:r>
    </w:p>
    <w:p w:rsidR="00B033F7" w:rsidRDefault="00B033F7" w:rsidP="00B033F7">
      <w:pPr>
        <w:pStyle w:val="Acta"/>
        <w:widowControl/>
        <w:numPr>
          <w:ilvl w:val="0"/>
          <w:numId w:val="9"/>
        </w:numPr>
        <w:tabs>
          <w:tab w:val="clear" w:pos="4536"/>
          <w:tab w:val="clear" w:pos="9072"/>
          <w:tab w:val="left" w:pos="284"/>
        </w:tabs>
        <w:spacing w:line="360" w:lineRule="auto"/>
        <w:ind w:left="284" w:hanging="284"/>
        <w:rPr>
          <w:rFonts w:ascii="Arial" w:hAnsi="Arial" w:cs="Arial"/>
          <w:lang w:val="es-ES"/>
        </w:rPr>
      </w:pPr>
      <w:r>
        <w:rPr>
          <w:rFonts w:ascii="Arial" w:hAnsi="Arial" w:cs="Arial"/>
          <w:lang w:val="es-ES"/>
        </w:rPr>
        <w:t>No se realizan controles de stock de las guías de propiedad y tránsito  adquiridas al Ministerio de Ganadería, Agricultura y Pesca, para ser vendidas luego a los contribuyentes.</w:t>
      </w:r>
    </w:p>
    <w:p w:rsidR="00B033F7" w:rsidRDefault="00B033F7" w:rsidP="00B033F7">
      <w:pPr>
        <w:pStyle w:val="Acta"/>
        <w:widowControl/>
        <w:numPr>
          <w:ilvl w:val="0"/>
          <w:numId w:val="9"/>
        </w:numPr>
        <w:tabs>
          <w:tab w:val="clear" w:pos="4536"/>
          <w:tab w:val="clear" w:pos="9072"/>
          <w:tab w:val="left" w:pos="284"/>
        </w:tabs>
        <w:spacing w:line="360" w:lineRule="auto"/>
        <w:ind w:left="284" w:hanging="284"/>
        <w:rPr>
          <w:rFonts w:ascii="Arial" w:hAnsi="Arial" w:cs="Arial"/>
          <w:lang w:val="es-ES"/>
        </w:rPr>
      </w:pPr>
      <w:r>
        <w:rPr>
          <w:rFonts w:ascii="Arial" w:hAnsi="Arial" w:cs="Arial"/>
          <w:lang w:val="es-ES"/>
        </w:rPr>
        <w:t>No se efectúan controles que permitan verificar que las guías vendidas por la Intendencia, sean luego declaradas por los contribuyentes para el pago del impuesto correspondiente.</w:t>
      </w:r>
    </w:p>
    <w:p w:rsidR="00B033F7" w:rsidRDefault="00B033F7" w:rsidP="007C0E89">
      <w:pPr>
        <w:pStyle w:val="Acta"/>
        <w:widowControl/>
        <w:tabs>
          <w:tab w:val="clear" w:pos="4536"/>
          <w:tab w:val="clear" w:pos="9072"/>
          <w:tab w:val="left" w:pos="284"/>
        </w:tabs>
        <w:spacing w:line="360" w:lineRule="auto"/>
        <w:rPr>
          <w:rFonts w:ascii="Arial" w:hAnsi="Arial" w:cs="Arial"/>
          <w:lang w:val="es-ES"/>
        </w:rPr>
      </w:pPr>
      <w:r w:rsidRPr="00EA49DC">
        <w:rPr>
          <w:rFonts w:ascii="Arial" w:hAnsi="Arial" w:cs="Arial"/>
          <w:b/>
          <w:lang w:val="es-ES"/>
        </w:rPr>
        <w:t>8.</w:t>
      </w:r>
      <w:r>
        <w:rPr>
          <w:rFonts w:ascii="Arial" w:hAnsi="Arial" w:cs="Arial"/>
          <w:b/>
          <w:lang w:val="es-ES"/>
        </w:rPr>
        <w:t>4</w:t>
      </w:r>
      <w:r>
        <w:rPr>
          <w:rFonts w:ascii="Arial" w:hAnsi="Arial" w:cs="Arial"/>
          <w:lang w:val="es-ES"/>
        </w:rPr>
        <w:t xml:space="preserve"> Respecto a los registros contables:</w:t>
      </w:r>
    </w:p>
    <w:p w:rsidR="00B033F7" w:rsidRPr="00194916" w:rsidRDefault="00B033F7" w:rsidP="00B033F7">
      <w:pPr>
        <w:pStyle w:val="Textoindependiente"/>
        <w:numPr>
          <w:ilvl w:val="0"/>
          <w:numId w:val="10"/>
        </w:numPr>
        <w:ind w:left="284" w:hanging="284"/>
        <w:rPr>
          <w:rFonts w:ascii="Arial" w:hAnsi="Arial" w:cs="Arial"/>
          <w:szCs w:val="24"/>
        </w:rPr>
      </w:pPr>
      <w:r w:rsidRPr="008606B7">
        <w:rPr>
          <w:rFonts w:ascii="Arial" w:hAnsi="Arial" w:cs="Arial"/>
        </w:rPr>
        <w:t>El importe de la recaudación de los tributos cobrados a través del sistema</w:t>
      </w:r>
      <w:r w:rsidRPr="008606B7">
        <w:rPr>
          <w:rFonts w:ascii="Arial" w:hAnsi="Arial" w:cs="Arial"/>
          <w:lang w:val="es-ES"/>
        </w:rPr>
        <w:t xml:space="preserve"> de recaudación</w:t>
      </w:r>
      <w:r w:rsidRPr="008606B7">
        <w:rPr>
          <w:rFonts w:ascii="Arial" w:hAnsi="Arial" w:cs="Arial"/>
        </w:rPr>
        <w:t xml:space="preserve">, según la base de datos proporcionada por la Intendencia, </w:t>
      </w:r>
      <w:r>
        <w:rPr>
          <w:rFonts w:ascii="Arial" w:hAnsi="Arial" w:cs="Arial"/>
        </w:rPr>
        <w:t xml:space="preserve">no coincide con lo registrado contablemente </w:t>
      </w:r>
      <w:r w:rsidRPr="008606B7">
        <w:rPr>
          <w:rFonts w:ascii="Arial" w:hAnsi="Arial" w:cs="Arial"/>
        </w:rPr>
        <w:t xml:space="preserve">según </w:t>
      </w:r>
      <w:r>
        <w:rPr>
          <w:rFonts w:ascii="Arial" w:hAnsi="Arial" w:cs="Arial"/>
        </w:rPr>
        <w:t xml:space="preserve">los </w:t>
      </w:r>
      <w:r w:rsidRPr="008606B7">
        <w:rPr>
          <w:rFonts w:ascii="Arial" w:hAnsi="Arial" w:cs="Arial"/>
        </w:rPr>
        <w:t>documento</w:t>
      </w:r>
      <w:r>
        <w:rPr>
          <w:rFonts w:ascii="Arial" w:hAnsi="Arial" w:cs="Arial"/>
        </w:rPr>
        <w:t>s</w:t>
      </w:r>
      <w:r w:rsidRPr="008606B7">
        <w:rPr>
          <w:rFonts w:ascii="Arial" w:hAnsi="Arial" w:cs="Arial"/>
        </w:rPr>
        <w:t xml:space="preserve"> de Rendicion</w:t>
      </w:r>
      <w:r>
        <w:rPr>
          <w:rFonts w:ascii="Arial" w:hAnsi="Arial" w:cs="Arial"/>
        </w:rPr>
        <w:t>es</w:t>
      </w:r>
      <w:r w:rsidRPr="008606B7">
        <w:rPr>
          <w:rFonts w:ascii="Arial" w:hAnsi="Arial" w:cs="Arial"/>
        </w:rPr>
        <w:t xml:space="preserve"> de Cuentas, </w:t>
      </w:r>
      <w:r>
        <w:rPr>
          <w:rFonts w:ascii="Arial" w:hAnsi="Arial" w:cs="Arial"/>
        </w:rPr>
        <w:t>situación que se reitera en ejercicios anteriores.</w:t>
      </w:r>
    </w:p>
    <w:p w:rsidR="00B033F7" w:rsidRPr="00194916" w:rsidRDefault="00B033F7" w:rsidP="00B033F7">
      <w:pPr>
        <w:widowControl w:val="0"/>
        <w:numPr>
          <w:ilvl w:val="0"/>
          <w:numId w:val="10"/>
        </w:numPr>
        <w:suppressAutoHyphens w:val="0"/>
        <w:spacing w:after="0" w:line="360" w:lineRule="auto"/>
        <w:ind w:left="284" w:hanging="284"/>
        <w:jc w:val="both"/>
        <w:rPr>
          <w:rFonts w:ascii="Arial" w:hAnsi="Arial" w:cs="Arial"/>
          <w:sz w:val="24"/>
          <w:szCs w:val="24"/>
        </w:rPr>
      </w:pPr>
      <w:r w:rsidRPr="00194916">
        <w:rPr>
          <w:rFonts w:ascii="Arial" w:hAnsi="Arial" w:cs="Arial"/>
          <w:sz w:val="24"/>
          <w:szCs w:val="24"/>
        </w:rPr>
        <w:t>No se discriminan correctamente los ingresos por concepto de tributos en l</w:t>
      </w:r>
      <w:r w:rsidR="00194916">
        <w:rPr>
          <w:rFonts w:ascii="Arial" w:hAnsi="Arial" w:cs="Arial"/>
          <w:sz w:val="24"/>
          <w:szCs w:val="24"/>
        </w:rPr>
        <w:t>os ítems contables respectivos.</w:t>
      </w:r>
    </w:p>
    <w:p w:rsidR="00B033F7" w:rsidRPr="00194916" w:rsidRDefault="00B033F7" w:rsidP="00B033F7">
      <w:pPr>
        <w:widowControl w:val="0"/>
        <w:numPr>
          <w:ilvl w:val="0"/>
          <w:numId w:val="10"/>
        </w:numPr>
        <w:suppressAutoHyphens w:val="0"/>
        <w:spacing w:after="0" w:line="360" w:lineRule="auto"/>
        <w:ind w:left="284" w:hanging="284"/>
        <w:jc w:val="both"/>
        <w:rPr>
          <w:rFonts w:ascii="Arial" w:hAnsi="Arial" w:cs="Arial"/>
          <w:sz w:val="24"/>
          <w:szCs w:val="24"/>
        </w:rPr>
      </w:pPr>
      <w:r w:rsidRPr="00194916">
        <w:rPr>
          <w:rFonts w:ascii="Arial" w:hAnsi="Arial" w:cs="Arial"/>
          <w:sz w:val="24"/>
          <w:szCs w:val="24"/>
        </w:rPr>
        <w:t>Los formularios utilizados por el sistema de tributos no se encuentran prenumerados.</w:t>
      </w:r>
    </w:p>
    <w:p w:rsidR="00B033F7" w:rsidRPr="00194916" w:rsidRDefault="00B033F7" w:rsidP="007C0E89">
      <w:pPr>
        <w:pStyle w:val="Acta"/>
        <w:widowControl/>
        <w:tabs>
          <w:tab w:val="clear" w:pos="4536"/>
          <w:tab w:val="clear" w:pos="9072"/>
          <w:tab w:val="left" w:pos="284"/>
        </w:tabs>
        <w:spacing w:line="360" w:lineRule="auto"/>
        <w:rPr>
          <w:rFonts w:ascii="Arial" w:hAnsi="Arial" w:cs="Arial"/>
          <w:szCs w:val="24"/>
          <w:lang w:val="es-ES"/>
        </w:rPr>
      </w:pPr>
      <w:r w:rsidRPr="00194916">
        <w:rPr>
          <w:rFonts w:ascii="Arial" w:hAnsi="Arial" w:cs="Arial"/>
          <w:b/>
          <w:szCs w:val="24"/>
          <w:lang w:val="es-ES"/>
        </w:rPr>
        <w:t>8.5</w:t>
      </w:r>
      <w:r w:rsidRPr="00194916">
        <w:rPr>
          <w:rFonts w:ascii="Arial" w:hAnsi="Arial" w:cs="Arial"/>
          <w:szCs w:val="24"/>
          <w:lang w:val="es-ES"/>
        </w:rPr>
        <w:t xml:space="preserve"> Otras constataciones:</w:t>
      </w:r>
    </w:p>
    <w:p w:rsidR="00B033F7" w:rsidRPr="00194916" w:rsidRDefault="00B033F7" w:rsidP="00B033F7">
      <w:pPr>
        <w:numPr>
          <w:ilvl w:val="0"/>
          <w:numId w:val="11"/>
        </w:numPr>
        <w:tabs>
          <w:tab w:val="left" w:pos="284"/>
        </w:tabs>
        <w:suppressAutoHyphens w:val="0"/>
        <w:spacing w:after="0" w:line="360" w:lineRule="auto"/>
        <w:ind w:left="284" w:hanging="284"/>
        <w:jc w:val="both"/>
        <w:rPr>
          <w:rFonts w:ascii="Arial" w:hAnsi="Arial" w:cs="Arial"/>
          <w:sz w:val="24"/>
          <w:szCs w:val="24"/>
        </w:rPr>
      </w:pPr>
      <w:r w:rsidRPr="00194916">
        <w:rPr>
          <w:rFonts w:ascii="Arial" w:hAnsi="Arial" w:cs="Arial"/>
          <w:sz w:val="24"/>
          <w:szCs w:val="24"/>
        </w:rPr>
        <w:t>Se identificaron convenios vencidos, con tres o más cuotas atrasadas, sin dar de baja. De acuerdo a información proporcionada por la Intendencia de Treinta y Tres del sistema de tributos en el día 19/08/2016, totalizan 229 casos.</w:t>
      </w:r>
    </w:p>
    <w:p w:rsidR="00B033F7" w:rsidRPr="00194916" w:rsidRDefault="00B033F7" w:rsidP="00B033F7">
      <w:pPr>
        <w:widowControl w:val="0"/>
        <w:numPr>
          <w:ilvl w:val="0"/>
          <w:numId w:val="12"/>
        </w:numPr>
        <w:suppressAutoHyphens w:val="0"/>
        <w:spacing w:after="0" w:line="360" w:lineRule="auto"/>
        <w:ind w:left="284" w:hanging="284"/>
        <w:jc w:val="both"/>
        <w:rPr>
          <w:rFonts w:ascii="Arial" w:hAnsi="Arial" w:cs="Arial"/>
          <w:sz w:val="24"/>
          <w:szCs w:val="24"/>
        </w:rPr>
      </w:pPr>
      <w:r w:rsidRPr="00194916">
        <w:rPr>
          <w:rFonts w:ascii="Arial" w:hAnsi="Arial" w:cs="Arial"/>
          <w:sz w:val="24"/>
          <w:szCs w:val="24"/>
        </w:rPr>
        <w:t>Se constataron diferencias entre los valores de aforo aplicados a la Contribución Inmobiliaria Rural y Urbana con los datos obtenidos de la Dirección Nacional  de Catastro.</w:t>
      </w:r>
    </w:p>
    <w:p w:rsidR="00B033F7" w:rsidRPr="00194916" w:rsidRDefault="00B033F7" w:rsidP="00B033F7">
      <w:pPr>
        <w:widowControl w:val="0"/>
        <w:numPr>
          <w:ilvl w:val="0"/>
          <w:numId w:val="12"/>
        </w:numPr>
        <w:suppressAutoHyphens w:val="0"/>
        <w:spacing w:after="0" w:line="360" w:lineRule="auto"/>
        <w:ind w:left="284" w:hanging="284"/>
        <w:jc w:val="both"/>
        <w:rPr>
          <w:rFonts w:ascii="Arial" w:hAnsi="Arial" w:cs="Arial"/>
          <w:sz w:val="24"/>
          <w:szCs w:val="24"/>
        </w:rPr>
      </w:pPr>
      <w:bookmarkStart w:id="9" w:name="_Toc59429538"/>
      <w:bookmarkStart w:id="10" w:name="_Toc164767227"/>
      <w:bookmarkStart w:id="11" w:name="_Toc300573398"/>
      <w:r w:rsidRPr="00194916">
        <w:rPr>
          <w:rFonts w:ascii="Arial" w:hAnsi="Arial" w:cs="Arial"/>
          <w:sz w:val="24"/>
          <w:szCs w:val="24"/>
        </w:rPr>
        <w:t>El monto imponible de la CIU y CIR no se determinaron, en todos los casos, conforme a la normativa vigente. La Intendencia no controló adecuadamente  que las normas relativas a la determinación de los montos imponibles del tributo se aplicaran correctamente.</w:t>
      </w:r>
    </w:p>
    <w:p w:rsidR="00B033F7" w:rsidRPr="00194916" w:rsidRDefault="00B033F7" w:rsidP="00B033F7">
      <w:pPr>
        <w:widowControl w:val="0"/>
        <w:numPr>
          <w:ilvl w:val="0"/>
          <w:numId w:val="12"/>
        </w:numPr>
        <w:suppressAutoHyphens w:val="0"/>
        <w:spacing w:after="0" w:line="360" w:lineRule="auto"/>
        <w:ind w:left="284" w:hanging="284"/>
        <w:jc w:val="both"/>
        <w:rPr>
          <w:rFonts w:ascii="Arial" w:hAnsi="Arial" w:cs="Arial"/>
          <w:sz w:val="24"/>
          <w:szCs w:val="24"/>
        </w:rPr>
      </w:pPr>
      <w:r w:rsidRPr="00194916">
        <w:rPr>
          <w:rFonts w:ascii="Arial" w:hAnsi="Arial" w:cs="Arial"/>
          <w:sz w:val="24"/>
          <w:szCs w:val="24"/>
        </w:rPr>
        <w:t>Los controles implementados a efectos de verificar el cumplimiento de los requisitos para el otorgamiento de exoneraciones de CIU y CIR no garantizaron que los contribuyentes se encontraran en condi</w:t>
      </w:r>
      <w:r w:rsidR="00194916">
        <w:rPr>
          <w:rFonts w:ascii="Arial" w:hAnsi="Arial" w:cs="Arial"/>
          <w:sz w:val="24"/>
          <w:szCs w:val="24"/>
        </w:rPr>
        <w:t>ciones de acceder a las mismas.</w:t>
      </w:r>
    </w:p>
    <w:p w:rsidR="00B033F7" w:rsidRPr="00194916" w:rsidRDefault="00B033F7" w:rsidP="00B033F7">
      <w:pPr>
        <w:widowControl w:val="0"/>
        <w:numPr>
          <w:ilvl w:val="0"/>
          <w:numId w:val="12"/>
        </w:numPr>
        <w:suppressAutoHyphens w:val="0"/>
        <w:spacing w:after="0" w:line="360" w:lineRule="auto"/>
        <w:ind w:left="284" w:hanging="284"/>
        <w:jc w:val="both"/>
        <w:rPr>
          <w:rFonts w:ascii="Arial" w:hAnsi="Arial" w:cs="Arial"/>
          <w:sz w:val="24"/>
          <w:szCs w:val="24"/>
        </w:rPr>
      </w:pPr>
      <w:r w:rsidRPr="00194916">
        <w:rPr>
          <w:rFonts w:ascii="Arial" w:hAnsi="Arial" w:cs="Arial"/>
          <w:sz w:val="24"/>
          <w:szCs w:val="24"/>
        </w:rPr>
        <w:t>En oportunidad de la anulación de recibos, no siempre se especifica el motivo de la misma.</w:t>
      </w:r>
    </w:p>
    <w:p w:rsidR="00B033F7" w:rsidRPr="008E704D" w:rsidRDefault="00B033F7" w:rsidP="00B033F7">
      <w:pPr>
        <w:pStyle w:val="Textoindependiente"/>
        <w:numPr>
          <w:ilvl w:val="0"/>
          <w:numId w:val="12"/>
        </w:numPr>
        <w:tabs>
          <w:tab w:val="left" w:pos="-284"/>
          <w:tab w:val="left" w:pos="284"/>
        </w:tabs>
        <w:ind w:left="284" w:hanging="284"/>
        <w:rPr>
          <w:rFonts w:ascii="Arial" w:hAnsi="Arial" w:cs="Arial"/>
          <w:lang w:val="es-ES"/>
        </w:rPr>
      </w:pPr>
      <w:r w:rsidRPr="008606B7">
        <w:rPr>
          <w:rFonts w:ascii="Arial" w:hAnsi="Arial" w:cs="Arial"/>
        </w:rPr>
        <w:t>Las solicitudes de prescripción de los tributos no cuentan con la firma del Intendente.</w:t>
      </w:r>
    </w:p>
    <w:p w:rsidR="00B033F7" w:rsidRPr="00194916" w:rsidRDefault="00B033F7" w:rsidP="00B033F7">
      <w:pPr>
        <w:widowControl w:val="0"/>
        <w:numPr>
          <w:ilvl w:val="0"/>
          <w:numId w:val="12"/>
        </w:numPr>
        <w:suppressAutoHyphens w:val="0"/>
        <w:spacing w:line="360" w:lineRule="auto"/>
        <w:ind w:left="284" w:hanging="284"/>
        <w:contextualSpacing/>
        <w:jc w:val="both"/>
        <w:rPr>
          <w:rFonts w:ascii="Arial" w:hAnsi="Arial"/>
          <w:b/>
          <w:snapToGrid w:val="0"/>
          <w:color w:val="000000"/>
          <w:sz w:val="24"/>
          <w:szCs w:val="24"/>
        </w:rPr>
      </w:pPr>
      <w:r w:rsidRPr="00194916">
        <w:rPr>
          <w:rFonts w:ascii="Arial" w:eastAsia="Calibri" w:hAnsi="Arial" w:cs="Arial"/>
          <w:sz w:val="24"/>
          <w:szCs w:val="24"/>
          <w:lang w:eastAsia="en-US"/>
        </w:rPr>
        <w:t>De conformidad con el Artículo 212 del Decreto Nº 500/91, con fecha 18/11/2016 se prorrogó el plazo del sumario a las funcionarias involucradas en presuntos ilícitos, a la espera de la culminación del expediente penal.</w:t>
      </w:r>
    </w:p>
    <w:p w:rsidR="00B033F7" w:rsidRDefault="00B033F7" w:rsidP="000950CF">
      <w:pPr>
        <w:widowControl w:val="0"/>
        <w:spacing w:line="360" w:lineRule="auto"/>
        <w:ind w:left="720"/>
        <w:contextualSpacing/>
        <w:jc w:val="both"/>
        <w:rPr>
          <w:rFonts w:ascii="Arial" w:eastAsia="Calibri" w:hAnsi="Arial" w:cs="Arial"/>
          <w:szCs w:val="24"/>
          <w:lang w:eastAsia="en-US"/>
        </w:rPr>
      </w:pPr>
    </w:p>
    <w:p w:rsidR="00B033F7" w:rsidRPr="00194916" w:rsidRDefault="00B033F7" w:rsidP="00747562">
      <w:pPr>
        <w:spacing w:line="360" w:lineRule="auto"/>
        <w:rPr>
          <w:rFonts w:ascii="Arial" w:hAnsi="Arial"/>
          <w:b/>
          <w:snapToGrid w:val="0"/>
          <w:color w:val="000000"/>
          <w:sz w:val="24"/>
          <w:szCs w:val="24"/>
        </w:rPr>
      </w:pPr>
      <w:r w:rsidRPr="00194916">
        <w:rPr>
          <w:rFonts w:ascii="Arial" w:hAnsi="Arial"/>
          <w:b/>
          <w:snapToGrid w:val="0"/>
          <w:color w:val="000000"/>
          <w:sz w:val="24"/>
          <w:szCs w:val="24"/>
        </w:rPr>
        <w:t>9. CONCLUSION</w:t>
      </w:r>
    </w:p>
    <w:p w:rsidR="00B033F7" w:rsidRPr="00194916" w:rsidRDefault="00B033F7" w:rsidP="004F095F">
      <w:pPr>
        <w:spacing w:line="360" w:lineRule="auto"/>
        <w:jc w:val="both"/>
        <w:rPr>
          <w:rFonts w:ascii="Arial" w:hAnsi="Arial"/>
          <w:b/>
          <w:snapToGrid w:val="0"/>
          <w:color w:val="000000"/>
          <w:sz w:val="24"/>
          <w:szCs w:val="24"/>
        </w:rPr>
      </w:pPr>
      <w:r w:rsidRPr="00194916">
        <w:rPr>
          <w:rFonts w:ascii="Arial" w:hAnsi="Arial"/>
          <w:snapToGrid w:val="0"/>
          <w:color w:val="000000"/>
          <w:sz w:val="24"/>
          <w:szCs w:val="24"/>
        </w:rPr>
        <w:t xml:space="preserve">Teniendo en cuenta las limitaciones señaladas en el punto 7 de este informe, las debilidades de control interno constatadas en el área de Tributos y Recaudación de la Intendencia de Treinta y Tres posibilitaron la ocurrencia de las situaciones que llevaron a </w:t>
      </w:r>
      <w:r w:rsidR="00194916" w:rsidRPr="00194916">
        <w:rPr>
          <w:rFonts w:ascii="Arial" w:hAnsi="Arial"/>
          <w:snapToGrid w:val="0"/>
          <w:color w:val="000000"/>
          <w:sz w:val="24"/>
          <w:szCs w:val="24"/>
        </w:rPr>
        <w:t>la solicitud de esta auditoría.</w:t>
      </w:r>
    </w:p>
    <w:p w:rsidR="00B033F7" w:rsidRPr="00194916" w:rsidRDefault="00B033F7" w:rsidP="0066312F">
      <w:pPr>
        <w:spacing w:line="360" w:lineRule="auto"/>
        <w:rPr>
          <w:rFonts w:ascii="Arial" w:hAnsi="Arial"/>
          <w:b/>
          <w:snapToGrid w:val="0"/>
          <w:color w:val="000000"/>
          <w:sz w:val="24"/>
          <w:szCs w:val="24"/>
        </w:rPr>
      </w:pPr>
      <w:r w:rsidRPr="00194916">
        <w:rPr>
          <w:rFonts w:ascii="Arial" w:hAnsi="Arial"/>
          <w:b/>
          <w:snapToGrid w:val="0"/>
          <w:color w:val="000000"/>
          <w:sz w:val="24"/>
          <w:szCs w:val="24"/>
        </w:rPr>
        <w:t>10. RECOMENDACIONES</w:t>
      </w:r>
    </w:p>
    <w:p w:rsidR="00B033F7" w:rsidRPr="00194916" w:rsidRDefault="00B033F7" w:rsidP="00BE6FA9">
      <w:pPr>
        <w:spacing w:line="360" w:lineRule="auto"/>
        <w:jc w:val="both"/>
        <w:rPr>
          <w:rFonts w:ascii="Arial" w:hAnsi="Arial"/>
          <w:snapToGrid w:val="0"/>
          <w:color w:val="000000"/>
          <w:sz w:val="24"/>
          <w:szCs w:val="24"/>
        </w:rPr>
      </w:pPr>
      <w:r w:rsidRPr="00194916">
        <w:rPr>
          <w:rFonts w:ascii="Arial" w:hAnsi="Arial"/>
          <w:snapToGrid w:val="0"/>
          <w:color w:val="000000"/>
          <w:sz w:val="24"/>
          <w:szCs w:val="24"/>
        </w:rPr>
        <w:t xml:space="preserve">A los efectos de superar </w:t>
      </w:r>
      <w:r w:rsidRPr="00194916">
        <w:rPr>
          <w:rFonts w:ascii="Arial" w:hAnsi="Arial"/>
          <w:snapToGrid w:val="0"/>
          <w:sz w:val="24"/>
          <w:szCs w:val="24"/>
        </w:rPr>
        <w:t>las debilidades</w:t>
      </w:r>
      <w:r w:rsidRPr="00194916">
        <w:rPr>
          <w:rFonts w:ascii="Arial" w:hAnsi="Arial"/>
          <w:b/>
          <w:snapToGrid w:val="0"/>
          <w:color w:val="FF0000"/>
          <w:sz w:val="24"/>
          <w:szCs w:val="24"/>
        </w:rPr>
        <w:t xml:space="preserve"> </w:t>
      </w:r>
      <w:r w:rsidRPr="00194916">
        <w:rPr>
          <w:rFonts w:ascii="Arial" w:hAnsi="Arial"/>
          <w:snapToGrid w:val="0"/>
          <w:color w:val="000000"/>
          <w:sz w:val="24"/>
          <w:szCs w:val="24"/>
        </w:rPr>
        <w:t>de control interno mencionadas en el apartado 8, y aclarar los aspectos vinculados a los presuntos ilícitos se sugiere:</w:t>
      </w:r>
    </w:p>
    <w:p w:rsidR="00B033F7" w:rsidRPr="00194916" w:rsidRDefault="00B033F7" w:rsidP="00B033F7">
      <w:pPr>
        <w:numPr>
          <w:ilvl w:val="0"/>
          <w:numId w:val="5"/>
        </w:numPr>
        <w:suppressAutoHyphens w:val="0"/>
        <w:spacing w:after="0" w:line="360" w:lineRule="auto"/>
        <w:ind w:left="284" w:hanging="284"/>
        <w:contextualSpacing/>
        <w:jc w:val="both"/>
        <w:rPr>
          <w:rFonts w:ascii="Arial" w:hAnsi="Arial" w:cs="Arial"/>
          <w:sz w:val="24"/>
          <w:szCs w:val="24"/>
        </w:rPr>
      </w:pPr>
      <w:r w:rsidRPr="00194916">
        <w:rPr>
          <w:rFonts w:ascii="Arial" w:hAnsi="Arial" w:cs="Arial"/>
          <w:sz w:val="24"/>
          <w:szCs w:val="24"/>
        </w:rPr>
        <w:t>Establecer la segregación de funciones entre los usuarios del sistema, para que los permisos de menú y roles asignados no confieran, a algunos usuarios, el control completo del procesamiento de transacciones relacio</w:t>
      </w:r>
      <w:r w:rsidR="00194916">
        <w:rPr>
          <w:rFonts w:ascii="Arial" w:hAnsi="Arial" w:cs="Arial"/>
          <w:sz w:val="24"/>
          <w:szCs w:val="24"/>
        </w:rPr>
        <w:t>nadas con la baja de convenios.</w:t>
      </w:r>
    </w:p>
    <w:p w:rsidR="00B033F7" w:rsidRPr="00194916" w:rsidRDefault="00B033F7" w:rsidP="00B033F7">
      <w:pPr>
        <w:numPr>
          <w:ilvl w:val="0"/>
          <w:numId w:val="5"/>
        </w:numPr>
        <w:suppressAutoHyphens w:val="0"/>
        <w:spacing w:after="0" w:line="360" w:lineRule="auto"/>
        <w:ind w:left="284" w:hanging="284"/>
        <w:contextualSpacing/>
        <w:jc w:val="both"/>
        <w:rPr>
          <w:rFonts w:ascii="Arial" w:hAnsi="Arial" w:cs="Arial"/>
          <w:sz w:val="24"/>
          <w:szCs w:val="24"/>
        </w:rPr>
      </w:pPr>
      <w:r w:rsidRPr="00194916">
        <w:rPr>
          <w:rFonts w:ascii="Arial" w:hAnsi="Arial" w:cs="Arial"/>
          <w:sz w:val="24"/>
          <w:szCs w:val="24"/>
        </w:rPr>
        <w:t>Utilizar al momento de dar de baja un convenio con errores las siguientes  acciones:</w:t>
      </w:r>
    </w:p>
    <w:p w:rsidR="00B033F7" w:rsidRPr="00194916" w:rsidRDefault="00B033F7" w:rsidP="00B033F7">
      <w:pPr>
        <w:numPr>
          <w:ilvl w:val="1"/>
          <w:numId w:val="5"/>
        </w:numPr>
        <w:suppressAutoHyphens w:val="0"/>
        <w:spacing w:after="0" w:line="360" w:lineRule="auto"/>
        <w:ind w:left="851" w:hanging="284"/>
        <w:contextualSpacing/>
        <w:jc w:val="both"/>
        <w:rPr>
          <w:rFonts w:ascii="Arial" w:hAnsi="Arial" w:cs="Arial"/>
          <w:sz w:val="24"/>
          <w:szCs w:val="24"/>
        </w:rPr>
      </w:pPr>
      <w:r w:rsidRPr="00194916">
        <w:rPr>
          <w:rFonts w:ascii="Arial" w:hAnsi="Arial" w:cs="Arial"/>
          <w:sz w:val="24"/>
          <w:szCs w:val="24"/>
        </w:rPr>
        <w:t>Baja por error, cuando el contribuyente no ha realizado pagos.</w:t>
      </w:r>
    </w:p>
    <w:p w:rsidR="00B033F7" w:rsidRPr="00194916" w:rsidRDefault="00B033F7" w:rsidP="00B033F7">
      <w:pPr>
        <w:numPr>
          <w:ilvl w:val="1"/>
          <w:numId w:val="5"/>
        </w:numPr>
        <w:suppressAutoHyphens w:val="0"/>
        <w:spacing w:after="0" w:line="360" w:lineRule="auto"/>
        <w:ind w:left="851" w:hanging="284"/>
        <w:contextualSpacing/>
        <w:jc w:val="both"/>
        <w:rPr>
          <w:rFonts w:ascii="Arial" w:hAnsi="Arial" w:cs="Arial"/>
          <w:sz w:val="24"/>
          <w:szCs w:val="24"/>
        </w:rPr>
      </w:pPr>
      <w:r w:rsidRPr="00194916">
        <w:rPr>
          <w:rFonts w:ascii="Arial" w:hAnsi="Arial" w:cs="Arial"/>
          <w:sz w:val="24"/>
          <w:szCs w:val="24"/>
        </w:rPr>
        <w:t>Caducidad de convenios, cuando el co</w:t>
      </w:r>
      <w:r w:rsidR="00194916" w:rsidRPr="00194916">
        <w:rPr>
          <w:rFonts w:ascii="Arial" w:hAnsi="Arial" w:cs="Arial"/>
          <w:sz w:val="24"/>
          <w:szCs w:val="24"/>
        </w:rPr>
        <w:t>ntribuyente ha realizado pagos.</w:t>
      </w:r>
    </w:p>
    <w:p w:rsidR="00B033F7" w:rsidRDefault="00B033F7" w:rsidP="00B033F7">
      <w:pPr>
        <w:pStyle w:val="Acta"/>
        <w:widowControl/>
        <w:numPr>
          <w:ilvl w:val="0"/>
          <w:numId w:val="5"/>
        </w:numPr>
        <w:tabs>
          <w:tab w:val="clear" w:pos="4536"/>
          <w:tab w:val="clear" w:pos="9072"/>
          <w:tab w:val="left" w:pos="284"/>
        </w:tabs>
        <w:spacing w:line="360" w:lineRule="auto"/>
        <w:ind w:left="284" w:hanging="284"/>
        <w:rPr>
          <w:rFonts w:ascii="Arial" w:hAnsi="Arial" w:cs="Arial"/>
          <w:lang w:val="es-ES"/>
        </w:rPr>
      </w:pPr>
      <w:r>
        <w:rPr>
          <w:rFonts w:ascii="Arial" w:hAnsi="Arial" w:cs="Arial"/>
          <w:lang w:val="es-ES"/>
        </w:rPr>
        <w:t>Realizar controles de stock de las guías de propiedad y tránsito  adquiridas al Ministerio de Ganadería, Agricultura y Pesca, para ser vendidas luego a los contribuyentes.</w:t>
      </w:r>
    </w:p>
    <w:p w:rsidR="00B033F7" w:rsidRDefault="00B033F7" w:rsidP="00B033F7">
      <w:pPr>
        <w:pStyle w:val="Acta"/>
        <w:widowControl/>
        <w:numPr>
          <w:ilvl w:val="0"/>
          <w:numId w:val="5"/>
        </w:numPr>
        <w:tabs>
          <w:tab w:val="clear" w:pos="4536"/>
          <w:tab w:val="clear" w:pos="9072"/>
          <w:tab w:val="left" w:pos="284"/>
        </w:tabs>
        <w:spacing w:line="360" w:lineRule="auto"/>
        <w:ind w:left="284" w:hanging="284"/>
        <w:rPr>
          <w:rFonts w:ascii="Arial" w:hAnsi="Arial" w:cs="Arial"/>
          <w:lang w:val="es-ES"/>
        </w:rPr>
      </w:pPr>
      <w:r w:rsidRPr="00E95016">
        <w:rPr>
          <w:rFonts w:ascii="Arial" w:hAnsi="Arial" w:cs="Arial"/>
          <w:lang w:val="es-ES"/>
        </w:rPr>
        <w:t xml:space="preserve">Efectuar los </w:t>
      </w:r>
      <w:r>
        <w:rPr>
          <w:rFonts w:ascii="Arial" w:hAnsi="Arial" w:cs="Arial"/>
          <w:lang w:val="es-ES"/>
        </w:rPr>
        <w:t>controles que permitan verificar que las guías vendidas por la Intendencia, sean luego declaradas por los contribuyentes para el pago del impuesto correspondiente.</w:t>
      </w:r>
    </w:p>
    <w:p w:rsidR="00B033F7" w:rsidRPr="00194916" w:rsidRDefault="00B033F7" w:rsidP="00B033F7">
      <w:pPr>
        <w:pStyle w:val="Acta"/>
        <w:widowControl/>
        <w:numPr>
          <w:ilvl w:val="0"/>
          <w:numId w:val="5"/>
        </w:numPr>
        <w:tabs>
          <w:tab w:val="clear" w:pos="4536"/>
          <w:tab w:val="clear" w:pos="9072"/>
          <w:tab w:val="left" w:pos="284"/>
        </w:tabs>
        <w:spacing w:line="360" w:lineRule="auto"/>
        <w:ind w:left="284" w:hanging="284"/>
        <w:rPr>
          <w:rFonts w:ascii="Arial" w:hAnsi="Arial" w:cs="Arial"/>
          <w:szCs w:val="24"/>
          <w:lang w:val="es-ES"/>
        </w:rPr>
      </w:pPr>
      <w:r w:rsidRPr="00194916">
        <w:rPr>
          <w:rFonts w:ascii="Arial" w:hAnsi="Arial" w:cs="Arial"/>
          <w:szCs w:val="24"/>
          <w:lang w:val="es-ES"/>
        </w:rPr>
        <w:t xml:space="preserve">Conciliar </w:t>
      </w:r>
      <w:r w:rsidRPr="00194916">
        <w:rPr>
          <w:rFonts w:ascii="Arial" w:hAnsi="Arial"/>
          <w:kern w:val="1"/>
          <w:szCs w:val="24"/>
          <w:lang w:val="es-ES"/>
        </w:rPr>
        <w:t>la información proporcionada por la Base de Datos extraída del sistema de recaudación, con los registros contables respectivos.</w:t>
      </w:r>
    </w:p>
    <w:p w:rsidR="00B033F7" w:rsidRPr="00194916" w:rsidRDefault="00B033F7" w:rsidP="00B033F7">
      <w:pPr>
        <w:numPr>
          <w:ilvl w:val="0"/>
          <w:numId w:val="5"/>
        </w:numPr>
        <w:tabs>
          <w:tab w:val="left" w:pos="284"/>
        </w:tabs>
        <w:spacing w:after="0" w:line="360" w:lineRule="auto"/>
        <w:ind w:left="284" w:hanging="284"/>
        <w:jc w:val="both"/>
        <w:rPr>
          <w:rFonts w:ascii="Arial" w:hAnsi="Arial" w:cs="Arial"/>
          <w:sz w:val="24"/>
          <w:szCs w:val="24"/>
        </w:rPr>
      </w:pPr>
      <w:r w:rsidRPr="00194916">
        <w:rPr>
          <w:rFonts w:ascii="Arial" w:hAnsi="Arial" w:cs="Arial"/>
          <w:sz w:val="24"/>
          <w:szCs w:val="24"/>
        </w:rPr>
        <w:t>Efectuar controles en la aplicación de exoneraciones de CIU y CIR, y en la determinación del monto imponible de los mismos, de acuerdo a las normas vigentes.</w:t>
      </w:r>
    </w:p>
    <w:p w:rsidR="00B033F7" w:rsidRPr="00194916" w:rsidRDefault="00B033F7" w:rsidP="00B033F7">
      <w:pPr>
        <w:numPr>
          <w:ilvl w:val="0"/>
          <w:numId w:val="6"/>
        </w:numPr>
        <w:tabs>
          <w:tab w:val="left" w:pos="284"/>
        </w:tabs>
        <w:suppressAutoHyphens w:val="0"/>
        <w:spacing w:after="0" w:line="360" w:lineRule="auto"/>
        <w:ind w:left="284" w:hanging="284"/>
        <w:jc w:val="both"/>
        <w:rPr>
          <w:rFonts w:ascii="Arial" w:hAnsi="Arial"/>
          <w:color w:val="000000"/>
          <w:sz w:val="24"/>
          <w:szCs w:val="24"/>
        </w:rPr>
      </w:pPr>
      <w:r w:rsidRPr="00194916">
        <w:rPr>
          <w:rFonts w:ascii="Arial" w:hAnsi="Arial"/>
          <w:snapToGrid w:val="0"/>
          <w:color w:val="000000"/>
          <w:sz w:val="24"/>
          <w:szCs w:val="24"/>
        </w:rPr>
        <w:t xml:space="preserve">Continuar con los sumarios instruidos para determinar la responsabilidad administrativa en el manejo de los fondos públicos de los funcionarios intervinientes, individualizar a los infractores, estimar la entidad de la falta, esclarecer el total de los hechos y determinar la cuantía de los daños y perjuicios ocasionados al Erario Público. Conforme con el Artículo 140 del TOCAF, compete a este Tribunal tomar conocimiento sobre el desarrollo y </w:t>
      </w:r>
      <w:r w:rsidR="00194916">
        <w:rPr>
          <w:rFonts w:ascii="Arial" w:hAnsi="Arial"/>
          <w:snapToGrid w:val="0"/>
          <w:color w:val="000000"/>
          <w:sz w:val="24"/>
          <w:szCs w:val="24"/>
        </w:rPr>
        <w:t>las conclusiones de los mismos.</w:t>
      </w:r>
    </w:p>
    <w:p w:rsidR="00B033F7" w:rsidRPr="00194916" w:rsidRDefault="00B033F7" w:rsidP="00B033F7">
      <w:pPr>
        <w:numPr>
          <w:ilvl w:val="0"/>
          <w:numId w:val="6"/>
        </w:numPr>
        <w:tabs>
          <w:tab w:val="left" w:pos="284"/>
        </w:tabs>
        <w:suppressAutoHyphens w:val="0"/>
        <w:spacing w:after="0" w:line="360" w:lineRule="auto"/>
        <w:ind w:left="284" w:hanging="284"/>
        <w:jc w:val="both"/>
        <w:rPr>
          <w:rFonts w:ascii="Arial" w:hAnsi="Arial"/>
          <w:color w:val="000000"/>
          <w:sz w:val="24"/>
          <w:szCs w:val="24"/>
        </w:rPr>
      </w:pPr>
      <w:r w:rsidRPr="00194916">
        <w:rPr>
          <w:rFonts w:ascii="Arial" w:hAnsi="Arial"/>
          <w:color w:val="000000"/>
          <w:sz w:val="24"/>
          <w:szCs w:val="24"/>
        </w:rPr>
        <w:t>Remitir al Tribunal de Cuentas el informe y las conclusiones una vez finalizados los sumarios, conforme con el A</w:t>
      </w:r>
      <w:r w:rsidR="00194916" w:rsidRPr="00194916">
        <w:rPr>
          <w:rFonts w:ascii="Arial" w:hAnsi="Arial"/>
          <w:color w:val="000000"/>
          <w:sz w:val="24"/>
          <w:szCs w:val="24"/>
        </w:rPr>
        <w:t>rtículo 146 del TOCAF.</w:t>
      </w:r>
    </w:p>
    <w:p w:rsidR="00B033F7" w:rsidRDefault="00B033F7" w:rsidP="004327E8">
      <w:pPr>
        <w:tabs>
          <w:tab w:val="left" w:pos="284"/>
        </w:tabs>
        <w:spacing w:line="360" w:lineRule="auto"/>
        <w:jc w:val="both"/>
        <w:rPr>
          <w:rFonts w:ascii="Arial" w:hAnsi="Arial"/>
          <w:color w:val="000000"/>
          <w:szCs w:val="24"/>
        </w:rPr>
      </w:pPr>
    </w:p>
    <w:p w:rsidR="00B033F7" w:rsidRDefault="00B033F7" w:rsidP="004327E8">
      <w:pPr>
        <w:tabs>
          <w:tab w:val="left" w:pos="284"/>
        </w:tabs>
        <w:spacing w:line="360" w:lineRule="auto"/>
        <w:jc w:val="both"/>
        <w:rPr>
          <w:rFonts w:ascii="Arial" w:hAnsi="Arial"/>
          <w:color w:val="000000"/>
          <w:szCs w:val="24"/>
        </w:rPr>
      </w:pPr>
    </w:p>
    <w:p w:rsidR="00B033F7" w:rsidRPr="00AE0AFD" w:rsidRDefault="00B033F7" w:rsidP="00B033F7">
      <w:pPr>
        <w:tabs>
          <w:tab w:val="left" w:pos="284"/>
        </w:tabs>
        <w:spacing w:line="360" w:lineRule="auto"/>
        <w:ind w:hanging="284"/>
        <w:jc w:val="both"/>
        <w:rPr>
          <w:rFonts w:ascii="Arial" w:hAnsi="Arial"/>
          <w:color w:val="000000"/>
          <w:sz w:val="24"/>
          <w:szCs w:val="24"/>
        </w:rPr>
      </w:pPr>
      <w:proofErr w:type="gramStart"/>
      <w:r w:rsidRPr="00AE0AFD">
        <w:rPr>
          <w:rFonts w:ascii="Arial" w:hAnsi="Arial"/>
          <w:color w:val="000000"/>
          <w:sz w:val="24"/>
          <w:szCs w:val="24"/>
        </w:rPr>
        <w:t>dc</w:t>
      </w:r>
      <w:bookmarkEnd w:id="9"/>
      <w:bookmarkEnd w:id="10"/>
      <w:bookmarkEnd w:id="11"/>
      <w:proofErr w:type="gramEnd"/>
    </w:p>
    <w:sectPr w:rsidR="00B033F7" w:rsidRPr="00AE0AFD" w:rsidSect="00027020">
      <w:pgSz w:w="11906" w:h="16838" w:code="9"/>
      <w:pgMar w:top="3119" w:right="1701" w:bottom="1701" w:left="1701" w:header="720" w:footer="720" w:gutter="0"/>
      <w:paperSrc w:first="4" w:other="4"/>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702"/>
    <w:multiLevelType w:val="hybridMultilevel"/>
    <w:tmpl w:val="DFBE17FE"/>
    <w:lvl w:ilvl="0" w:tplc="2C0A0005">
      <w:start w:val="1"/>
      <w:numFmt w:val="bullet"/>
      <w:lvlText w:val=""/>
      <w:lvlJc w:val="left"/>
      <w:pPr>
        <w:ind w:left="720" w:hanging="360"/>
      </w:pPr>
      <w:rPr>
        <w:rFonts w:ascii="Wingdings" w:hAnsi="Wingdings" w:hint="default"/>
      </w:rPr>
    </w:lvl>
    <w:lvl w:ilvl="1" w:tplc="0C0A000F">
      <w:start w:val="1"/>
      <w:numFmt w:val="decimal"/>
      <w:lvlText w:val="%2."/>
      <w:lvlJc w:val="left"/>
      <w:pPr>
        <w:ind w:left="1440" w:hanging="360"/>
      </w:pPr>
      <w:rPr>
        <w:rFonts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50F1506"/>
    <w:multiLevelType w:val="hybridMultilevel"/>
    <w:tmpl w:val="CE8EB3A8"/>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
    <w:nsid w:val="17C469DD"/>
    <w:multiLevelType w:val="hybridMultilevel"/>
    <w:tmpl w:val="132833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BF65608"/>
    <w:multiLevelType w:val="hybridMultilevel"/>
    <w:tmpl w:val="74789F20"/>
    <w:lvl w:ilvl="0" w:tplc="1F0ED798">
      <w:start w:val="3"/>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C2869EF"/>
    <w:multiLevelType w:val="hybridMultilevel"/>
    <w:tmpl w:val="B37080DA"/>
    <w:lvl w:ilvl="0" w:tplc="2C0A0005">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01216ED"/>
    <w:multiLevelType w:val="hybridMultilevel"/>
    <w:tmpl w:val="91C6FB64"/>
    <w:lvl w:ilvl="0" w:tplc="2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07A308C"/>
    <w:multiLevelType w:val="hybridMultilevel"/>
    <w:tmpl w:val="3BC695F0"/>
    <w:lvl w:ilvl="0" w:tplc="2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EAC39B5"/>
    <w:multiLevelType w:val="hybridMultilevel"/>
    <w:tmpl w:val="24B45A9E"/>
    <w:lvl w:ilvl="0" w:tplc="2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F6E57D1"/>
    <w:multiLevelType w:val="hybridMultilevel"/>
    <w:tmpl w:val="723261E8"/>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9">
    <w:nsid w:val="3F393E25"/>
    <w:multiLevelType w:val="hybridMultilevel"/>
    <w:tmpl w:val="B0A67882"/>
    <w:lvl w:ilvl="0" w:tplc="1F0ED798">
      <w:start w:val="3"/>
      <w:numFmt w:val="bullet"/>
      <w:lvlText w:val="-"/>
      <w:lvlJc w:val="left"/>
      <w:pPr>
        <w:ind w:left="1004" w:hanging="360"/>
      </w:pPr>
      <w:rPr>
        <w:rFonts w:ascii="Times New Roman" w:eastAsia="Times New Roman" w:hAnsi="Times New Roman" w:cs="Times New Roman" w:hint="default"/>
      </w:rPr>
    </w:lvl>
    <w:lvl w:ilvl="1" w:tplc="380A0003" w:tentative="1">
      <w:start w:val="1"/>
      <w:numFmt w:val="bullet"/>
      <w:lvlText w:val="o"/>
      <w:lvlJc w:val="left"/>
      <w:pPr>
        <w:ind w:left="1724" w:hanging="360"/>
      </w:pPr>
      <w:rPr>
        <w:rFonts w:ascii="Courier New" w:hAnsi="Courier New" w:cs="Courier New" w:hint="default"/>
      </w:rPr>
    </w:lvl>
    <w:lvl w:ilvl="2" w:tplc="380A0005" w:tentative="1">
      <w:start w:val="1"/>
      <w:numFmt w:val="bullet"/>
      <w:lvlText w:val=""/>
      <w:lvlJc w:val="left"/>
      <w:pPr>
        <w:ind w:left="2444" w:hanging="360"/>
      </w:pPr>
      <w:rPr>
        <w:rFonts w:ascii="Wingdings" w:hAnsi="Wingdings" w:hint="default"/>
      </w:rPr>
    </w:lvl>
    <w:lvl w:ilvl="3" w:tplc="380A0001" w:tentative="1">
      <w:start w:val="1"/>
      <w:numFmt w:val="bullet"/>
      <w:lvlText w:val=""/>
      <w:lvlJc w:val="left"/>
      <w:pPr>
        <w:ind w:left="3164" w:hanging="360"/>
      </w:pPr>
      <w:rPr>
        <w:rFonts w:ascii="Symbol" w:hAnsi="Symbol" w:hint="default"/>
      </w:rPr>
    </w:lvl>
    <w:lvl w:ilvl="4" w:tplc="380A0003" w:tentative="1">
      <w:start w:val="1"/>
      <w:numFmt w:val="bullet"/>
      <w:lvlText w:val="o"/>
      <w:lvlJc w:val="left"/>
      <w:pPr>
        <w:ind w:left="3884" w:hanging="360"/>
      </w:pPr>
      <w:rPr>
        <w:rFonts w:ascii="Courier New" w:hAnsi="Courier New" w:cs="Courier New" w:hint="default"/>
      </w:rPr>
    </w:lvl>
    <w:lvl w:ilvl="5" w:tplc="380A0005" w:tentative="1">
      <w:start w:val="1"/>
      <w:numFmt w:val="bullet"/>
      <w:lvlText w:val=""/>
      <w:lvlJc w:val="left"/>
      <w:pPr>
        <w:ind w:left="4604" w:hanging="360"/>
      </w:pPr>
      <w:rPr>
        <w:rFonts w:ascii="Wingdings" w:hAnsi="Wingdings" w:hint="default"/>
      </w:rPr>
    </w:lvl>
    <w:lvl w:ilvl="6" w:tplc="380A0001" w:tentative="1">
      <w:start w:val="1"/>
      <w:numFmt w:val="bullet"/>
      <w:lvlText w:val=""/>
      <w:lvlJc w:val="left"/>
      <w:pPr>
        <w:ind w:left="5324" w:hanging="360"/>
      </w:pPr>
      <w:rPr>
        <w:rFonts w:ascii="Symbol" w:hAnsi="Symbol" w:hint="default"/>
      </w:rPr>
    </w:lvl>
    <w:lvl w:ilvl="7" w:tplc="380A0003" w:tentative="1">
      <w:start w:val="1"/>
      <w:numFmt w:val="bullet"/>
      <w:lvlText w:val="o"/>
      <w:lvlJc w:val="left"/>
      <w:pPr>
        <w:ind w:left="6044" w:hanging="360"/>
      </w:pPr>
      <w:rPr>
        <w:rFonts w:ascii="Courier New" w:hAnsi="Courier New" w:cs="Courier New" w:hint="default"/>
      </w:rPr>
    </w:lvl>
    <w:lvl w:ilvl="8" w:tplc="380A0005" w:tentative="1">
      <w:start w:val="1"/>
      <w:numFmt w:val="bullet"/>
      <w:lvlText w:val=""/>
      <w:lvlJc w:val="left"/>
      <w:pPr>
        <w:ind w:left="6764" w:hanging="360"/>
      </w:pPr>
      <w:rPr>
        <w:rFonts w:ascii="Wingdings" w:hAnsi="Wingdings" w:hint="default"/>
      </w:rPr>
    </w:lvl>
  </w:abstractNum>
  <w:abstractNum w:abstractNumId="10">
    <w:nsid w:val="56652C65"/>
    <w:multiLevelType w:val="hybridMultilevel"/>
    <w:tmpl w:val="05DC4D0A"/>
    <w:lvl w:ilvl="0" w:tplc="FD5C4CA0">
      <w:start w:val="1"/>
      <w:numFmt w:val="decimal"/>
      <w:lvlText w:val="%1)"/>
      <w:lvlJc w:val="left"/>
      <w:pPr>
        <w:ind w:left="720" w:hanging="36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1">
    <w:nsid w:val="660633A3"/>
    <w:multiLevelType w:val="hybridMultilevel"/>
    <w:tmpl w:val="64660DD4"/>
    <w:lvl w:ilvl="0" w:tplc="380A0005">
      <w:start w:val="1"/>
      <w:numFmt w:val="bullet"/>
      <w:lvlText w:val=""/>
      <w:lvlJc w:val="left"/>
      <w:pPr>
        <w:ind w:left="1788" w:hanging="360"/>
      </w:pPr>
      <w:rPr>
        <w:rFonts w:ascii="Wingdings" w:hAnsi="Wingdings" w:hint="default"/>
      </w:rPr>
    </w:lvl>
    <w:lvl w:ilvl="1" w:tplc="380A0003" w:tentative="1">
      <w:start w:val="1"/>
      <w:numFmt w:val="bullet"/>
      <w:lvlText w:val="o"/>
      <w:lvlJc w:val="left"/>
      <w:pPr>
        <w:ind w:left="2508" w:hanging="360"/>
      </w:pPr>
      <w:rPr>
        <w:rFonts w:ascii="Courier New" w:hAnsi="Courier New" w:cs="Courier New" w:hint="default"/>
      </w:rPr>
    </w:lvl>
    <w:lvl w:ilvl="2" w:tplc="380A0005" w:tentative="1">
      <w:start w:val="1"/>
      <w:numFmt w:val="bullet"/>
      <w:lvlText w:val=""/>
      <w:lvlJc w:val="left"/>
      <w:pPr>
        <w:ind w:left="3228" w:hanging="360"/>
      </w:pPr>
      <w:rPr>
        <w:rFonts w:ascii="Wingdings" w:hAnsi="Wingdings" w:hint="default"/>
      </w:rPr>
    </w:lvl>
    <w:lvl w:ilvl="3" w:tplc="380A0001" w:tentative="1">
      <w:start w:val="1"/>
      <w:numFmt w:val="bullet"/>
      <w:lvlText w:val=""/>
      <w:lvlJc w:val="left"/>
      <w:pPr>
        <w:ind w:left="3948" w:hanging="360"/>
      </w:pPr>
      <w:rPr>
        <w:rFonts w:ascii="Symbol" w:hAnsi="Symbol" w:hint="default"/>
      </w:rPr>
    </w:lvl>
    <w:lvl w:ilvl="4" w:tplc="380A0003" w:tentative="1">
      <w:start w:val="1"/>
      <w:numFmt w:val="bullet"/>
      <w:lvlText w:val="o"/>
      <w:lvlJc w:val="left"/>
      <w:pPr>
        <w:ind w:left="4668" w:hanging="360"/>
      </w:pPr>
      <w:rPr>
        <w:rFonts w:ascii="Courier New" w:hAnsi="Courier New" w:cs="Courier New" w:hint="default"/>
      </w:rPr>
    </w:lvl>
    <w:lvl w:ilvl="5" w:tplc="380A0005" w:tentative="1">
      <w:start w:val="1"/>
      <w:numFmt w:val="bullet"/>
      <w:lvlText w:val=""/>
      <w:lvlJc w:val="left"/>
      <w:pPr>
        <w:ind w:left="5388" w:hanging="360"/>
      </w:pPr>
      <w:rPr>
        <w:rFonts w:ascii="Wingdings" w:hAnsi="Wingdings" w:hint="default"/>
      </w:rPr>
    </w:lvl>
    <w:lvl w:ilvl="6" w:tplc="380A0001" w:tentative="1">
      <w:start w:val="1"/>
      <w:numFmt w:val="bullet"/>
      <w:lvlText w:val=""/>
      <w:lvlJc w:val="left"/>
      <w:pPr>
        <w:ind w:left="6108" w:hanging="360"/>
      </w:pPr>
      <w:rPr>
        <w:rFonts w:ascii="Symbol" w:hAnsi="Symbol" w:hint="default"/>
      </w:rPr>
    </w:lvl>
    <w:lvl w:ilvl="7" w:tplc="380A0003" w:tentative="1">
      <w:start w:val="1"/>
      <w:numFmt w:val="bullet"/>
      <w:lvlText w:val="o"/>
      <w:lvlJc w:val="left"/>
      <w:pPr>
        <w:ind w:left="6828" w:hanging="360"/>
      </w:pPr>
      <w:rPr>
        <w:rFonts w:ascii="Courier New" w:hAnsi="Courier New" w:cs="Courier New" w:hint="default"/>
      </w:rPr>
    </w:lvl>
    <w:lvl w:ilvl="8" w:tplc="380A0005" w:tentative="1">
      <w:start w:val="1"/>
      <w:numFmt w:val="bullet"/>
      <w:lvlText w:val=""/>
      <w:lvlJc w:val="left"/>
      <w:pPr>
        <w:ind w:left="7548" w:hanging="360"/>
      </w:pPr>
      <w:rPr>
        <w:rFonts w:ascii="Wingdings" w:hAnsi="Wingdings" w:hint="default"/>
      </w:rPr>
    </w:lvl>
  </w:abstractNum>
  <w:abstractNum w:abstractNumId="12">
    <w:nsid w:val="6A411B82"/>
    <w:multiLevelType w:val="hybridMultilevel"/>
    <w:tmpl w:val="23C0C2E4"/>
    <w:lvl w:ilvl="0" w:tplc="2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E0177FE"/>
    <w:multiLevelType w:val="hybridMultilevel"/>
    <w:tmpl w:val="1554B4E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nsid w:val="75C3134C"/>
    <w:multiLevelType w:val="hybridMultilevel"/>
    <w:tmpl w:val="F1A84FFE"/>
    <w:lvl w:ilvl="0" w:tplc="2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7C8C6A26"/>
    <w:multiLevelType w:val="hybridMultilevel"/>
    <w:tmpl w:val="7E563C8C"/>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6">
    <w:nsid w:val="7FBF0D1F"/>
    <w:multiLevelType w:val="hybridMultilevel"/>
    <w:tmpl w:val="4442EECE"/>
    <w:lvl w:ilvl="0" w:tplc="2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2"/>
  </w:num>
  <w:num w:numId="4">
    <w:abstractNumId w:val="3"/>
  </w:num>
  <w:num w:numId="5">
    <w:abstractNumId w:val="0"/>
  </w:num>
  <w:num w:numId="6">
    <w:abstractNumId w:val="13"/>
  </w:num>
  <w:num w:numId="7">
    <w:abstractNumId w:val="16"/>
  </w:num>
  <w:num w:numId="8">
    <w:abstractNumId w:val="5"/>
  </w:num>
  <w:num w:numId="9">
    <w:abstractNumId w:val="12"/>
  </w:num>
  <w:num w:numId="10">
    <w:abstractNumId w:val="7"/>
  </w:num>
  <w:num w:numId="11">
    <w:abstractNumId w:val="14"/>
  </w:num>
  <w:num w:numId="12">
    <w:abstractNumId w:val="6"/>
  </w:num>
  <w:num w:numId="13">
    <w:abstractNumId w:val="15"/>
  </w:num>
  <w:num w:numId="14">
    <w:abstractNumId w:val="1"/>
  </w:num>
  <w:num w:numId="15">
    <w:abstractNumId w:val="11"/>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080"/>
    <w:rsid w:val="00027020"/>
    <w:rsid w:val="00092F68"/>
    <w:rsid w:val="00181689"/>
    <w:rsid w:val="00194916"/>
    <w:rsid w:val="003D4B67"/>
    <w:rsid w:val="004F4080"/>
    <w:rsid w:val="00650080"/>
    <w:rsid w:val="006A312D"/>
    <w:rsid w:val="006C4A06"/>
    <w:rsid w:val="0072167F"/>
    <w:rsid w:val="00723C14"/>
    <w:rsid w:val="007619A4"/>
    <w:rsid w:val="007B7383"/>
    <w:rsid w:val="007C5E04"/>
    <w:rsid w:val="007E4A4D"/>
    <w:rsid w:val="00873166"/>
    <w:rsid w:val="008A074A"/>
    <w:rsid w:val="008A3762"/>
    <w:rsid w:val="0096396E"/>
    <w:rsid w:val="009A1F80"/>
    <w:rsid w:val="009A5EB6"/>
    <w:rsid w:val="00A26F23"/>
    <w:rsid w:val="00A96660"/>
    <w:rsid w:val="00AE0AFD"/>
    <w:rsid w:val="00AE762E"/>
    <w:rsid w:val="00B033F7"/>
    <w:rsid w:val="00B66815"/>
    <w:rsid w:val="00B96FA4"/>
    <w:rsid w:val="00BF300C"/>
    <w:rsid w:val="00C3018E"/>
    <w:rsid w:val="00C33C66"/>
    <w:rsid w:val="00C4056E"/>
    <w:rsid w:val="00D421A5"/>
    <w:rsid w:val="00D9072E"/>
    <w:rsid w:val="00D91818"/>
    <w:rsid w:val="00D93D49"/>
    <w:rsid w:val="00DB4DF6"/>
    <w:rsid w:val="00FA39E2"/>
    <w:rsid w:val="00FF05A4"/>
    <w:rsid w:val="00FF1F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080"/>
    <w:pPr>
      <w:suppressAutoHyphens/>
    </w:pPr>
    <w:rPr>
      <w:rFonts w:ascii="Calibri" w:eastAsia="Times New Roman" w:hAnsi="Calibri" w:cs="Times New Roman"/>
      <w:lang w:val="es-UY" w:eastAsia="zh-CN"/>
    </w:rPr>
  </w:style>
  <w:style w:type="paragraph" w:styleId="Ttulo1">
    <w:name w:val="heading 1"/>
    <w:basedOn w:val="Normal"/>
    <w:next w:val="Normal"/>
    <w:link w:val="Ttulo1Car"/>
    <w:qFormat/>
    <w:rsid w:val="00B033F7"/>
    <w:pPr>
      <w:keepNext/>
      <w:suppressAutoHyphens w:val="0"/>
      <w:spacing w:after="0" w:line="240" w:lineRule="auto"/>
      <w:outlineLvl w:val="0"/>
    </w:pPr>
    <w:rPr>
      <w:rFonts w:ascii="Bookman Old Style" w:hAnsi="Bookman Old Style"/>
      <w:b/>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E4A4D"/>
    <w:pPr>
      <w:ind w:left="720"/>
      <w:contextualSpacing/>
    </w:pPr>
  </w:style>
  <w:style w:type="character" w:customStyle="1" w:styleId="Ttulo1Car">
    <w:name w:val="Título 1 Car"/>
    <w:basedOn w:val="Fuentedeprrafopredeter"/>
    <w:link w:val="Ttulo1"/>
    <w:rsid w:val="00B033F7"/>
    <w:rPr>
      <w:rFonts w:ascii="Bookman Old Style" w:eastAsia="Times New Roman" w:hAnsi="Bookman Old Style" w:cs="Times New Roman"/>
      <w:b/>
      <w:sz w:val="24"/>
      <w:szCs w:val="20"/>
      <w:lang w:val="es-MX" w:eastAsia="es-ES"/>
    </w:rPr>
  </w:style>
  <w:style w:type="paragraph" w:styleId="Textoindependiente">
    <w:name w:val="Body Text"/>
    <w:basedOn w:val="Normal"/>
    <w:link w:val="TextoindependienteCar"/>
    <w:semiHidden/>
    <w:rsid w:val="00B033F7"/>
    <w:pPr>
      <w:suppressAutoHyphens w:val="0"/>
      <w:spacing w:after="0" w:line="360" w:lineRule="auto"/>
      <w:jc w:val="both"/>
    </w:pPr>
    <w:rPr>
      <w:rFonts w:ascii="Bookman Old Style" w:hAnsi="Bookman Old Style"/>
      <w:sz w:val="24"/>
      <w:szCs w:val="20"/>
      <w:lang w:val="es-MX" w:eastAsia="es-ES"/>
    </w:rPr>
  </w:style>
  <w:style w:type="character" w:customStyle="1" w:styleId="TextoindependienteCar">
    <w:name w:val="Texto independiente Car"/>
    <w:basedOn w:val="Fuentedeprrafopredeter"/>
    <w:link w:val="Textoindependiente"/>
    <w:semiHidden/>
    <w:rsid w:val="00B033F7"/>
    <w:rPr>
      <w:rFonts w:ascii="Bookman Old Style" w:eastAsia="Times New Roman" w:hAnsi="Bookman Old Style" w:cs="Times New Roman"/>
      <w:sz w:val="24"/>
      <w:szCs w:val="20"/>
      <w:lang w:val="es-MX" w:eastAsia="es-ES"/>
    </w:rPr>
  </w:style>
  <w:style w:type="paragraph" w:styleId="Piedepgina">
    <w:name w:val="footer"/>
    <w:basedOn w:val="Normal"/>
    <w:link w:val="PiedepginaCar"/>
    <w:semiHidden/>
    <w:rsid w:val="00B033F7"/>
    <w:pPr>
      <w:tabs>
        <w:tab w:val="center" w:pos="4252"/>
        <w:tab w:val="right" w:pos="8504"/>
      </w:tabs>
      <w:suppressAutoHyphens w:val="0"/>
      <w:spacing w:after="0" w:line="240" w:lineRule="auto"/>
    </w:pPr>
    <w:rPr>
      <w:rFonts w:ascii="Bookman Old Style" w:hAnsi="Bookman Old Style"/>
      <w:sz w:val="24"/>
      <w:szCs w:val="20"/>
      <w:lang w:val="es-ES" w:eastAsia="es-ES"/>
    </w:rPr>
  </w:style>
  <w:style w:type="character" w:customStyle="1" w:styleId="PiedepginaCar">
    <w:name w:val="Pie de página Car"/>
    <w:basedOn w:val="Fuentedeprrafopredeter"/>
    <w:link w:val="Piedepgina"/>
    <w:semiHidden/>
    <w:rsid w:val="00B033F7"/>
    <w:rPr>
      <w:rFonts w:ascii="Bookman Old Style" w:eastAsia="Times New Roman" w:hAnsi="Bookman Old Style" w:cs="Times New Roman"/>
      <w:sz w:val="24"/>
      <w:szCs w:val="20"/>
      <w:lang w:eastAsia="es-ES"/>
    </w:rPr>
  </w:style>
  <w:style w:type="paragraph" w:customStyle="1" w:styleId="xl24">
    <w:name w:val="xl24"/>
    <w:basedOn w:val="Normal"/>
    <w:rsid w:val="00B033F7"/>
    <w:pPr>
      <w:suppressAutoHyphens w:val="0"/>
      <w:spacing w:before="100" w:beforeAutospacing="1" w:after="100" w:afterAutospacing="1" w:line="240" w:lineRule="auto"/>
      <w:jc w:val="center"/>
    </w:pPr>
    <w:rPr>
      <w:rFonts w:ascii="Arial" w:eastAsia="Arial Unicode MS" w:hAnsi="Arial" w:cs="Arial"/>
      <w:b/>
      <w:bCs/>
      <w:sz w:val="24"/>
      <w:szCs w:val="24"/>
      <w:lang w:val="es-ES" w:eastAsia="es-ES"/>
    </w:rPr>
  </w:style>
  <w:style w:type="paragraph" w:customStyle="1" w:styleId="Acta">
    <w:name w:val="Acta"/>
    <w:basedOn w:val="Normal"/>
    <w:rsid w:val="00B033F7"/>
    <w:pPr>
      <w:widowControl w:val="0"/>
      <w:tabs>
        <w:tab w:val="center" w:leader="dot" w:pos="4536"/>
        <w:tab w:val="right" w:leader="dot" w:pos="9072"/>
      </w:tabs>
      <w:suppressAutoHyphens w:val="0"/>
      <w:spacing w:after="0" w:line="288" w:lineRule="auto"/>
      <w:jc w:val="both"/>
    </w:pPr>
    <w:rPr>
      <w:rFonts w:ascii="Courier New" w:hAnsi="Courier New"/>
      <w:snapToGrid w:val="0"/>
      <w:sz w:val="24"/>
      <w:szCs w:val="20"/>
      <w:lang w:val="es-MX" w:eastAsia="es-ES"/>
    </w:rPr>
  </w:style>
  <w:style w:type="character" w:customStyle="1" w:styleId="apple-converted-space">
    <w:name w:val="apple-converted-space"/>
    <w:rsid w:val="00B033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080"/>
    <w:pPr>
      <w:suppressAutoHyphens/>
    </w:pPr>
    <w:rPr>
      <w:rFonts w:ascii="Calibri" w:eastAsia="Times New Roman" w:hAnsi="Calibri" w:cs="Times New Roman"/>
      <w:lang w:val="es-UY" w:eastAsia="zh-CN"/>
    </w:rPr>
  </w:style>
  <w:style w:type="paragraph" w:styleId="Ttulo1">
    <w:name w:val="heading 1"/>
    <w:basedOn w:val="Normal"/>
    <w:next w:val="Normal"/>
    <w:link w:val="Ttulo1Car"/>
    <w:qFormat/>
    <w:rsid w:val="00B033F7"/>
    <w:pPr>
      <w:keepNext/>
      <w:suppressAutoHyphens w:val="0"/>
      <w:spacing w:after="0" w:line="240" w:lineRule="auto"/>
      <w:outlineLvl w:val="0"/>
    </w:pPr>
    <w:rPr>
      <w:rFonts w:ascii="Bookman Old Style" w:hAnsi="Bookman Old Style"/>
      <w:b/>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E4A4D"/>
    <w:pPr>
      <w:ind w:left="720"/>
      <w:contextualSpacing/>
    </w:pPr>
  </w:style>
  <w:style w:type="character" w:customStyle="1" w:styleId="Ttulo1Car">
    <w:name w:val="Título 1 Car"/>
    <w:basedOn w:val="Fuentedeprrafopredeter"/>
    <w:link w:val="Ttulo1"/>
    <w:rsid w:val="00B033F7"/>
    <w:rPr>
      <w:rFonts w:ascii="Bookman Old Style" w:eastAsia="Times New Roman" w:hAnsi="Bookman Old Style" w:cs="Times New Roman"/>
      <w:b/>
      <w:sz w:val="24"/>
      <w:szCs w:val="20"/>
      <w:lang w:val="es-MX" w:eastAsia="es-ES"/>
    </w:rPr>
  </w:style>
  <w:style w:type="paragraph" w:styleId="Textoindependiente">
    <w:name w:val="Body Text"/>
    <w:basedOn w:val="Normal"/>
    <w:link w:val="TextoindependienteCar"/>
    <w:semiHidden/>
    <w:rsid w:val="00B033F7"/>
    <w:pPr>
      <w:suppressAutoHyphens w:val="0"/>
      <w:spacing w:after="0" w:line="360" w:lineRule="auto"/>
      <w:jc w:val="both"/>
    </w:pPr>
    <w:rPr>
      <w:rFonts w:ascii="Bookman Old Style" w:hAnsi="Bookman Old Style"/>
      <w:sz w:val="24"/>
      <w:szCs w:val="20"/>
      <w:lang w:val="es-MX" w:eastAsia="es-ES"/>
    </w:rPr>
  </w:style>
  <w:style w:type="character" w:customStyle="1" w:styleId="TextoindependienteCar">
    <w:name w:val="Texto independiente Car"/>
    <w:basedOn w:val="Fuentedeprrafopredeter"/>
    <w:link w:val="Textoindependiente"/>
    <w:semiHidden/>
    <w:rsid w:val="00B033F7"/>
    <w:rPr>
      <w:rFonts w:ascii="Bookman Old Style" w:eastAsia="Times New Roman" w:hAnsi="Bookman Old Style" w:cs="Times New Roman"/>
      <w:sz w:val="24"/>
      <w:szCs w:val="20"/>
      <w:lang w:val="es-MX" w:eastAsia="es-ES"/>
    </w:rPr>
  </w:style>
  <w:style w:type="paragraph" w:styleId="Piedepgina">
    <w:name w:val="footer"/>
    <w:basedOn w:val="Normal"/>
    <w:link w:val="PiedepginaCar"/>
    <w:semiHidden/>
    <w:rsid w:val="00B033F7"/>
    <w:pPr>
      <w:tabs>
        <w:tab w:val="center" w:pos="4252"/>
        <w:tab w:val="right" w:pos="8504"/>
      </w:tabs>
      <w:suppressAutoHyphens w:val="0"/>
      <w:spacing w:after="0" w:line="240" w:lineRule="auto"/>
    </w:pPr>
    <w:rPr>
      <w:rFonts w:ascii="Bookman Old Style" w:hAnsi="Bookman Old Style"/>
      <w:sz w:val="24"/>
      <w:szCs w:val="20"/>
      <w:lang w:val="es-ES" w:eastAsia="es-ES"/>
    </w:rPr>
  </w:style>
  <w:style w:type="character" w:customStyle="1" w:styleId="PiedepginaCar">
    <w:name w:val="Pie de página Car"/>
    <w:basedOn w:val="Fuentedeprrafopredeter"/>
    <w:link w:val="Piedepgina"/>
    <w:semiHidden/>
    <w:rsid w:val="00B033F7"/>
    <w:rPr>
      <w:rFonts w:ascii="Bookman Old Style" w:eastAsia="Times New Roman" w:hAnsi="Bookman Old Style" w:cs="Times New Roman"/>
      <w:sz w:val="24"/>
      <w:szCs w:val="20"/>
      <w:lang w:eastAsia="es-ES"/>
    </w:rPr>
  </w:style>
  <w:style w:type="paragraph" w:customStyle="1" w:styleId="xl24">
    <w:name w:val="xl24"/>
    <w:basedOn w:val="Normal"/>
    <w:rsid w:val="00B033F7"/>
    <w:pPr>
      <w:suppressAutoHyphens w:val="0"/>
      <w:spacing w:before="100" w:beforeAutospacing="1" w:after="100" w:afterAutospacing="1" w:line="240" w:lineRule="auto"/>
      <w:jc w:val="center"/>
    </w:pPr>
    <w:rPr>
      <w:rFonts w:ascii="Arial" w:eastAsia="Arial Unicode MS" w:hAnsi="Arial" w:cs="Arial"/>
      <w:b/>
      <w:bCs/>
      <w:sz w:val="24"/>
      <w:szCs w:val="24"/>
      <w:lang w:val="es-ES" w:eastAsia="es-ES"/>
    </w:rPr>
  </w:style>
  <w:style w:type="paragraph" w:customStyle="1" w:styleId="Acta">
    <w:name w:val="Acta"/>
    <w:basedOn w:val="Normal"/>
    <w:rsid w:val="00B033F7"/>
    <w:pPr>
      <w:widowControl w:val="0"/>
      <w:tabs>
        <w:tab w:val="center" w:leader="dot" w:pos="4536"/>
        <w:tab w:val="right" w:leader="dot" w:pos="9072"/>
      </w:tabs>
      <w:suppressAutoHyphens w:val="0"/>
      <w:spacing w:after="0" w:line="288" w:lineRule="auto"/>
      <w:jc w:val="both"/>
    </w:pPr>
    <w:rPr>
      <w:rFonts w:ascii="Courier New" w:hAnsi="Courier New"/>
      <w:snapToGrid w:val="0"/>
      <w:sz w:val="24"/>
      <w:szCs w:val="20"/>
      <w:lang w:val="es-MX" w:eastAsia="es-ES"/>
    </w:rPr>
  </w:style>
  <w:style w:type="character" w:customStyle="1" w:styleId="apple-converted-space">
    <w:name w:val="apple-converted-space"/>
    <w:rsid w:val="00B03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F4BFC-3BE1-4185-B615-3A1916925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13</Pages>
  <Words>3126</Words>
  <Characters>17194</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7</cp:revision>
  <cp:lastPrinted>2018-08-15T17:50:00Z</cp:lastPrinted>
  <dcterms:created xsi:type="dcterms:W3CDTF">2018-08-15T17:42:00Z</dcterms:created>
  <dcterms:modified xsi:type="dcterms:W3CDTF">2018-10-02T16:17:00Z</dcterms:modified>
</cp:coreProperties>
</file>