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EAD" w:rsidRDefault="00EB7EAD" w:rsidP="00E8683E">
      <w:pPr>
        <w:keepNext/>
        <w:widowControl w:val="0"/>
        <w:tabs>
          <w:tab w:val="center" w:pos="4253"/>
        </w:tab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2591/18</w:t>
      </w:r>
    </w:p>
    <w:p w:rsidR="00EB7EAD" w:rsidRPr="00786EEB" w:rsidRDefault="00EB7EAD" w:rsidP="00CA602B">
      <w:pPr>
        <w:keepNext/>
        <w:widowControl w:val="0"/>
        <w:tabs>
          <w:tab w:val="center" w:pos="4253"/>
        </w:tabs>
        <w:spacing w:line="480" w:lineRule="auto"/>
        <w:jc w:val="right"/>
        <w:rPr>
          <w:rFonts w:ascii="Arial" w:hAnsi="Arial" w:cs="Arial"/>
          <w:b/>
          <w:sz w:val="28"/>
          <w:szCs w:val="28"/>
          <w:lang w:val="es-ES_tradnl"/>
        </w:rPr>
      </w:pPr>
    </w:p>
    <w:p w:rsidR="00EB7EAD" w:rsidRPr="00A6313E" w:rsidRDefault="00EB7EAD" w:rsidP="00CA602B">
      <w:pPr>
        <w:keepNext/>
        <w:widowControl w:val="0"/>
        <w:tabs>
          <w:tab w:val="center" w:pos="4253"/>
        </w:tabs>
        <w:spacing w:line="480" w:lineRule="auto"/>
        <w:jc w:val="center"/>
        <w:rPr>
          <w:rFonts w:ascii="Arial" w:hAnsi="Arial" w:cs="Arial"/>
          <w:b/>
          <w:sz w:val="24"/>
          <w:szCs w:val="24"/>
          <w:lang w:val="es-ES_tradnl"/>
        </w:rPr>
      </w:pPr>
      <w:r w:rsidRPr="00A6313E">
        <w:rPr>
          <w:rFonts w:ascii="Arial" w:hAnsi="Arial" w:cs="Arial"/>
          <w:b/>
          <w:sz w:val="24"/>
          <w:szCs w:val="24"/>
          <w:lang w:val="es-ES_tradnl"/>
        </w:rPr>
        <w:t>RESOLUCION ADOPTADA POR EL</w:t>
      </w:r>
    </w:p>
    <w:p w:rsidR="00EB7EAD" w:rsidRPr="00A6313E" w:rsidRDefault="00EB7EAD" w:rsidP="00CA602B">
      <w:pPr>
        <w:keepNext/>
        <w:widowControl w:val="0"/>
        <w:tabs>
          <w:tab w:val="center" w:pos="4253"/>
        </w:tabs>
        <w:spacing w:line="480" w:lineRule="auto"/>
        <w:jc w:val="center"/>
        <w:rPr>
          <w:rFonts w:ascii="Arial" w:hAnsi="Arial" w:cs="Arial"/>
          <w:b/>
          <w:sz w:val="24"/>
          <w:szCs w:val="24"/>
          <w:lang w:val="es-ES_tradnl"/>
        </w:rPr>
      </w:pPr>
      <w:r w:rsidRPr="00A6313E">
        <w:rPr>
          <w:rFonts w:ascii="Arial" w:hAnsi="Arial" w:cs="Arial"/>
          <w:b/>
          <w:sz w:val="24"/>
          <w:szCs w:val="24"/>
          <w:lang w:val="es-ES_tradnl"/>
        </w:rPr>
        <w:t>TRIBUNAL DE CUENTAS</w:t>
      </w:r>
    </w:p>
    <w:p w:rsidR="00EB7EAD" w:rsidRPr="00A6313E" w:rsidRDefault="00EB7EAD" w:rsidP="00CA602B">
      <w:pPr>
        <w:keepNext/>
        <w:widowControl w:val="0"/>
        <w:tabs>
          <w:tab w:val="center" w:pos="4253"/>
        </w:tabs>
        <w:spacing w:line="480" w:lineRule="auto"/>
        <w:jc w:val="center"/>
        <w:rPr>
          <w:rFonts w:ascii="Arial" w:hAnsi="Arial" w:cs="Arial"/>
          <w:b/>
          <w:sz w:val="24"/>
          <w:szCs w:val="24"/>
          <w:lang w:val="es-ES_tradnl"/>
        </w:rPr>
      </w:pPr>
      <w:r w:rsidRPr="00A6313E">
        <w:rPr>
          <w:rFonts w:ascii="Arial" w:hAnsi="Arial" w:cs="Arial"/>
          <w:b/>
          <w:sz w:val="24"/>
          <w:szCs w:val="24"/>
          <w:lang w:val="es-ES_tradnl"/>
        </w:rPr>
        <w:t xml:space="preserve">EN SESION DE FECHA 15 DE AGOSTO </w:t>
      </w:r>
      <w:r w:rsidRPr="00A6313E">
        <w:rPr>
          <w:rFonts w:ascii="Helvetica" w:hAnsi="Helvetica"/>
          <w:b/>
          <w:sz w:val="24"/>
          <w:szCs w:val="24"/>
          <w:lang w:val="es-ES_tradnl"/>
        </w:rPr>
        <w:t>DE 2018</w:t>
      </w:r>
    </w:p>
    <w:p w:rsidR="00EB7EAD" w:rsidRDefault="00EB7EAD" w:rsidP="00CA602B">
      <w:pPr>
        <w:keepNext/>
        <w:widowControl w:val="0"/>
        <w:tabs>
          <w:tab w:val="center" w:pos="4253"/>
        </w:tabs>
        <w:spacing w:line="480" w:lineRule="auto"/>
        <w:jc w:val="center"/>
        <w:rPr>
          <w:rFonts w:ascii="Arial" w:hAnsi="Arial" w:cs="Arial"/>
          <w:b/>
          <w:sz w:val="24"/>
          <w:szCs w:val="24"/>
          <w:lang w:val="es-UY"/>
        </w:rPr>
      </w:pPr>
      <w:r w:rsidRPr="00E8683E">
        <w:rPr>
          <w:rFonts w:ascii="Arial" w:hAnsi="Arial" w:cs="Arial"/>
          <w:b/>
          <w:sz w:val="24"/>
          <w:szCs w:val="24"/>
          <w:lang w:val="es-UY"/>
        </w:rPr>
        <w:t>(E. E. Nº</w:t>
      </w:r>
      <w:r>
        <w:rPr>
          <w:rFonts w:ascii="Arial" w:hAnsi="Arial" w:cs="Arial"/>
          <w:b/>
          <w:sz w:val="24"/>
          <w:szCs w:val="24"/>
          <w:lang w:val="es-UY"/>
        </w:rPr>
        <w:t xml:space="preserve"> </w:t>
      </w:r>
      <w:r w:rsidRPr="00A6313E">
        <w:rPr>
          <w:rFonts w:ascii="Arial" w:hAnsi="Arial" w:cs="Arial"/>
          <w:b/>
          <w:sz w:val="24"/>
          <w:szCs w:val="24"/>
        </w:rPr>
        <w:t>2018-17-1-0004666</w:t>
      </w:r>
      <w:r w:rsidRPr="00E8683E">
        <w:rPr>
          <w:rFonts w:ascii="Arial" w:hAnsi="Arial" w:cs="Arial"/>
          <w:b/>
          <w:sz w:val="24"/>
          <w:szCs w:val="24"/>
          <w:lang w:val="es-UY"/>
        </w:rPr>
        <w:t xml:space="preserve">, </w:t>
      </w:r>
      <w:proofErr w:type="spellStart"/>
      <w:r w:rsidRPr="00E8683E">
        <w:rPr>
          <w:rFonts w:ascii="Arial" w:hAnsi="Arial" w:cs="Arial"/>
          <w:b/>
          <w:sz w:val="24"/>
          <w:szCs w:val="24"/>
          <w:lang w:val="es-UY"/>
        </w:rPr>
        <w:t>Ent</w:t>
      </w:r>
      <w:proofErr w:type="spellEnd"/>
      <w:r w:rsidRPr="00E8683E">
        <w:rPr>
          <w:rFonts w:ascii="Arial" w:hAnsi="Arial" w:cs="Arial"/>
          <w:b/>
          <w:sz w:val="24"/>
          <w:szCs w:val="24"/>
          <w:lang w:val="es-UY"/>
        </w:rPr>
        <w:t>. N°</w:t>
      </w:r>
      <w:r>
        <w:rPr>
          <w:rFonts w:ascii="Arial" w:hAnsi="Arial" w:cs="Arial"/>
          <w:b/>
          <w:sz w:val="24"/>
          <w:szCs w:val="24"/>
          <w:lang w:val="es-UY"/>
        </w:rPr>
        <w:t xml:space="preserve"> </w:t>
      </w:r>
      <w:r w:rsidRPr="00A6313E">
        <w:rPr>
          <w:rFonts w:ascii="Arial" w:hAnsi="Arial" w:cs="Arial"/>
          <w:b/>
          <w:sz w:val="24"/>
          <w:szCs w:val="24"/>
        </w:rPr>
        <w:t>3614/18</w:t>
      </w:r>
      <w:r w:rsidRPr="00E8683E">
        <w:rPr>
          <w:rFonts w:ascii="Arial" w:hAnsi="Arial" w:cs="Arial"/>
          <w:b/>
          <w:sz w:val="24"/>
          <w:szCs w:val="24"/>
          <w:lang w:val="es-UY"/>
        </w:rPr>
        <w:t>)</w:t>
      </w:r>
    </w:p>
    <w:p w:rsidR="00EB7EAD" w:rsidRPr="00E8683E" w:rsidRDefault="00EB7EAD" w:rsidP="00E8683E">
      <w:pPr>
        <w:keepNext/>
        <w:widowControl w:val="0"/>
        <w:tabs>
          <w:tab w:val="center" w:pos="4253"/>
        </w:tabs>
        <w:jc w:val="center"/>
        <w:rPr>
          <w:rFonts w:ascii="Arial" w:hAnsi="Arial" w:cs="Arial"/>
          <w:b/>
          <w:sz w:val="24"/>
          <w:szCs w:val="24"/>
          <w:lang w:val="es-UY"/>
        </w:rPr>
      </w:pPr>
    </w:p>
    <w:p w:rsidR="00EB7EAD" w:rsidRPr="00E547FE" w:rsidRDefault="00EB7EAD" w:rsidP="00E8683E">
      <w:pPr>
        <w:keepNext/>
        <w:widowControl w:val="0"/>
        <w:spacing w:line="360" w:lineRule="auto"/>
        <w:ind w:firstLine="851"/>
        <w:jc w:val="both"/>
        <w:rPr>
          <w:rFonts w:ascii="Arial" w:hAnsi="Arial" w:cs="Arial"/>
          <w:sz w:val="24"/>
          <w:szCs w:val="24"/>
          <w:lang w:val="es-ES_tradnl"/>
        </w:rPr>
      </w:pPr>
      <w:r w:rsidRPr="00E547FE">
        <w:rPr>
          <w:rFonts w:ascii="Arial" w:hAnsi="Arial" w:cs="Arial"/>
          <w:b/>
          <w:sz w:val="24"/>
          <w:szCs w:val="24"/>
          <w:lang w:val="es-ES_tradnl"/>
        </w:rPr>
        <w:t>VISTO</w:t>
      </w:r>
      <w:r w:rsidRPr="00E547FE">
        <w:rPr>
          <w:rFonts w:ascii="Arial" w:hAnsi="Arial" w:cs="Arial"/>
          <w:b/>
          <w:bCs/>
          <w:sz w:val="24"/>
          <w:szCs w:val="24"/>
          <w:lang w:val="es-ES_tradnl"/>
        </w:rPr>
        <w:t>:</w:t>
      </w:r>
      <w:r w:rsidRPr="00E547FE">
        <w:rPr>
          <w:rFonts w:ascii="Arial" w:hAnsi="Arial" w:cs="Arial"/>
          <w:sz w:val="24"/>
          <w:szCs w:val="24"/>
          <w:lang w:val="es-ES_tradnl"/>
        </w:rPr>
        <w:t xml:space="preserve"> que este Tribunal ha examinado el Proyecto de Presupuesto de la Administración Nacional de Combustibles, Alcohol y Portland (ANCAP) para el Ejercicio 2019, remitido por</w:t>
      </w:r>
      <w:r w:rsidRPr="00E547FE">
        <w:rPr>
          <w:rFonts w:ascii="Arial" w:hAnsi="Arial" w:cs="Arial"/>
          <w:spacing w:val="-3"/>
          <w:sz w:val="24"/>
          <w:szCs w:val="24"/>
          <w:lang w:val="es-ES_tradnl"/>
        </w:rPr>
        <w:t xml:space="preserve"> el Organismo</w:t>
      </w:r>
      <w:r w:rsidRPr="00E547FE">
        <w:rPr>
          <w:rFonts w:ascii="Arial" w:hAnsi="Arial" w:cs="Arial"/>
          <w:sz w:val="24"/>
          <w:szCs w:val="24"/>
          <w:lang w:val="es-ES_tradnl"/>
        </w:rPr>
        <w:t>;</w:t>
      </w:r>
    </w:p>
    <w:p w:rsidR="00EB7EAD" w:rsidRPr="00E547FE" w:rsidRDefault="00EB7EAD" w:rsidP="00E8683E">
      <w:pPr>
        <w:keepNext/>
        <w:widowControl w:val="0"/>
        <w:spacing w:line="360" w:lineRule="auto"/>
        <w:ind w:firstLine="851"/>
        <w:jc w:val="both"/>
        <w:rPr>
          <w:rFonts w:ascii="Arial" w:hAnsi="Arial" w:cs="Arial"/>
          <w:sz w:val="24"/>
          <w:szCs w:val="24"/>
          <w:lang w:val="es-ES_tradnl"/>
        </w:rPr>
      </w:pPr>
      <w:r w:rsidRPr="00E547FE">
        <w:rPr>
          <w:rFonts w:ascii="Arial" w:hAnsi="Arial" w:cs="Arial"/>
          <w:b/>
          <w:sz w:val="24"/>
          <w:szCs w:val="24"/>
          <w:lang w:val="es-ES_tradnl"/>
        </w:rPr>
        <w:t>CONSIDERANDO</w:t>
      </w:r>
      <w:r w:rsidRPr="00E547FE">
        <w:rPr>
          <w:rFonts w:ascii="Arial" w:hAnsi="Arial" w:cs="Arial"/>
          <w:b/>
          <w:bCs/>
          <w:sz w:val="24"/>
          <w:szCs w:val="24"/>
          <w:lang w:val="es-ES_tradnl"/>
        </w:rPr>
        <w:t>:</w:t>
      </w:r>
      <w:r w:rsidRPr="00E547FE">
        <w:rPr>
          <w:rFonts w:ascii="Arial" w:hAnsi="Arial" w:cs="Arial"/>
          <w:sz w:val="24"/>
          <w:szCs w:val="24"/>
          <w:lang w:val="es-ES_tradnl"/>
        </w:rPr>
        <w:t xml:space="preserve"> que las conclusiones obtenidas son las que se expresan en el Dictamen que se adjunta;</w:t>
      </w:r>
    </w:p>
    <w:p w:rsidR="00EB7EAD" w:rsidRPr="00E547FE" w:rsidRDefault="00EB7EAD" w:rsidP="00E8683E">
      <w:pPr>
        <w:keepNext/>
        <w:widowControl w:val="0"/>
        <w:spacing w:line="360" w:lineRule="auto"/>
        <w:ind w:firstLine="851"/>
        <w:jc w:val="both"/>
        <w:rPr>
          <w:rFonts w:ascii="Arial" w:hAnsi="Arial" w:cs="Arial"/>
          <w:sz w:val="24"/>
          <w:szCs w:val="24"/>
          <w:lang w:val="es-ES_tradnl"/>
        </w:rPr>
      </w:pPr>
      <w:r w:rsidRPr="00E547FE">
        <w:rPr>
          <w:rFonts w:ascii="Arial" w:hAnsi="Arial" w:cs="Arial"/>
          <w:b/>
          <w:sz w:val="24"/>
          <w:szCs w:val="24"/>
          <w:lang w:val="es-ES_tradnl"/>
        </w:rPr>
        <w:t>ATENTO</w:t>
      </w:r>
      <w:r w:rsidRPr="00E547FE">
        <w:rPr>
          <w:rFonts w:ascii="Arial" w:hAnsi="Arial" w:cs="Arial"/>
          <w:b/>
          <w:bCs/>
          <w:sz w:val="24"/>
          <w:szCs w:val="24"/>
          <w:lang w:val="es-ES_tradnl"/>
        </w:rPr>
        <w:t>:</w:t>
      </w:r>
      <w:r w:rsidRPr="00E547FE">
        <w:rPr>
          <w:rFonts w:ascii="Arial" w:hAnsi="Arial" w:cs="Arial"/>
          <w:sz w:val="24"/>
          <w:szCs w:val="24"/>
          <w:lang w:val="es-ES_tradnl"/>
        </w:rPr>
        <w:t xml:space="preserve"> a lo dispuesto por los Artículos 211 Literal A) y 221 de la Constitución de la República;</w:t>
      </w:r>
    </w:p>
    <w:p w:rsidR="00EB7EAD" w:rsidRPr="00E547FE" w:rsidRDefault="00EB7EAD" w:rsidP="00E8683E">
      <w:pPr>
        <w:pStyle w:val="Ttulo1"/>
        <w:widowControl w:val="0"/>
        <w:suppressAutoHyphens w:val="0"/>
        <w:spacing w:line="360" w:lineRule="auto"/>
        <w:jc w:val="center"/>
        <w:rPr>
          <w:rFonts w:ascii="Arial" w:hAnsi="Arial" w:cs="Arial"/>
          <w:spacing w:val="0"/>
          <w:szCs w:val="24"/>
          <w:lang w:val="es-UY"/>
        </w:rPr>
      </w:pPr>
      <w:r w:rsidRPr="00E547FE">
        <w:rPr>
          <w:rFonts w:ascii="Arial" w:hAnsi="Arial" w:cs="Arial"/>
          <w:spacing w:val="0"/>
          <w:szCs w:val="24"/>
          <w:lang w:val="es-UY"/>
        </w:rPr>
        <w:t>EL TRIBUNAL ACUERDA</w:t>
      </w:r>
    </w:p>
    <w:p w:rsidR="00EB7EAD" w:rsidRDefault="00EB7EAD" w:rsidP="00EB7EAD">
      <w:pPr>
        <w:pStyle w:val="Prrafodelista"/>
        <w:keepNext/>
        <w:widowControl w:val="0"/>
        <w:numPr>
          <w:ilvl w:val="0"/>
          <w:numId w:val="2"/>
        </w:numPr>
        <w:spacing w:line="360" w:lineRule="auto"/>
        <w:ind w:left="284" w:hanging="284"/>
        <w:jc w:val="both"/>
        <w:rPr>
          <w:rFonts w:ascii="Arial" w:hAnsi="Arial" w:cs="Arial"/>
          <w:sz w:val="24"/>
          <w:szCs w:val="24"/>
          <w:lang w:val="es-ES_tradnl"/>
        </w:rPr>
      </w:pPr>
      <w:r w:rsidRPr="00476908">
        <w:rPr>
          <w:rFonts w:ascii="Arial" w:hAnsi="Arial" w:cs="Arial"/>
          <w:sz w:val="24"/>
          <w:szCs w:val="24"/>
          <w:lang w:val="es-ES_tradnl"/>
        </w:rPr>
        <w:t xml:space="preserve">Emitir su pronunciamiento respecto al Proyecto de </w:t>
      </w:r>
      <w:r w:rsidRPr="00476908">
        <w:rPr>
          <w:rFonts w:ascii="Arial" w:hAnsi="Arial" w:cs="Arial"/>
          <w:spacing w:val="-3"/>
          <w:sz w:val="24"/>
          <w:szCs w:val="24"/>
          <w:lang w:val="es-ES_tradnl"/>
        </w:rPr>
        <w:t xml:space="preserve">Presupuesto </w:t>
      </w:r>
      <w:r w:rsidRPr="00476908">
        <w:rPr>
          <w:rFonts w:ascii="Arial" w:hAnsi="Arial" w:cs="Arial"/>
          <w:sz w:val="24"/>
          <w:szCs w:val="24"/>
          <w:lang w:val="es-ES_tradnl"/>
        </w:rPr>
        <w:t xml:space="preserve">de la </w:t>
      </w:r>
      <w:r w:rsidRPr="00476908">
        <w:rPr>
          <w:rFonts w:ascii="Arial" w:hAnsi="Arial" w:cs="Arial"/>
          <w:spacing w:val="-8"/>
          <w:sz w:val="24"/>
          <w:szCs w:val="24"/>
          <w:lang w:val="es-ES_tradnl"/>
        </w:rPr>
        <w:t>Administración Nacional de Combustibles, Alcohol y Portland</w:t>
      </w:r>
      <w:r w:rsidRPr="00476908">
        <w:rPr>
          <w:rFonts w:ascii="Arial" w:hAnsi="Arial" w:cs="Arial"/>
          <w:sz w:val="24"/>
          <w:szCs w:val="24"/>
          <w:lang w:val="es-ES_tradnl"/>
        </w:rPr>
        <w:t xml:space="preserve"> correspondiente al Ejercicio 2019, en los términos del Dictamen que se adjunta;</w:t>
      </w:r>
      <w:bookmarkStart w:id="1" w:name="OLE_LINK1"/>
    </w:p>
    <w:bookmarkEnd w:id="1"/>
    <w:p w:rsidR="00EB7EAD" w:rsidRPr="00033BF9" w:rsidRDefault="00EB7EAD" w:rsidP="00EB7EAD">
      <w:pPr>
        <w:pStyle w:val="Prrafodelista"/>
        <w:keepNext/>
        <w:widowControl w:val="0"/>
        <w:numPr>
          <w:ilvl w:val="0"/>
          <w:numId w:val="2"/>
        </w:numPr>
        <w:tabs>
          <w:tab w:val="left" w:pos="284"/>
        </w:tabs>
        <w:spacing w:line="360" w:lineRule="auto"/>
        <w:ind w:left="0" w:firstLine="0"/>
        <w:jc w:val="both"/>
        <w:rPr>
          <w:rFonts w:ascii="Arial" w:hAnsi="Arial" w:cs="Arial"/>
          <w:sz w:val="24"/>
          <w:szCs w:val="24"/>
          <w:lang w:val="es-ES_tradnl"/>
        </w:rPr>
      </w:pPr>
      <w:r w:rsidRPr="00033BF9">
        <w:rPr>
          <w:rFonts w:ascii="Arial" w:hAnsi="Arial" w:cs="Arial"/>
          <w:sz w:val="24"/>
          <w:szCs w:val="24"/>
          <w:lang w:val="es-ES_tradnl"/>
        </w:rPr>
        <w:t>Téngase presente lo establecido en los párrafos</w:t>
      </w:r>
      <w:r>
        <w:rPr>
          <w:rFonts w:ascii="Arial" w:hAnsi="Arial" w:cs="Arial"/>
          <w:sz w:val="24"/>
          <w:szCs w:val="24"/>
          <w:lang w:val="es-ES_tradnl"/>
        </w:rPr>
        <w:t xml:space="preserve"> 1.3), 1.4 y 2.5) a 2.14)</w:t>
      </w:r>
      <w:r w:rsidRPr="00033BF9">
        <w:rPr>
          <w:rFonts w:ascii="Arial" w:hAnsi="Arial" w:cs="Arial"/>
          <w:sz w:val="24"/>
          <w:szCs w:val="24"/>
          <w:lang w:val="es-ES_tradnl"/>
        </w:rPr>
        <w:t>;</w:t>
      </w:r>
    </w:p>
    <w:p w:rsidR="00EB7EAD" w:rsidRPr="00476908" w:rsidRDefault="00EB7EAD" w:rsidP="00EB7EAD">
      <w:pPr>
        <w:pStyle w:val="Prrafodelista"/>
        <w:keepNext/>
        <w:widowControl w:val="0"/>
        <w:numPr>
          <w:ilvl w:val="0"/>
          <w:numId w:val="2"/>
        </w:numPr>
        <w:tabs>
          <w:tab w:val="left" w:pos="284"/>
        </w:tabs>
        <w:spacing w:line="360" w:lineRule="auto"/>
        <w:ind w:left="0" w:firstLine="0"/>
        <w:jc w:val="both"/>
        <w:rPr>
          <w:rFonts w:ascii="Arial" w:hAnsi="Arial" w:cs="Arial"/>
          <w:sz w:val="24"/>
          <w:szCs w:val="24"/>
        </w:rPr>
      </w:pPr>
      <w:r w:rsidRPr="00476908">
        <w:rPr>
          <w:rFonts w:ascii="Arial" w:hAnsi="Arial" w:cs="Arial"/>
          <w:sz w:val="24"/>
          <w:szCs w:val="24"/>
        </w:rPr>
        <w:t>Comunicar al Poder Ejecutivo, al Organismo y a la Oficina de Planeamiento y Presupuesto.</w:t>
      </w:r>
    </w:p>
    <w:p w:rsidR="00EB7EAD" w:rsidRDefault="00EB7EAD" w:rsidP="00E8683E">
      <w:pPr>
        <w:keepNext/>
        <w:widowControl w:val="0"/>
        <w:spacing w:line="360" w:lineRule="auto"/>
        <w:ind w:hanging="284"/>
        <w:rPr>
          <w:rFonts w:ascii="Arial" w:hAnsi="Arial" w:cs="Arial"/>
          <w:lang w:val="es-ES_tradnl"/>
        </w:rPr>
      </w:pPr>
      <w:r w:rsidRPr="00A6313E">
        <w:rPr>
          <w:rFonts w:ascii="Arial" w:hAnsi="Arial" w:cs="Arial"/>
          <w:lang w:val="es-ES_tradnl"/>
        </w:rPr>
        <w:t>CLC</w:t>
      </w:r>
    </w:p>
    <w:p w:rsidR="00EB7EAD" w:rsidRDefault="00EB7EAD" w:rsidP="00E8683E">
      <w:pPr>
        <w:keepNext/>
        <w:widowControl w:val="0"/>
        <w:spacing w:line="360" w:lineRule="auto"/>
        <w:ind w:hanging="284"/>
        <w:rPr>
          <w:rFonts w:ascii="Arial" w:hAnsi="Arial" w:cs="Arial"/>
          <w:lang w:val="es-ES_tradnl"/>
        </w:rPr>
      </w:pPr>
    </w:p>
    <w:p w:rsidR="00EB7EAD" w:rsidRDefault="00EB7EAD" w:rsidP="00E8683E">
      <w:pPr>
        <w:keepNext/>
        <w:widowControl w:val="0"/>
        <w:spacing w:line="360" w:lineRule="auto"/>
        <w:ind w:hanging="284"/>
        <w:rPr>
          <w:rFonts w:ascii="Arial" w:hAnsi="Arial" w:cs="Arial"/>
          <w:lang w:val="es-ES_tradnl"/>
        </w:rPr>
      </w:pPr>
    </w:p>
    <w:p w:rsidR="00EB7EAD" w:rsidRDefault="00EB7EAD" w:rsidP="00E8683E">
      <w:pPr>
        <w:keepNext/>
        <w:widowControl w:val="0"/>
        <w:spacing w:line="360" w:lineRule="auto"/>
        <w:ind w:hanging="284"/>
        <w:rPr>
          <w:rFonts w:ascii="Arial" w:hAnsi="Arial" w:cs="Arial"/>
          <w:lang w:val="es-ES_tradnl"/>
        </w:rPr>
      </w:pPr>
    </w:p>
    <w:p w:rsidR="00EB7EAD" w:rsidRDefault="00EB7EAD" w:rsidP="00E8683E">
      <w:pPr>
        <w:keepNext/>
        <w:widowControl w:val="0"/>
        <w:spacing w:line="360" w:lineRule="auto"/>
        <w:ind w:hanging="284"/>
        <w:rPr>
          <w:rFonts w:ascii="Arial" w:hAnsi="Arial" w:cs="Arial"/>
          <w:lang w:val="es-ES_tradnl"/>
        </w:rPr>
      </w:pPr>
    </w:p>
    <w:p w:rsidR="00DA394B" w:rsidRDefault="00DA394B" w:rsidP="00E8683E">
      <w:pPr>
        <w:keepNext/>
        <w:widowControl w:val="0"/>
        <w:spacing w:line="360" w:lineRule="auto"/>
        <w:ind w:hanging="284"/>
        <w:rPr>
          <w:rFonts w:ascii="Arial" w:hAnsi="Arial" w:cs="Arial"/>
          <w:lang w:val="es-ES_tradnl"/>
        </w:rPr>
      </w:pPr>
    </w:p>
    <w:p w:rsidR="00EB7EAD" w:rsidRDefault="00EB7EAD" w:rsidP="00E8683E">
      <w:pPr>
        <w:keepNext/>
        <w:widowControl w:val="0"/>
        <w:spacing w:line="360" w:lineRule="auto"/>
        <w:ind w:hanging="284"/>
        <w:rPr>
          <w:rFonts w:ascii="Arial" w:hAnsi="Arial" w:cs="Arial"/>
          <w:lang w:val="es-ES_tradnl"/>
        </w:rPr>
      </w:pPr>
    </w:p>
    <w:p w:rsidR="00EB7EAD" w:rsidRPr="000C2254" w:rsidRDefault="00EB7EAD" w:rsidP="00E8683E">
      <w:pPr>
        <w:pStyle w:val="Ttulo"/>
        <w:keepNext/>
        <w:widowControl w:val="0"/>
        <w:spacing w:line="360" w:lineRule="auto"/>
        <w:jc w:val="center"/>
        <w:rPr>
          <w:rFonts w:ascii="Arial" w:hAnsi="Arial" w:cs="Arial"/>
          <w:b/>
          <w:szCs w:val="24"/>
        </w:rPr>
      </w:pPr>
      <w:r w:rsidRPr="000C2254">
        <w:rPr>
          <w:rFonts w:ascii="Arial" w:hAnsi="Arial" w:cs="Arial"/>
          <w:b/>
          <w:szCs w:val="24"/>
        </w:rPr>
        <w:lastRenderedPageBreak/>
        <w:t>DICTAMEN</w:t>
      </w:r>
    </w:p>
    <w:p w:rsidR="00EB7EAD" w:rsidRDefault="00EB7EAD" w:rsidP="00E8683E">
      <w:pPr>
        <w:pStyle w:val="Ttulo"/>
        <w:keepNext/>
        <w:widowControl w:val="0"/>
        <w:spacing w:line="360" w:lineRule="auto"/>
        <w:jc w:val="both"/>
        <w:rPr>
          <w:rFonts w:ascii="Arial" w:hAnsi="Arial" w:cs="Arial"/>
          <w:spacing w:val="-3"/>
          <w:szCs w:val="24"/>
          <w:lang w:val="es-ES_tradnl"/>
        </w:rPr>
      </w:pPr>
      <w:r w:rsidRPr="00E547FE">
        <w:rPr>
          <w:rFonts w:ascii="Arial" w:hAnsi="Arial" w:cs="Arial"/>
          <w:spacing w:val="-3"/>
          <w:szCs w:val="24"/>
          <w:lang w:val="es-ES_tradnl"/>
        </w:rPr>
        <w:t>El Tribunal de Cuentas ha examinado el Proyecto de Presupuesto para el Ejercicio 2019 de la Administración Nacional de Combustibles, Alcohol y Portland. Toda la información incluida en el referido Proyecto y los supuestos sobre los que se basa son responsabilidad del Directorio del Ente. La responsabilidad del Tribunal de Cuentas es expresar una opinión sobre dicho Proyecto de Presupuesto de acuerdo con lo dispuesto por los Ar</w:t>
      </w:r>
      <w:r w:rsidRPr="00E547FE">
        <w:rPr>
          <w:rFonts w:ascii="Arial" w:hAnsi="Arial" w:cs="Arial"/>
          <w:spacing w:val="-3"/>
          <w:szCs w:val="24"/>
          <w:lang w:val="es-ES_tradnl"/>
        </w:rPr>
        <w:softHyphen/>
        <w:t xml:space="preserve">tículos 211 Literal A) y 221 de la Constitución de la República y establecer, en caso que corresponda, los hallazgos realizados con relación al cumplimiento de las </w:t>
      </w:r>
      <w:r w:rsidRPr="00E547FE">
        <w:rPr>
          <w:rFonts w:ascii="Arial" w:hAnsi="Arial" w:cs="Arial"/>
          <w:bCs/>
          <w:spacing w:val="-3"/>
          <w:szCs w:val="24"/>
          <w:lang w:val="es-ES_tradnl"/>
        </w:rPr>
        <w:t>normas constitucionales,</w:t>
      </w:r>
      <w:r w:rsidRPr="00E547FE">
        <w:rPr>
          <w:rFonts w:ascii="Arial" w:hAnsi="Arial" w:cs="Arial"/>
          <w:spacing w:val="-3"/>
          <w:szCs w:val="24"/>
          <w:lang w:val="es-ES_tradnl"/>
        </w:rPr>
        <w:t xml:space="preserve"> le</w:t>
      </w:r>
      <w:r w:rsidRPr="00E547FE">
        <w:rPr>
          <w:rFonts w:ascii="Arial" w:hAnsi="Arial" w:cs="Arial"/>
          <w:spacing w:val="-3"/>
          <w:szCs w:val="24"/>
          <w:lang w:val="es-ES_tradnl"/>
        </w:rPr>
        <w:softHyphen/>
        <w:t>gales y reglamentarias  que resulten aplicables.</w:t>
      </w:r>
    </w:p>
    <w:p w:rsidR="00EB7EAD" w:rsidRPr="00E547FE" w:rsidRDefault="00EB7EAD" w:rsidP="00EB7EAD">
      <w:pPr>
        <w:pStyle w:val="Textoindependiente3"/>
        <w:keepNext/>
        <w:widowControl w:val="0"/>
        <w:numPr>
          <w:ilvl w:val="0"/>
          <w:numId w:val="1"/>
        </w:numPr>
        <w:tabs>
          <w:tab w:val="clear" w:pos="0"/>
        </w:tabs>
        <w:suppressAutoHyphens w:val="0"/>
        <w:spacing w:line="360" w:lineRule="auto"/>
        <w:ind w:left="0" w:hanging="426"/>
        <w:rPr>
          <w:rFonts w:cs="Arial"/>
          <w:b/>
          <w:bCs/>
          <w:color w:val="auto"/>
          <w:sz w:val="22"/>
          <w:szCs w:val="22"/>
        </w:rPr>
      </w:pPr>
      <w:r w:rsidRPr="00E547FE">
        <w:rPr>
          <w:rFonts w:cs="Arial"/>
          <w:b/>
          <w:color w:val="auto"/>
          <w:sz w:val="22"/>
          <w:szCs w:val="22"/>
        </w:rPr>
        <w:t>ANÁLISIS DE INGRESOS PROYECTADOS  Y ASIGNACIONES PRESUPUESTALES</w:t>
      </w:r>
    </w:p>
    <w:p w:rsidR="00EB7EAD" w:rsidRPr="00E547FE" w:rsidRDefault="00EB7EAD" w:rsidP="00E8683E">
      <w:pPr>
        <w:pStyle w:val="Textoindependiente3"/>
        <w:keepNext/>
        <w:widowControl w:val="0"/>
        <w:tabs>
          <w:tab w:val="clear" w:pos="0"/>
        </w:tabs>
        <w:suppressAutoHyphens w:val="0"/>
        <w:spacing w:line="360" w:lineRule="auto"/>
        <w:rPr>
          <w:rFonts w:cs="Arial"/>
          <w:b/>
          <w:bCs/>
          <w:color w:val="auto"/>
        </w:rPr>
      </w:pPr>
      <w:r w:rsidRPr="00E547FE">
        <w:rPr>
          <w:rFonts w:cs="Arial"/>
          <w:b/>
          <w:bCs/>
          <w:color w:val="auto"/>
        </w:rPr>
        <w:t>1.1) Ingresos Proyectados</w:t>
      </w:r>
    </w:p>
    <w:p w:rsidR="00EB7EAD" w:rsidRDefault="00EB7EAD" w:rsidP="00E8683E">
      <w:pPr>
        <w:keepNext/>
        <w:widowControl w:val="0"/>
        <w:spacing w:line="360" w:lineRule="auto"/>
        <w:jc w:val="both"/>
        <w:rPr>
          <w:rFonts w:ascii="Arial" w:hAnsi="Arial" w:cs="Arial"/>
          <w:b/>
          <w:bCs/>
          <w:sz w:val="24"/>
          <w:szCs w:val="24"/>
        </w:rPr>
      </w:pPr>
      <w:r w:rsidRPr="00DB3221">
        <w:rPr>
          <w:noProof/>
          <w:lang w:val="es-UY" w:eastAsia="es-UY"/>
        </w:rPr>
        <w:drawing>
          <wp:inline distT="0" distB="0" distL="0" distR="0" wp14:anchorId="5F5A44ED" wp14:editId="25131217">
            <wp:extent cx="4321810" cy="381317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3813175"/>
                    </a:xfrm>
                    <a:prstGeom prst="rect">
                      <a:avLst/>
                    </a:prstGeom>
                    <a:noFill/>
                    <a:ln>
                      <a:noFill/>
                    </a:ln>
                  </pic:spPr>
                </pic:pic>
              </a:graphicData>
            </a:graphic>
          </wp:inline>
        </w:drawing>
      </w:r>
    </w:p>
    <w:p w:rsidR="00EB7EAD" w:rsidRDefault="00EB7EAD" w:rsidP="00E8683E">
      <w:pPr>
        <w:keepNext/>
        <w:widowControl w:val="0"/>
        <w:spacing w:line="360" w:lineRule="auto"/>
        <w:jc w:val="both"/>
        <w:rPr>
          <w:rFonts w:ascii="Arial" w:hAnsi="Arial" w:cs="Arial"/>
          <w:b/>
          <w:bCs/>
          <w:sz w:val="24"/>
          <w:szCs w:val="24"/>
        </w:rPr>
      </w:pPr>
      <w:r w:rsidRPr="00DB3221">
        <w:rPr>
          <w:noProof/>
          <w:lang w:val="es-UY" w:eastAsia="es-UY"/>
        </w:rPr>
        <w:drawing>
          <wp:inline distT="0" distB="0" distL="0" distR="0" wp14:anchorId="67A9B599" wp14:editId="74A8A617">
            <wp:extent cx="5305425" cy="760857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7608570"/>
                    </a:xfrm>
                    <a:prstGeom prst="rect">
                      <a:avLst/>
                    </a:prstGeom>
                    <a:noFill/>
                    <a:ln>
                      <a:noFill/>
                    </a:ln>
                  </pic:spPr>
                </pic:pic>
              </a:graphicData>
            </a:graphic>
          </wp:inline>
        </w:drawing>
      </w:r>
    </w:p>
    <w:p w:rsidR="00EB7EAD" w:rsidRDefault="00EB7EAD" w:rsidP="00E8683E">
      <w:pPr>
        <w:keepNext/>
        <w:widowControl w:val="0"/>
        <w:spacing w:line="360" w:lineRule="auto"/>
        <w:jc w:val="both"/>
        <w:rPr>
          <w:rFonts w:ascii="Arial" w:hAnsi="Arial" w:cs="Arial"/>
          <w:b/>
          <w:bCs/>
          <w:sz w:val="24"/>
          <w:szCs w:val="24"/>
        </w:rPr>
      </w:pPr>
      <w:r w:rsidRPr="00DB3221">
        <w:rPr>
          <w:noProof/>
          <w:lang w:val="es-UY" w:eastAsia="es-UY"/>
        </w:rPr>
        <w:drawing>
          <wp:inline distT="0" distB="0" distL="0" distR="0" wp14:anchorId="04F8B5B2" wp14:editId="545F325F">
            <wp:extent cx="5305425" cy="261366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2613660"/>
                    </a:xfrm>
                    <a:prstGeom prst="rect">
                      <a:avLst/>
                    </a:prstGeom>
                    <a:noFill/>
                    <a:ln>
                      <a:noFill/>
                    </a:ln>
                  </pic:spPr>
                </pic:pic>
              </a:graphicData>
            </a:graphic>
          </wp:inline>
        </w:drawing>
      </w:r>
    </w:p>
    <w:p w:rsidR="00EB7EAD" w:rsidRDefault="00EB7EAD" w:rsidP="00E8683E">
      <w:pPr>
        <w:keepNext/>
        <w:widowControl w:val="0"/>
        <w:spacing w:line="360" w:lineRule="auto"/>
        <w:jc w:val="both"/>
        <w:rPr>
          <w:rFonts w:ascii="Arial" w:hAnsi="Arial" w:cs="Arial"/>
          <w:b/>
          <w:bCs/>
          <w:sz w:val="24"/>
          <w:szCs w:val="24"/>
        </w:rPr>
      </w:pPr>
    </w:p>
    <w:p w:rsidR="00EB7EAD" w:rsidRDefault="00EB7EAD" w:rsidP="00E8683E">
      <w:pPr>
        <w:keepNext/>
        <w:widowControl w:val="0"/>
        <w:spacing w:line="360" w:lineRule="auto"/>
        <w:jc w:val="both"/>
        <w:rPr>
          <w:rFonts w:ascii="Arial" w:hAnsi="Arial" w:cs="Arial"/>
          <w:sz w:val="24"/>
          <w:szCs w:val="24"/>
        </w:rPr>
      </w:pPr>
      <w:r w:rsidRPr="003D2F68">
        <w:rPr>
          <w:rFonts w:ascii="Arial" w:hAnsi="Arial" w:cs="Arial"/>
          <w:b/>
          <w:bCs/>
          <w:sz w:val="24"/>
          <w:szCs w:val="24"/>
        </w:rPr>
        <w:t>1.3)</w:t>
      </w:r>
      <w:r w:rsidRPr="003D2F68">
        <w:rPr>
          <w:rFonts w:ascii="Arial" w:hAnsi="Arial" w:cs="Arial"/>
          <w:sz w:val="24"/>
          <w:szCs w:val="24"/>
        </w:rPr>
        <w:t xml:space="preserve"> De acuerdo con lo expresado anteriormente para el Ejercicio 2019 los </w:t>
      </w:r>
      <w:r w:rsidRPr="003D2F68">
        <w:rPr>
          <w:rFonts w:ascii="Arial" w:hAnsi="Arial" w:cs="Arial"/>
          <w:spacing w:val="-14"/>
          <w:sz w:val="24"/>
          <w:szCs w:val="24"/>
        </w:rPr>
        <w:t>Ingresos proyectados son de $ 106.601.0</w:t>
      </w:r>
      <w:r>
        <w:rPr>
          <w:rFonts w:ascii="Arial" w:hAnsi="Arial" w:cs="Arial"/>
          <w:spacing w:val="-14"/>
          <w:sz w:val="24"/>
          <w:szCs w:val="24"/>
        </w:rPr>
        <w:t>0</w:t>
      </w:r>
      <w:r w:rsidRPr="003D2F68">
        <w:rPr>
          <w:rFonts w:ascii="Arial" w:hAnsi="Arial" w:cs="Arial"/>
          <w:spacing w:val="-14"/>
          <w:sz w:val="24"/>
          <w:szCs w:val="24"/>
        </w:rPr>
        <w:t>6.477</w:t>
      </w:r>
      <w:r w:rsidRPr="003D2F68">
        <w:rPr>
          <w:rFonts w:ascii="Arial" w:hAnsi="Arial" w:cs="Arial"/>
          <w:bCs/>
          <w:snapToGrid/>
          <w:sz w:val="24"/>
          <w:szCs w:val="24"/>
          <w:lang w:val="es-UY" w:eastAsia="es-UY"/>
        </w:rPr>
        <w:t xml:space="preserve"> </w:t>
      </w:r>
      <w:r w:rsidRPr="003D2F68">
        <w:rPr>
          <w:rFonts w:ascii="Arial" w:hAnsi="Arial" w:cs="Arial"/>
          <w:spacing w:val="-14"/>
          <w:sz w:val="24"/>
          <w:szCs w:val="24"/>
        </w:rPr>
        <w:t>y los Egresos de $</w:t>
      </w:r>
      <w:r w:rsidRPr="003D2F68">
        <w:rPr>
          <w:rFonts w:ascii="Arial" w:hAnsi="Arial" w:cs="Arial"/>
          <w:sz w:val="24"/>
          <w:szCs w:val="24"/>
        </w:rPr>
        <w:t xml:space="preserve"> </w:t>
      </w:r>
      <w:r w:rsidRPr="003D2F68">
        <w:rPr>
          <w:rFonts w:ascii="Arial" w:hAnsi="Arial" w:cs="Arial"/>
          <w:bCs/>
          <w:snapToGrid/>
          <w:sz w:val="24"/>
          <w:szCs w:val="24"/>
          <w:lang w:val="es-UY" w:eastAsia="es-UY"/>
        </w:rPr>
        <w:t>108</w:t>
      </w:r>
      <w:r>
        <w:rPr>
          <w:rFonts w:ascii="Arial" w:hAnsi="Arial" w:cs="Arial"/>
          <w:bCs/>
          <w:snapToGrid/>
          <w:sz w:val="24"/>
          <w:szCs w:val="24"/>
          <w:lang w:val="es-UY" w:eastAsia="es-UY"/>
        </w:rPr>
        <w:t>.</w:t>
      </w:r>
      <w:r w:rsidRPr="003D2F68">
        <w:rPr>
          <w:rFonts w:ascii="Arial" w:hAnsi="Arial" w:cs="Arial"/>
          <w:bCs/>
          <w:snapToGrid/>
          <w:sz w:val="24"/>
          <w:szCs w:val="24"/>
          <w:lang w:val="es-UY" w:eastAsia="es-UY"/>
        </w:rPr>
        <w:t>890.790.342</w:t>
      </w:r>
      <w:r w:rsidRPr="003D2F68">
        <w:rPr>
          <w:rFonts w:ascii="Arial" w:hAnsi="Arial" w:cs="Arial"/>
          <w:bCs/>
          <w:sz w:val="24"/>
          <w:szCs w:val="24"/>
        </w:rPr>
        <w:t>,</w:t>
      </w:r>
      <w:r w:rsidRPr="003D2F68">
        <w:rPr>
          <w:rFonts w:ascii="Arial" w:hAnsi="Arial" w:cs="Arial"/>
          <w:sz w:val="24"/>
          <w:szCs w:val="24"/>
        </w:rPr>
        <w:t xml:space="preserve"> re</w:t>
      </w:r>
      <w:r w:rsidRPr="003D2F68">
        <w:rPr>
          <w:rFonts w:ascii="Arial" w:hAnsi="Arial" w:cs="Arial"/>
          <w:sz w:val="24"/>
          <w:szCs w:val="24"/>
        </w:rPr>
        <w:softHyphen/>
        <w:t xml:space="preserve">sultando en principio, un Déficit Presupuestal de $ </w:t>
      </w:r>
      <w:r w:rsidRPr="003D2F68">
        <w:rPr>
          <w:rFonts w:ascii="Arial" w:hAnsi="Arial" w:cs="Arial"/>
          <w:snapToGrid/>
          <w:sz w:val="24"/>
          <w:szCs w:val="24"/>
          <w:lang w:val="es-UY" w:eastAsia="es-UY"/>
        </w:rPr>
        <w:t>2.289.783.865</w:t>
      </w:r>
      <w:r w:rsidRPr="003D2F68">
        <w:rPr>
          <w:rFonts w:ascii="Arial" w:hAnsi="Arial" w:cs="Arial"/>
          <w:sz w:val="24"/>
          <w:szCs w:val="24"/>
        </w:rPr>
        <w:t xml:space="preserve">. El mismo se proyecta financiar con </w:t>
      </w:r>
      <w:r>
        <w:rPr>
          <w:rFonts w:ascii="Arial" w:hAnsi="Arial" w:cs="Arial"/>
          <w:sz w:val="24"/>
          <w:szCs w:val="24"/>
        </w:rPr>
        <w:t>endeudamiento externo</w:t>
      </w:r>
      <w:r w:rsidRPr="00401597">
        <w:rPr>
          <w:rFonts w:ascii="Arial" w:hAnsi="Arial" w:cs="Arial"/>
          <w:sz w:val="24"/>
          <w:szCs w:val="24"/>
        </w:rPr>
        <w:t xml:space="preserve"> por </w:t>
      </w:r>
      <w:r w:rsidRPr="003D2F68">
        <w:rPr>
          <w:rFonts w:ascii="Arial" w:hAnsi="Arial" w:cs="Arial"/>
          <w:sz w:val="24"/>
          <w:szCs w:val="24"/>
        </w:rPr>
        <w:t xml:space="preserve">$ 486.583.865 y con </w:t>
      </w:r>
      <w:r>
        <w:rPr>
          <w:rFonts w:ascii="Arial" w:hAnsi="Arial" w:cs="Arial"/>
          <w:sz w:val="24"/>
          <w:szCs w:val="24"/>
        </w:rPr>
        <w:t xml:space="preserve">la utilización de disponibilidades </w:t>
      </w:r>
      <w:r w:rsidRPr="003D2F68">
        <w:rPr>
          <w:rFonts w:ascii="Arial" w:hAnsi="Arial" w:cs="Arial"/>
          <w:sz w:val="24"/>
          <w:szCs w:val="24"/>
        </w:rPr>
        <w:t xml:space="preserve">por $ 1.803.200.000. </w:t>
      </w:r>
      <w:r>
        <w:rPr>
          <w:rFonts w:ascii="Arial" w:hAnsi="Arial" w:cs="Arial"/>
          <w:sz w:val="24"/>
          <w:szCs w:val="24"/>
        </w:rPr>
        <w:t>El financiamiento con recursos ajenos está asociado a Proyectos de Inversión en cumplimiento del Art. 331 de la Ley N° 18.172 del 31 de agosto de 2007. La ejecución de los Proyectos de Inversión estará condicionada a la formalización de las Fuentes de Financiamiento, lo que deberá contar con el informe favorable de lo Oficina de Planeamiento y Presupuesto.</w:t>
      </w:r>
    </w:p>
    <w:p w:rsidR="00EB7EAD" w:rsidRDefault="00EB7EAD" w:rsidP="00E8683E">
      <w:pPr>
        <w:keepNext/>
        <w:widowControl w:val="0"/>
        <w:spacing w:line="360" w:lineRule="auto"/>
        <w:jc w:val="both"/>
        <w:rPr>
          <w:rFonts w:ascii="Arial" w:hAnsi="Arial" w:cs="Arial"/>
          <w:bCs/>
          <w:sz w:val="24"/>
          <w:szCs w:val="24"/>
        </w:rPr>
      </w:pPr>
      <w:r w:rsidRPr="00366FA7">
        <w:rPr>
          <w:rFonts w:ascii="Arial" w:hAnsi="Arial" w:cs="Arial"/>
          <w:b/>
          <w:bCs/>
          <w:sz w:val="24"/>
          <w:szCs w:val="24"/>
        </w:rPr>
        <w:t>1.4)</w:t>
      </w:r>
      <w:r w:rsidRPr="00591D67">
        <w:rPr>
          <w:rFonts w:ascii="Arial" w:hAnsi="Arial" w:cs="Arial"/>
          <w:bCs/>
          <w:sz w:val="24"/>
          <w:szCs w:val="24"/>
        </w:rPr>
        <w:t xml:space="preserve"> </w:t>
      </w:r>
      <w:r>
        <w:rPr>
          <w:rFonts w:ascii="Arial" w:hAnsi="Arial" w:cs="Arial"/>
          <w:bCs/>
          <w:sz w:val="24"/>
          <w:szCs w:val="24"/>
        </w:rPr>
        <w:t xml:space="preserve">Existe discordancia entre el financiamiento externo expuesto en los artículos 1 y 3 </w:t>
      </w:r>
      <w:r w:rsidRPr="00591D67">
        <w:rPr>
          <w:rFonts w:ascii="Arial" w:hAnsi="Arial" w:cs="Arial"/>
          <w:bCs/>
          <w:sz w:val="24"/>
          <w:szCs w:val="24"/>
        </w:rPr>
        <w:t>del Proyecto de Presupuesto 2019</w:t>
      </w:r>
      <w:r>
        <w:rPr>
          <w:rFonts w:ascii="Arial" w:hAnsi="Arial" w:cs="Arial"/>
          <w:bCs/>
          <w:sz w:val="24"/>
          <w:szCs w:val="24"/>
        </w:rPr>
        <w:t>, el cual asciende a                 $ 486.583.865, con el monto expuesto en el Flujo de Caja 2019, como “Nuevos Préstamos para financiar inversiones Ley 18172 art. 331” por $1.450.000.0000 equivalentes a 50 millones de dólares.</w:t>
      </w:r>
    </w:p>
    <w:p w:rsidR="00EB7EAD" w:rsidRDefault="00EB7EAD" w:rsidP="00E8683E">
      <w:pPr>
        <w:keepNext/>
        <w:widowControl w:val="0"/>
        <w:spacing w:line="360" w:lineRule="auto"/>
        <w:jc w:val="both"/>
        <w:rPr>
          <w:rFonts w:ascii="Arial" w:hAnsi="Arial" w:cs="Arial"/>
          <w:sz w:val="24"/>
          <w:szCs w:val="24"/>
        </w:rPr>
      </w:pPr>
    </w:p>
    <w:p w:rsidR="00DA394B" w:rsidRPr="00591D67" w:rsidRDefault="00DA394B" w:rsidP="00E8683E">
      <w:pPr>
        <w:keepNext/>
        <w:widowControl w:val="0"/>
        <w:spacing w:line="360" w:lineRule="auto"/>
        <w:jc w:val="both"/>
        <w:rPr>
          <w:rFonts w:ascii="Arial" w:hAnsi="Arial" w:cs="Arial"/>
          <w:sz w:val="24"/>
          <w:szCs w:val="24"/>
        </w:rPr>
      </w:pPr>
    </w:p>
    <w:p w:rsidR="00EB7EAD" w:rsidRPr="003D2F68" w:rsidRDefault="00EB7EAD" w:rsidP="00EB7EAD">
      <w:pPr>
        <w:pStyle w:val="Textoindependiente3"/>
        <w:keepNext/>
        <w:widowControl w:val="0"/>
        <w:numPr>
          <w:ilvl w:val="0"/>
          <w:numId w:val="1"/>
        </w:numPr>
        <w:tabs>
          <w:tab w:val="clear" w:pos="0"/>
          <w:tab w:val="left" w:pos="284"/>
        </w:tabs>
        <w:suppressAutoHyphens w:val="0"/>
        <w:spacing w:line="360" w:lineRule="auto"/>
        <w:ind w:left="0" w:firstLine="0"/>
        <w:rPr>
          <w:rFonts w:cs="Arial"/>
          <w:b/>
          <w:color w:val="auto"/>
          <w:sz w:val="22"/>
          <w:szCs w:val="22"/>
        </w:rPr>
      </w:pPr>
      <w:r w:rsidRPr="003D2F68">
        <w:rPr>
          <w:rFonts w:cs="Arial"/>
          <w:b/>
          <w:color w:val="auto"/>
          <w:sz w:val="22"/>
          <w:szCs w:val="22"/>
        </w:rPr>
        <w:t>CUMPLIMIENTO DE NORMAS CONSTITUCIONALES, LEGALES Y REGLAMENTARIAS</w:t>
      </w:r>
    </w:p>
    <w:p w:rsidR="00EB7EAD" w:rsidRPr="003D2F68" w:rsidRDefault="00EB7EAD" w:rsidP="00E8683E">
      <w:pPr>
        <w:pStyle w:val="Textoindependiente3"/>
        <w:keepNext/>
        <w:widowControl w:val="0"/>
        <w:tabs>
          <w:tab w:val="clear" w:pos="0"/>
          <w:tab w:val="left" w:pos="426"/>
        </w:tabs>
        <w:suppressAutoHyphens w:val="0"/>
        <w:spacing w:line="360" w:lineRule="auto"/>
        <w:rPr>
          <w:rFonts w:cs="Arial"/>
          <w:color w:val="auto"/>
        </w:rPr>
      </w:pPr>
      <w:r w:rsidRPr="003D2F68">
        <w:rPr>
          <w:rFonts w:cs="Arial"/>
          <w:b/>
          <w:color w:val="auto"/>
        </w:rPr>
        <w:t>2.1)</w:t>
      </w:r>
      <w:r w:rsidRPr="003D2F68">
        <w:rPr>
          <w:rFonts w:cs="Arial"/>
          <w:color w:val="auto"/>
        </w:rPr>
        <w:t xml:space="preserve"> El Proyecto de Presupuesto remitido fue aprobado por el Directorio de ANCAP por Resolución N° 618/7/2018 de fecha 12 de julio de 2018 remitido por Oficio N° 181-2018-D/254456/0, el mismo ingresó a este Tribunal para su consideración el 17/07/2018, dentro del plazo previsto por el Artículo 221 (Inciso 1 in fine) de la Constitución de la República, dándosele entrada oficial el 19/07/2018, conforme a lo establecido por la Ordenanza N° 51 de fecha 22/11/72.</w:t>
      </w:r>
    </w:p>
    <w:p w:rsidR="00EB7EAD" w:rsidRPr="003D2F68" w:rsidRDefault="00EB7EAD" w:rsidP="00E8683E">
      <w:pPr>
        <w:keepNext/>
        <w:widowControl w:val="0"/>
        <w:spacing w:line="360" w:lineRule="auto"/>
        <w:jc w:val="both"/>
        <w:rPr>
          <w:rFonts w:ascii="Arial" w:hAnsi="Arial" w:cs="Arial"/>
          <w:sz w:val="24"/>
          <w:szCs w:val="24"/>
        </w:rPr>
      </w:pPr>
      <w:r w:rsidRPr="003D2F68">
        <w:rPr>
          <w:rFonts w:ascii="Arial" w:hAnsi="Arial" w:cs="Arial"/>
          <w:b/>
          <w:sz w:val="24"/>
          <w:szCs w:val="24"/>
        </w:rPr>
        <w:t>2.2)</w:t>
      </w:r>
      <w:r w:rsidRPr="003D2F68">
        <w:rPr>
          <w:rFonts w:ascii="Arial" w:hAnsi="Arial" w:cs="Arial"/>
          <w:sz w:val="24"/>
          <w:szCs w:val="24"/>
        </w:rPr>
        <w:t xml:space="preserve"> En la Resolución de Directorio Nº 618/7/2018, aprobatoria del Proyecto de Presupuesto 2019, se establece el importe de los ingresos, egresos y resultado presupuestal que se aprueban. El Proyecto de Presupuesto y los anexos remitidos a este Tribunal fueron suscritos por las autoridades competentes.</w:t>
      </w:r>
    </w:p>
    <w:p w:rsidR="00EB7EAD" w:rsidRPr="003B64FC" w:rsidRDefault="00EB7EAD" w:rsidP="00E8683E">
      <w:pPr>
        <w:keepNext/>
        <w:widowControl w:val="0"/>
        <w:tabs>
          <w:tab w:val="left" w:pos="180"/>
          <w:tab w:val="num" w:pos="567"/>
        </w:tabs>
        <w:spacing w:line="360" w:lineRule="auto"/>
        <w:jc w:val="both"/>
        <w:rPr>
          <w:rFonts w:ascii="Arial" w:hAnsi="Arial" w:cs="Arial"/>
          <w:bCs/>
          <w:sz w:val="24"/>
          <w:szCs w:val="24"/>
        </w:rPr>
      </w:pPr>
      <w:r w:rsidRPr="0056222E">
        <w:rPr>
          <w:rFonts w:ascii="Arial" w:hAnsi="Arial" w:cs="Arial"/>
          <w:b/>
          <w:sz w:val="24"/>
          <w:szCs w:val="24"/>
        </w:rPr>
        <w:t>2.3)</w:t>
      </w:r>
      <w:r w:rsidRPr="0056222E">
        <w:rPr>
          <w:rFonts w:ascii="Arial" w:hAnsi="Arial" w:cs="Arial"/>
          <w:sz w:val="24"/>
          <w:szCs w:val="24"/>
        </w:rPr>
        <w:t xml:space="preserve"> </w:t>
      </w:r>
      <w:r w:rsidRPr="0056222E">
        <w:rPr>
          <w:rFonts w:ascii="Arial" w:hAnsi="Arial" w:cs="Arial"/>
          <w:bCs/>
          <w:sz w:val="24"/>
          <w:szCs w:val="24"/>
        </w:rPr>
        <w:t xml:space="preserve">El Proyecto de Presupuesto 2019 se presenta en forma comparativa con el Presupuesto </w:t>
      </w:r>
      <w:r>
        <w:rPr>
          <w:rFonts w:ascii="Arial" w:hAnsi="Arial" w:cs="Arial"/>
          <w:bCs/>
          <w:sz w:val="24"/>
          <w:szCs w:val="24"/>
        </w:rPr>
        <w:t xml:space="preserve">vigente </w:t>
      </w:r>
      <w:r w:rsidRPr="0056222E">
        <w:rPr>
          <w:rFonts w:ascii="Arial" w:hAnsi="Arial" w:cs="Arial"/>
          <w:bCs/>
          <w:sz w:val="24"/>
          <w:szCs w:val="24"/>
        </w:rPr>
        <w:t>2018 aprobado por Decreto Nº 164/18 del 04/06/18, de acuerdo a lo establecido por el Artículo 216 de la Constitución de la República.</w:t>
      </w:r>
    </w:p>
    <w:p w:rsidR="00EB7EAD"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sidRPr="00800C6A">
        <w:rPr>
          <w:rFonts w:ascii="Arial" w:hAnsi="Arial" w:cs="Arial"/>
          <w:b/>
          <w:bCs/>
          <w:sz w:val="24"/>
          <w:szCs w:val="24"/>
        </w:rPr>
        <w:t>2.</w:t>
      </w:r>
      <w:r>
        <w:rPr>
          <w:rFonts w:ascii="Arial" w:hAnsi="Arial" w:cs="Arial"/>
          <w:b/>
          <w:bCs/>
          <w:sz w:val="24"/>
          <w:szCs w:val="24"/>
        </w:rPr>
        <w:t>4</w:t>
      </w:r>
      <w:r w:rsidRPr="00800C6A">
        <w:rPr>
          <w:rFonts w:ascii="Arial" w:hAnsi="Arial" w:cs="Arial"/>
          <w:b/>
          <w:bCs/>
          <w:sz w:val="24"/>
          <w:szCs w:val="24"/>
        </w:rPr>
        <w:t xml:space="preserve">) </w:t>
      </w:r>
      <w:r w:rsidRPr="00294413">
        <w:rPr>
          <w:rFonts w:ascii="Arial" w:eastAsiaTheme="minorHAnsi" w:hAnsi="Arial" w:cs="Arial"/>
          <w:snapToGrid/>
          <w:sz w:val="24"/>
          <w:szCs w:val="24"/>
          <w:lang w:val="es-UY" w:eastAsia="en-US"/>
        </w:rPr>
        <w:t>Se adjunta el informe circunstanciado sobre el cumplimiento de metas y programas para el quinquenio, exigido por el artículo 4 de la Ley Nº 16.211, de 10 de octubre de 1991.</w:t>
      </w:r>
    </w:p>
    <w:p w:rsidR="00EB7EAD"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Pr>
          <w:rFonts w:ascii="Arial" w:hAnsi="Arial" w:cs="Arial"/>
          <w:b/>
          <w:bCs/>
          <w:sz w:val="24"/>
          <w:szCs w:val="24"/>
        </w:rPr>
        <w:t>2.5</w:t>
      </w:r>
      <w:r w:rsidRPr="00800C6A">
        <w:rPr>
          <w:rFonts w:ascii="Arial" w:hAnsi="Arial" w:cs="Arial"/>
          <w:b/>
          <w:bCs/>
          <w:sz w:val="24"/>
          <w:szCs w:val="24"/>
        </w:rPr>
        <w:t>)</w:t>
      </w:r>
      <w:r>
        <w:rPr>
          <w:rFonts w:ascii="Arial" w:hAnsi="Arial" w:cs="Arial"/>
          <w:bCs/>
          <w:sz w:val="24"/>
          <w:szCs w:val="24"/>
        </w:rPr>
        <w:t xml:space="preserve"> </w:t>
      </w:r>
      <w:r w:rsidRPr="00800C6A">
        <w:rPr>
          <w:rFonts w:ascii="Arial" w:hAnsi="Arial" w:cs="Arial"/>
          <w:bCs/>
          <w:sz w:val="24"/>
          <w:szCs w:val="24"/>
        </w:rPr>
        <w:t>La redacción del artículo 14 que refiere a la Resolución de Directorio</w:t>
      </w:r>
      <w:r>
        <w:rPr>
          <w:rFonts w:ascii="Arial" w:hAnsi="Arial" w:cs="Arial"/>
          <w:bCs/>
          <w:sz w:val="24"/>
          <w:szCs w:val="24"/>
        </w:rPr>
        <w:t xml:space="preserve"> </w:t>
      </w:r>
      <w:r w:rsidRPr="00800C6A">
        <w:rPr>
          <w:rFonts w:ascii="Arial" w:hAnsi="Arial" w:cs="Arial"/>
          <w:bCs/>
          <w:sz w:val="24"/>
          <w:szCs w:val="24"/>
        </w:rPr>
        <w:t>1088/10/2015 (Viáticos Asesores y Secretarios de Directores) resulta</w:t>
      </w:r>
      <w:r>
        <w:rPr>
          <w:rFonts w:ascii="Arial" w:hAnsi="Arial" w:cs="Arial"/>
          <w:bCs/>
          <w:sz w:val="24"/>
          <w:szCs w:val="24"/>
        </w:rPr>
        <w:t xml:space="preserve"> </w:t>
      </w:r>
      <w:r w:rsidRPr="00800C6A">
        <w:rPr>
          <w:rFonts w:ascii="Arial" w:hAnsi="Arial" w:cs="Arial"/>
          <w:bCs/>
          <w:sz w:val="24"/>
          <w:szCs w:val="24"/>
        </w:rPr>
        <w:t>ininteligible. A los efectos de la redacción del artículo, se deberá considerar lo</w:t>
      </w:r>
      <w:r>
        <w:rPr>
          <w:rFonts w:ascii="Arial" w:hAnsi="Arial" w:cs="Arial"/>
          <w:bCs/>
          <w:sz w:val="24"/>
          <w:szCs w:val="24"/>
        </w:rPr>
        <w:t xml:space="preserve"> </w:t>
      </w:r>
      <w:r w:rsidRPr="00800C6A">
        <w:rPr>
          <w:rFonts w:ascii="Arial" w:hAnsi="Arial" w:cs="Arial"/>
          <w:bCs/>
          <w:sz w:val="24"/>
          <w:szCs w:val="24"/>
        </w:rPr>
        <w:t>dispuesto por el artículo 23 de la Ley Nº 17.556, en particular el tope mensual</w:t>
      </w:r>
      <w:r>
        <w:rPr>
          <w:rFonts w:ascii="Arial" w:hAnsi="Arial" w:cs="Arial"/>
          <w:bCs/>
          <w:sz w:val="24"/>
          <w:szCs w:val="24"/>
        </w:rPr>
        <w:t xml:space="preserve"> </w:t>
      </w:r>
      <w:r w:rsidRPr="00800C6A">
        <w:rPr>
          <w:rFonts w:ascii="Arial" w:hAnsi="Arial" w:cs="Arial"/>
          <w:bCs/>
          <w:sz w:val="24"/>
          <w:szCs w:val="24"/>
        </w:rPr>
        <w:t>que se les puede abonar por Director y la prohibición de adicionar ninguna otra</w:t>
      </w:r>
      <w:r>
        <w:rPr>
          <w:rFonts w:ascii="Arial" w:hAnsi="Arial" w:cs="Arial"/>
          <w:bCs/>
          <w:sz w:val="24"/>
          <w:szCs w:val="24"/>
        </w:rPr>
        <w:t xml:space="preserve"> </w:t>
      </w:r>
      <w:r w:rsidRPr="00800C6A">
        <w:rPr>
          <w:rFonts w:ascii="Arial" w:hAnsi="Arial" w:cs="Arial"/>
          <w:bCs/>
          <w:sz w:val="24"/>
          <w:szCs w:val="24"/>
        </w:rPr>
        <w:t>retribución ya sea en efectivo o en especie.</w:t>
      </w:r>
    </w:p>
    <w:p w:rsidR="00EB7EAD" w:rsidRPr="003557AA"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Pr>
          <w:rFonts w:ascii="Arial" w:eastAsiaTheme="minorHAnsi" w:hAnsi="Arial" w:cs="Arial"/>
          <w:b/>
          <w:snapToGrid/>
          <w:sz w:val="24"/>
          <w:szCs w:val="24"/>
          <w:lang w:val="es-UY" w:eastAsia="en-US"/>
        </w:rPr>
        <w:t>2.6</w:t>
      </w:r>
      <w:r w:rsidRPr="003557AA">
        <w:rPr>
          <w:rFonts w:ascii="Arial" w:eastAsiaTheme="minorHAnsi" w:hAnsi="Arial" w:cs="Arial"/>
          <w:b/>
          <w:snapToGrid/>
          <w:sz w:val="24"/>
          <w:szCs w:val="24"/>
          <w:lang w:val="es-UY" w:eastAsia="en-US"/>
        </w:rPr>
        <w:t xml:space="preserve">) </w:t>
      </w:r>
      <w:r w:rsidRPr="00DB3B46">
        <w:rPr>
          <w:rFonts w:ascii="Arial" w:eastAsiaTheme="minorHAnsi" w:hAnsi="Arial" w:cs="Arial"/>
          <w:snapToGrid/>
          <w:sz w:val="24"/>
          <w:szCs w:val="24"/>
          <w:lang w:val="es-UY" w:eastAsia="en-US"/>
        </w:rPr>
        <w:t xml:space="preserve">Para </w:t>
      </w:r>
      <w:r>
        <w:rPr>
          <w:rFonts w:ascii="Arial" w:eastAsiaTheme="minorHAnsi" w:hAnsi="Arial" w:cs="Arial"/>
          <w:snapToGrid/>
          <w:sz w:val="24"/>
          <w:szCs w:val="24"/>
          <w:lang w:val="es-UY" w:eastAsia="en-US"/>
        </w:rPr>
        <w:t xml:space="preserve">la </w:t>
      </w:r>
      <w:r w:rsidRPr="00DB3B46">
        <w:rPr>
          <w:rFonts w:ascii="Arial" w:eastAsiaTheme="minorHAnsi" w:hAnsi="Arial" w:cs="Arial"/>
          <w:snapToGrid/>
          <w:sz w:val="24"/>
          <w:szCs w:val="24"/>
          <w:lang w:val="es-UY" w:eastAsia="en-US"/>
        </w:rPr>
        <w:t>realización de</w:t>
      </w:r>
      <w:r>
        <w:rPr>
          <w:rFonts w:ascii="Arial" w:eastAsiaTheme="minorHAnsi" w:hAnsi="Arial" w:cs="Arial"/>
          <w:snapToGrid/>
          <w:sz w:val="24"/>
          <w:szCs w:val="24"/>
          <w:lang w:val="es-UY" w:eastAsia="en-US"/>
        </w:rPr>
        <w:t>l</w:t>
      </w:r>
      <w:r w:rsidRPr="00DB3B46">
        <w:rPr>
          <w:rFonts w:ascii="Arial" w:eastAsiaTheme="minorHAnsi" w:hAnsi="Arial" w:cs="Arial"/>
          <w:snapToGrid/>
          <w:sz w:val="24"/>
          <w:szCs w:val="24"/>
          <w:lang w:val="es-UY" w:eastAsia="en-US"/>
        </w:rPr>
        <w:t xml:space="preserve"> trabajo </w:t>
      </w:r>
      <w:r>
        <w:rPr>
          <w:rFonts w:ascii="Arial" w:eastAsiaTheme="minorHAnsi" w:hAnsi="Arial" w:cs="Arial"/>
          <w:snapToGrid/>
          <w:sz w:val="24"/>
          <w:szCs w:val="24"/>
          <w:lang w:val="es-UY" w:eastAsia="en-US"/>
        </w:rPr>
        <w:t xml:space="preserve">en horario </w:t>
      </w:r>
      <w:r w:rsidRPr="00DB3B46">
        <w:rPr>
          <w:rFonts w:ascii="Arial" w:eastAsiaTheme="minorHAnsi" w:hAnsi="Arial" w:cs="Arial"/>
          <w:snapToGrid/>
          <w:sz w:val="24"/>
          <w:szCs w:val="24"/>
          <w:lang w:val="es-UY" w:eastAsia="en-US"/>
        </w:rPr>
        <w:t>extraordinario, en aplicación de l</w:t>
      </w:r>
      <w:r>
        <w:rPr>
          <w:rFonts w:ascii="Arial" w:eastAsiaTheme="minorHAnsi" w:hAnsi="Arial" w:cs="Arial"/>
          <w:snapToGrid/>
          <w:sz w:val="24"/>
          <w:szCs w:val="24"/>
          <w:lang w:val="es-UY" w:eastAsia="en-US"/>
        </w:rPr>
        <w:t>o</w:t>
      </w:r>
      <w:r w:rsidRPr="00DB3B46">
        <w:rPr>
          <w:rFonts w:ascii="Arial" w:eastAsiaTheme="minorHAnsi" w:hAnsi="Arial" w:cs="Arial"/>
          <w:snapToGrid/>
          <w:sz w:val="24"/>
          <w:szCs w:val="24"/>
          <w:lang w:val="es-UY" w:eastAsia="en-US"/>
        </w:rPr>
        <w:t xml:space="preserve">  disp</w:t>
      </w:r>
      <w:r>
        <w:rPr>
          <w:rFonts w:ascii="Arial" w:eastAsiaTheme="minorHAnsi" w:hAnsi="Arial" w:cs="Arial"/>
          <w:snapToGrid/>
          <w:sz w:val="24"/>
          <w:szCs w:val="24"/>
          <w:lang w:val="es-UY" w:eastAsia="en-US"/>
        </w:rPr>
        <w:t>uesto por</w:t>
      </w:r>
      <w:r w:rsidRPr="00DB3B46">
        <w:rPr>
          <w:rFonts w:ascii="Arial" w:eastAsiaTheme="minorHAnsi" w:hAnsi="Arial" w:cs="Arial"/>
          <w:snapToGrid/>
          <w:sz w:val="24"/>
          <w:szCs w:val="24"/>
          <w:lang w:val="es-UY" w:eastAsia="en-US"/>
        </w:rPr>
        <w:t xml:space="preserve"> el artículo </w:t>
      </w:r>
      <w:r>
        <w:rPr>
          <w:rFonts w:ascii="Arial" w:eastAsiaTheme="minorHAnsi" w:hAnsi="Arial" w:cs="Arial"/>
          <w:snapToGrid/>
          <w:sz w:val="24"/>
          <w:szCs w:val="24"/>
          <w:lang w:val="es-UY" w:eastAsia="en-US"/>
        </w:rPr>
        <w:t>19</w:t>
      </w:r>
      <w:r w:rsidRPr="00DB3B46">
        <w:rPr>
          <w:rFonts w:ascii="Arial" w:eastAsiaTheme="minorHAnsi" w:hAnsi="Arial" w:cs="Arial"/>
          <w:snapToGrid/>
          <w:sz w:val="24"/>
          <w:szCs w:val="24"/>
          <w:lang w:val="es-UY" w:eastAsia="en-US"/>
        </w:rPr>
        <w:t>, se deberá dar cumplimiento, además, a las previsiones del artículo 588 del Decreto Ley Nº 14.189</w:t>
      </w:r>
      <w:r>
        <w:rPr>
          <w:rFonts w:ascii="Arial" w:eastAsiaTheme="minorHAnsi" w:hAnsi="Arial" w:cs="Arial"/>
          <w:snapToGrid/>
          <w:sz w:val="24"/>
          <w:szCs w:val="24"/>
          <w:lang w:val="es-UY" w:eastAsia="en-US"/>
        </w:rPr>
        <w:t xml:space="preserve"> de 30/04/1974</w:t>
      </w:r>
      <w:r w:rsidRPr="00DB3B46">
        <w:rPr>
          <w:rFonts w:ascii="Arial" w:eastAsiaTheme="minorHAnsi" w:hAnsi="Arial" w:cs="Arial"/>
          <w:snapToGrid/>
          <w:sz w:val="24"/>
          <w:szCs w:val="24"/>
          <w:lang w:val="es-UY" w:eastAsia="en-US"/>
        </w:rPr>
        <w:t>, en la redacción dada por el artículo 765 de la Ley Nº 19.335,</w:t>
      </w:r>
      <w:r>
        <w:rPr>
          <w:rFonts w:ascii="Arial" w:eastAsiaTheme="minorHAnsi" w:hAnsi="Arial" w:cs="Arial"/>
          <w:snapToGrid/>
          <w:sz w:val="24"/>
          <w:szCs w:val="24"/>
          <w:lang w:val="es-UY" w:eastAsia="en-US"/>
        </w:rPr>
        <w:t xml:space="preserve"> de 19/12/2015,</w:t>
      </w:r>
      <w:r w:rsidRPr="00DB3B46">
        <w:rPr>
          <w:rFonts w:ascii="Arial" w:eastAsiaTheme="minorHAnsi" w:hAnsi="Arial" w:cs="Arial"/>
          <w:snapToGrid/>
          <w:sz w:val="24"/>
          <w:szCs w:val="24"/>
          <w:lang w:val="es-UY" w:eastAsia="en-US"/>
        </w:rPr>
        <w:t xml:space="preserve"> y a los topes diarios, semanales y mensuales establecidos por la normativa vigente y los Convenios Internacionales del Trabajo.</w:t>
      </w:r>
    </w:p>
    <w:p w:rsidR="00EB7EAD" w:rsidRPr="003B64FC"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Pr>
          <w:rFonts w:ascii="Arial" w:eastAsiaTheme="minorHAnsi" w:hAnsi="Arial" w:cs="Arial"/>
          <w:b/>
          <w:snapToGrid/>
          <w:sz w:val="24"/>
          <w:szCs w:val="24"/>
          <w:lang w:val="es-UY" w:eastAsia="en-US"/>
        </w:rPr>
        <w:t>2.7</w:t>
      </w:r>
      <w:r w:rsidRPr="00A478F2">
        <w:rPr>
          <w:rFonts w:ascii="Arial" w:eastAsiaTheme="minorHAnsi" w:hAnsi="Arial" w:cs="Arial"/>
          <w:b/>
          <w:snapToGrid/>
          <w:sz w:val="24"/>
          <w:szCs w:val="24"/>
          <w:lang w:val="es-UY" w:eastAsia="en-US"/>
        </w:rPr>
        <w:t xml:space="preserve">) </w:t>
      </w:r>
      <w:r w:rsidRPr="00EA18CD">
        <w:rPr>
          <w:rFonts w:ascii="Arial" w:eastAsiaTheme="minorHAnsi" w:hAnsi="Arial" w:cs="Arial"/>
          <w:snapToGrid/>
          <w:sz w:val="24"/>
          <w:szCs w:val="24"/>
          <w:lang w:val="es-UY" w:eastAsia="en-US"/>
        </w:rPr>
        <w:t xml:space="preserve">La partida por nocturnidad, reglamentada en el artículo 21 de las Normas de Ejecución Presupuestal, deberá ajustarse a lo dispuesto por la Ley </w:t>
      </w:r>
      <w:r>
        <w:rPr>
          <w:rFonts w:ascii="Arial" w:eastAsiaTheme="minorHAnsi" w:hAnsi="Arial" w:cs="Arial"/>
          <w:snapToGrid/>
          <w:sz w:val="24"/>
          <w:szCs w:val="24"/>
          <w:lang w:val="es-UY" w:eastAsia="en-US"/>
        </w:rPr>
        <w:t xml:space="preserve">            </w:t>
      </w:r>
      <w:r w:rsidRPr="00EA18CD">
        <w:rPr>
          <w:rFonts w:ascii="Arial" w:eastAsiaTheme="minorHAnsi" w:hAnsi="Arial" w:cs="Arial"/>
          <w:snapToGrid/>
          <w:sz w:val="24"/>
          <w:szCs w:val="24"/>
          <w:lang w:val="es-UY" w:eastAsia="en-US"/>
        </w:rPr>
        <w:t>Nº 19.313,</w:t>
      </w:r>
      <w:r>
        <w:rPr>
          <w:rFonts w:ascii="Arial" w:eastAsiaTheme="minorHAnsi" w:hAnsi="Arial" w:cs="Arial"/>
          <w:snapToGrid/>
          <w:sz w:val="24"/>
          <w:szCs w:val="24"/>
          <w:lang w:val="es-UY" w:eastAsia="en-US"/>
        </w:rPr>
        <w:t xml:space="preserve"> de 13/02/2015, </w:t>
      </w:r>
      <w:r w:rsidRPr="00EA18CD">
        <w:rPr>
          <w:rFonts w:ascii="Arial" w:eastAsiaTheme="minorHAnsi" w:hAnsi="Arial" w:cs="Arial"/>
          <w:snapToGrid/>
          <w:sz w:val="24"/>
          <w:szCs w:val="24"/>
          <w:lang w:val="es-UY" w:eastAsia="en-US"/>
        </w:rPr>
        <w:t>en particular</w:t>
      </w:r>
      <w:r>
        <w:rPr>
          <w:rFonts w:ascii="Arial" w:eastAsiaTheme="minorHAnsi" w:hAnsi="Arial" w:cs="Arial"/>
          <w:snapToGrid/>
          <w:sz w:val="24"/>
          <w:szCs w:val="24"/>
          <w:lang w:val="es-UY" w:eastAsia="en-US"/>
        </w:rPr>
        <w:t>, a</w:t>
      </w:r>
      <w:r w:rsidRPr="00EA18CD">
        <w:rPr>
          <w:rFonts w:ascii="Arial" w:eastAsiaTheme="minorHAnsi" w:hAnsi="Arial" w:cs="Arial"/>
          <w:snapToGrid/>
          <w:sz w:val="24"/>
          <w:szCs w:val="24"/>
          <w:lang w:val="es-UY" w:eastAsia="en-US"/>
        </w:rPr>
        <w:t xml:space="preserve"> su artículo 4, que prevé la aplicación de una sobretasa mínima por nocturnidad del 20%, a todo trabajo que se desempeñe entre las 22 horas y las 6 horas del día siguiente.</w:t>
      </w:r>
    </w:p>
    <w:p w:rsidR="00EB7EAD"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Pr>
          <w:rFonts w:ascii="Arial" w:eastAsiaTheme="minorHAnsi" w:hAnsi="Arial" w:cs="Arial"/>
          <w:b/>
          <w:snapToGrid/>
          <w:sz w:val="24"/>
          <w:szCs w:val="24"/>
          <w:lang w:val="es-UY" w:eastAsia="en-US"/>
        </w:rPr>
        <w:t>2.8</w:t>
      </w:r>
      <w:r w:rsidRPr="00A26BAA">
        <w:rPr>
          <w:rFonts w:ascii="Arial" w:eastAsiaTheme="minorHAnsi" w:hAnsi="Arial" w:cs="Arial"/>
          <w:b/>
          <w:snapToGrid/>
          <w:sz w:val="24"/>
          <w:szCs w:val="24"/>
          <w:lang w:val="es-UY" w:eastAsia="en-US"/>
        </w:rPr>
        <w:t xml:space="preserve">) </w:t>
      </w:r>
      <w:r w:rsidRPr="00EA18CD">
        <w:rPr>
          <w:rFonts w:ascii="Arial" w:eastAsiaTheme="minorHAnsi" w:hAnsi="Arial" w:cs="Arial"/>
          <w:snapToGrid/>
          <w:sz w:val="24"/>
          <w:szCs w:val="24"/>
          <w:lang w:val="es-UY" w:eastAsia="en-US"/>
        </w:rPr>
        <w:t>La contratación de personal a término</w:t>
      </w:r>
      <w:r>
        <w:rPr>
          <w:rFonts w:ascii="Arial" w:eastAsiaTheme="minorHAnsi" w:hAnsi="Arial" w:cs="Arial"/>
          <w:snapToGrid/>
          <w:sz w:val="24"/>
          <w:szCs w:val="24"/>
          <w:lang w:val="es-UY" w:eastAsia="en-US"/>
        </w:rPr>
        <w:t>,</w:t>
      </w:r>
      <w:r w:rsidRPr="00EA18CD">
        <w:rPr>
          <w:rFonts w:ascii="Arial" w:eastAsiaTheme="minorHAnsi" w:hAnsi="Arial" w:cs="Arial"/>
          <w:snapToGrid/>
          <w:sz w:val="24"/>
          <w:szCs w:val="24"/>
          <w:lang w:val="es-UY" w:eastAsia="en-US"/>
        </w:rPr>
        <w:t xml:space="preserve"> de acuerdo con lo previsto por el artículo 33</w:t>
      </w:r>
      <w:r>
        <w:rPr>
          <w:rFonts w:ascii="Arial" w:eastAsiaTheme="minorHAnsi" w:hAnsi="Arial" w:cs="Arial"/>
          <w:snapToGrid/>
          <w:sz w:val="24"/>
          <w:szCs w:val="24"/>
          <w:lang w:val="es-UY" w:eastAsia="en-US"/>
        </w:rPr>
        <w:t>,</w:t>
      </w:r>
      <w:r w:rsidRPr="00EA18CD">
        <w:rPr>
          <w:rFonts w:ascii="Arial" w:eastAsiaTheme="minorHAnsi" w:hAnsi="Arial" w:cs="Arial"/>
          <w:snapToGrid/>
          <w:sz w:val="24"/>
          <w:szCs w:val="24"/>
          <w:lang w:val="es-UY" w:eastAsia="en-US"/>
        </w:rPr>
        <w:t xml:space="preserve"> encuadra en lo dispuesto por el artículo 30 de la Ley Nº 17.556,</w:t>
      </w:r>
      <w:r>
        <w:rPr>
          <w:rFonts w:ascii="Arial" w:eastAsiaTheme="minorHAnsi" w:hAnsi="Arial" w:cs="Arial"/>
          <w:snapToGrid/>
          <w:sz w:val="24"/>
          <w:szCs w:val="24"/>
          <w:lang w:val="es-UY" w:eastAsia="en-US"/>
        </w:rPr>
        <w:t xml:space="preserve"> de 18/09/2002,</w:t>
      </w:r>
      <w:r w:rsidRPr="00EA18CD">
        <w:rPr>
          <w:rFonts w:ascii="Arial" w:eastAsiaTheme="minorHAnsi" w:hAnsi="Arial" w:cs="Arial"/>
          <w:snapToGrid/>
          <w:sz w:val="24"/>
          <w:szCs w:val="24"/>
          <w:lang w:val="es-UY" w:eastAsia="en-US"/>
        </w:rPr>
        <w:t xml:space="preserve"> que faculta a los Entes a celebrar contratos a término con personas físicas a efectos de atender las necesidades que la Administración no pueda cubrir con sus propios funcionarios. Debe consignarse, asimismo, que el contratado no adquiere la calidad de funcionario público, ni los beneficios que tal calidad conlleva (artículo 32 de la citada Ley</w:t>
      </w:r>
      <w:r>
        <w:rPr>
          <w:rFonts w:ascii="Arial" w:eastAsiaTheme="minorHAnsi" w:hAnsi="Arial" w:cs="Arial"/>
          <w:snapToGrid/>
          <w:sz w:val="24"/>
          <w:szCs w:val="24"/>
          <w:lang w:val="es-UY" w:eastAsia="en-US"/>
        </w:rPr>
        <w:t>).</w:t>
      </w:r>
    </w:p>
    <w:p w:rsidR="00EB7EAD" w:rsidRPr="003B64FC" w:rsidRDefault="00EB7EAD" w:rsidP="00E8683E">
      <w:pPr>
        <w:keepNext/>
        <w:widowControl w:val="0"/>
        <w:tabs>
          <w:tab w:val="left" w:pos="180"/>
          <w:tab w:val="num" w:pos="567"/>
        </w:tabs>
        <w:spacing w:line="360" w:lineRule="auto"/>
        <w:jc w:val="both"/>
        <w:rPr>
          <w:rFonts w:ascii="Arial" w:hAnsi="Arial" w:cs="Arial"/>
          <w:iCs/>
          <w:snapToGrid/>
          <w:sz w:val="24"/>
          <w:szCs w:val="24"/>
          <w:lang w:val="es-UY" w:eastAsia="es-UY"/>
        </w:rPr>
      </w:pPr>
      <w:r>
        <w:rPr>
          <w:rFonts w:ascii="Arial" w:hAnsi="Arial" w:cs="Arial"/>
          <w:b/>
          <w:snapToGrid/>
          <w:sz w:val="24"/>
          <w:szCs w:val="24"/>
          <w:lang w:val="es-UY" w:eastAsia="es-UY"/>
        </w:rPr>
        <w:t>2.9</w:t>
      </w:r>
      <w:r w:rsidRPr="00321E1C">
        <w:rPr>
          <w:rFonts w:ascii="Arial" w:hAnsi="Arial" w:cs="Arial"/>
          <w:b/>
          <w:snapToGrid/>
          <w:sz w:val="24"/>
          <w:szCs w:val="24"/>
          <w:lang w:val="es-UY" w:eastAsia="es-UY"/>
        </w:rPr>
        <w:t xml:space="preserve">) </w:t>
      </w:r>
      <w:r>
        <w:rPr>
          <w:rFonts w:ascii="Arial" w:hAnsi="Arial" w:cs="Arial"/>
          <w:snapToGrid/>
          <w:sz w:val="24"/>
          <w:szCs w:val="24"/>
          <w:lang w:val="es-UY" w:eastAsia="es-UY"/>
        </w:rPr>
        <w:t xml:space="preserve">Los artículos 7, 9, </w:t>
      </w:r>
      <w:r w:rsidRPr="00033BF9">
        <w:rPr>
          <w:rFonts w:ascii="Arial" w:hAnsi="Arial" w:cs="Arial"/>
          <w:snapToGrid/>
          <w:sz w:val="24"/>
          <w:szCs w:val="24"/>
          <w:lang w:val="es-UY" w:eastAsia="es-UY"/>
        </w:rPr>
        <w:t xml:space="preserve">33 </w:t>
      </w:r>
      <w:r w:rsidRPr="000813F2">
        <w:rPr>
          <w:rFonts w:ascii="Arial" w:hAnsi="Arial" w:cs="Arial"/>
          <w:snapToGrid/>
          <w:sz w:val="24"/>
          <w:szCs w:val="24"/>
          <w:lang w:val="es-UY" w:eastAsia="es-UY"/>
        </w:rPr>
        <w:t>y 34 que prevén la comunicación a este Tribunal de las</w:t>
      </w:r>
      <w:r>
        <w:rPr>
          <w:rFonts w:ascii="Arial" w:hAnsi="Arial" w:cs="Arial"/>
          <w:snapToGrid/>
          <w:sz w:val="24"/>
          <w:szCs w:val="24"/>
          <w:lang w:val="es-UY" w:eastAsia="es-UY"/>
        </w:rPr>
        <w:t xml:space="preserve"> </w:t>
      </w:r>
      <w:r w:rsidRPr="000813F2">
        <w:rPr>
          <w:rFonts w:ascii="Arial" w:hAnsi="Arial" w:cs="Arial"/>
          <w:snapToGrid/>
          <w:sz w:val="24"/>
          <w:szCs w:val="24"/>
          <w:lang w:val="es-UY" w:eastAsia="es-UY"/>
        </w:rPr>
        <w:t>modificaciones a las partidas no limitativas, las adecuaciones presupuestales y</w:t>
      </w:r>
      <w:r>
        <w:rPr>
          <w:rFonts w:ascii="Arial" w:hAnsi="Arial" w:cs="Arial"/>
          <w:snapToGrid/>
          <w:sz w:val="24"/>
          <w:szCs w:val="24"/>
          <w:lang w:val="es-UY" w:eastAsia="es-UY"/>
        </w:rPr>
        <w:t xml:space="preserve"> </w:t>
      </w:r>
      <w:r w:rsidRPr="000813F2">
        <w:rPr>
          <w:rFonts w:ascii="Arial" w:hAnsi="Arial" w:cs="Arial"/>
          <w:snapToGrid/>
          <w:sz w:val="24"/>
          <w:szCs w:val="24"/>
          <w:lang w:val="es-UY" w:eastAsia="es-UY"/>
        </w:rPr>
        <w:t>las trasposiciones entre grupos de un mismo programa, deberán ajustarse a lo</w:t>
      </w:r>
      <w:r>
        <w:rPr>
          <w:rFonts w:ascii="Arial" w:hAnsi="Arial" w:cs="Arial"/>
          <w:snapToGrid/>
          <w:sz w:val="24"/>
          <w:szCs w:val="24"/>
          <w:lang w:val="es-UY" w:eastAsia="es-UY"/>
        </w:rPr>
        <w:t xml:space="preserve"> </w:t>
      </w:r>
      <w:r w:rsidRPr="000813F2">
        <w:rPr>
          <w:rFonts w:ascii="Arial" w:hAnsi="Arial" w:cs="Arial"/>
          <w:snapToGrid/>
          <w:sz w:val="24"/>
          <w:szCs w:val="24"/>
          <w:lang w:val="es-UY" w:eastAsia="es-UY"/>
        </w:rPr>
        <w:t>dispuesto por Resolución N° 1891/18 de 6 junio de 2018, que establece: “</w:t>
      </w:r>
      <w:r w:rsidRPr="000813F2">
        <w:rPr>
          <w:rFonts w:ascii="Arial" w:hAnsi="Arial" w:cs="Arial"/>
          <w:iCs/>
          <w:snapToGrid/>
          <w:sz w:val="24"/>
          <w:szCs w:val="24"/>
          <w:lang w:val="es-UY" w:eastAsia="es-UY"/>
        </w:rPr>
        <w:t>las</w:t>
      </w:r>
      <w:r>
        <w:rPr>
          <w:rFonts w:ascii="Arial" w:hAnsi="Arial" w:cs="Arial"/>
          <w:iCs/>
          <w:snapToGrid/>
          <w:sz w:val="24"/>
          <w:szCs w:val="24"/>
          <w:lang w:val="es-UY" w:eastAsia="es-UY"/>
        </w:rPr>
        <w:t xml:space="preserve"> </w:t>
      </w:r>
      <w:r w:rsidRPr="000813F2">
        <w:rPr>
          <w:rFonts w:ascii="Arial" w:hAnsi="Arial" w:cs="Arial"/>
          <w:iCs/>
          <w:snapToGrid/>
          <w:sz w:val="24"/>
          <w:szCs w:val="24"/>
          <w:lang w:val="es-UY" w:eastAsia="es-UY"/>
        </w:rPr>
        <w:t>resoluciones que adopten los organismos referentes a trasposiciones de</w:t>
      </w:r>
      <w:r>
        <w:rPr>
          <w:rFonts w:ascii="Arial" w:hAnsi="Arial" w:cs="Arial"/>
          <w:iCs/>
          <w:snapToGrid/>
          <w:sz w:val="24"/>
          <w:szCs w:val="24"/>
          <w:lang w:val="es-UY" w:eastAsia="es-UY"/>
        </w:rPr>
        <w:t xml:space="preserve"> </w:t>
      </w:r>
      <w:r w:rsidRPr="000813F2">
        <w:rPr>
          <w:rFonts w:ascii="Arial" w:hAnsi="Arial" w:cs="Arial"/>
          <w:iCs/>
          <w:snapToGrid/>
          <w:sz w:val="24"/>
          <w:szCs w:val="24"/>
          <w:lang w:val="es-UY" w:eastAsia="es-UY"/>
        </w:rPr>
        <w:t>rubros, adecuaciones presupuestales e incrementos de partidas no limitativas,</w:t>
      </w:r>
      <w:r>
        <w:rPr>
          <w:rFonts w:ascii="Arial" w:hAnsi="Arial" w:cs="Arial"/>
          <w:iCs/>
          <w:snapToGrid/>
          <w:sz w:val="24"/>
          <w:szCs w:val="24"/>
          <w:lang w:val="es-UY" w:eastAsia="es-UY"/>
        </w:rPr>
        <w:t xml:space="preserve"> </w:t>
      </w:r>
      <w:r w:rsidRPr="000813F2">
        <w:rPr>
          <w:rFonts w:ascii="Arial" w:hAnsi="Arial" w:cs="Arial"/>
          <w:iCs/>
          <w:snapToGrid/>
          <w:sz w:val="24"/>
          <w:szCs w:val="24"/>
          <w:lang w:val="es-UY" w:eastAsia="es-UY"/>
        </w:rPr>
        <w:t>así como la información adjunta a las mismas cuando corresponda, deberán</w:t>
      </w:r>
      <w:r>
        <w:rPr>
          <w:rFonts w:ascii="Arial" w:hAnsi="Arial" w:cs="Arial"/>
          <w:iCs/>
          <w:snapToGrid/>
          <w:sz w:val="24"/>
          <w:szCs w:val="24"/>
          <w:lang w:val="es-UY" w:eastAsia="es-UY"/>
        </w:rPr>
        <w:t xml:space="preserve"> </w:t>
      </w:r>
      <w:r w:rsidRPr="000813F2">
        <w:rPr>
          <w:rFonts w:ascii="Arial" w:hAnsi="Arial" w:cs="Arial"/>
          <w:iCs/>
          <w:snapToGrid/>
          <w:sz w:val="24"/>
          <w:szCs w:val="24"/>
          <w:lang w:val="es-UY" w:eastAsia="es-UY"/>
        </w:rPr>
        <w:t>comunicarse a este Tribunal, exclusivamente, en la instancia anual de remisión</w:t>
      </w:r>
      <w:r>
        <w:rPr>
          <w:rFonts w:ascii="Arial" w:hAnsi="Arial" w:cs="Arial"/>
          <w:iCs/>
          <w:snapToGrid/>
          <w:sz w:val="24"/>
          <w:szCs w:val="24"/>
          <w:lang w:val="es-UY" w:eastAsia="es-UY"/>
        </w:rPr>
        <w:t xml:space="preserve"> </w:t>
      </w:r>
      <w:r w:rsidRPr="000813F2">
        <w:rPr>
          <w:rFonts w:ascii="Arial" w:hAnsi="Arial" w:cs="Arial"/>
          <w:iCs/>
          <w:snapToGrid/>
          <w:sz w:val="24"/>
          <w:szCs w:val="24"/>
          <w:lang w:val="es-UY" w:eastAsia="es-UY"/>
        </w:rPr>
        <w:t>de los Balances de Ejecución Presupuestal, incluyéndolas en un anexo</w:t>
      </w:r>
      <w:r>
        <w:rPr>
          <w:rFonts w:ascii="Arial" w:hAnsi="Arial" w:cs="Arial"/>
          <w:iCs/>
          <w:snapToGrid/>
          <w:sz w:val="24"/>
          <w:szCs w:val="24"/>
          <w:lang w:val="es-UY" w:eastAsia="es-UY"/>
        </w:rPr>
        <w:t>”.</w:t>
      </w:r>
    </w:p>
    <w:p w:rsidR="00EB7EAD"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Pr>
          <w:rFonts w:ascii="Arial" w:eastAsiaTheme="minorHAnsi" w:hAnsi="Arial" w:cs="Arial"/>
          <w:b/>
          <w:snapToGrid/>
          <w:sz w:val="24"/>
          <w:szCs w:val="24"/>
          <w:lang w:val="es-UY" w:eastAsia="en-US"/>
        </w:rPr>
        <w:t>2.10</w:t>
      </w:r>
      <w:r w:rsidRPr="00635509">
        <w:rPr>
          <w:rFonts w:ascii="Arial" w:eastAsiaTheme="minorHAnsi" w:hAnsi="Arial" w:cs="Arial"/>
          <w:b/>
          <w:snapToGrid/>
          <w:sz w:val="24"/>
          <w:szCs w:val="24"/>
          <w:lang w:val="es-UY" w:eastAsia="en-US"/>
        </w:rPr>
        <w:t xml:space="preserve">) </w:t>
      </w:r>
      <w:r w:rsidRPr="00635509">
        <w:rPr>
          <w:rFonts w:ascii="Arial" w:eastAsiaTheme="minorHAnsi" w:hAnsi="Arial" w:cs="Arial"/>
          <w:snapToGrid/>
          <w:sz w:val="24"/>
          <w:szCs w:val="24"/>
          <w:lang w:val="es-UY" w:eastAsia="en-US"/>
        </w:rPr>
        <w:t xml:space="preserve">Si bien surge de las normas presupuestales y de lo consignado en el Capítulo 8 que han contemplado mecanismos de promoción de igualdad de oportunidades y derechos entre hombres y mujeres, conforme con lo establecido en el Acuerdo de Cooperación suscrito el 21 de noviembre de 2006, por las empresas públicas con la Oficina de Planeamiento y Presupuesto y el Instituto Nacional de la Mujer, no consta en el </w:t>
      </w:r>
      <w:proofErr w:type="spellStart"/>
      <w:r w:rsidRPr="00635509">
        <w:rPr>
          <w:rFonts w:ascii="Arial" w:eastAsiaTheme="minorHAnsi" w:hAnsi="Arial" w:cs="Arial"/>
          <w:snapToGrid/>
          <w:sz w:val="24"/>
          <w:szCs w:val="24"/>
          <w:lang w:val="es-UY" w:eastAsia="en-US"/>
        </w:rPr>
        <w:t>planillado</w:t>
      </w:r>
      <w:proofErr w:type="spellEnd"/>
      <w:r w:rsidRPr="00635509">
        <w:rPr>
          <w:rFonts w:ascii="Arial" w:eastAsiaTheme="minorHAnsi" w:hAnsi="Arial" w:cs="Arial"/>
          <w:snapToGrid/>
          <w:sz w:val="24"/>
          <w:szCs w:val="24"/>
          <w:lang w:val="es-UY" w:eastAsia="en-US"/>
        </w:rPr>
        <w:t xml:space="preserve"> adjunto la asignación de fondos específicos a los efectos de dar sustentabilidad a las medidas ya adoptadas e implementar nuevas.</w:t>
      </w:r>
    </w:p>
    <w:p w:rsidR="00EB7EAD"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sidRPr="00A65D47">
        <w:rPr>
          <w:rFonts w:ascii="Arial" w:eastAsiaTheme="minorHAnsi" w:hAnsi="Arial" w:cs="Arial"/>
          <w:b/>
          <w:snapToGrid/>
          <w:sz w:val="24"/>
          <w:szCs w:val="24"/>
          <w:lang w:val="es-UY" w:eastAsia="en-US"/>
        </w:rPr>
        <w:t>2.1</w:t>
      </w:r>
      <w:r>
        <w:rPr>
          <w:rFonts w:ascii="Arial" w:eastAsiaTheme="minorHAnsi" w:hAnsi="Arial" w:cs="Arial"/>
          <w:b/>
          <w:snapToGrid/>
          <w:sz w:val="24"/>
          <w:szCs w:val="24"/>
          <w:lang w:val="es-UY" w:eastAsia="en-US"/>
        </w:rPr>
        <w:t>1</w:t>
      </w:r>
      <w:r w:rsidRPr="00A65D47">
        <w:rPr>
          <w:rFonts w:ascii="Arial" w:eastAsiaTheme="minorHAnsi" w:hAnsi="Arial" w:cs="Arial"/>
          <w:b/>
          <w:snapToGrid/>
          <w:sz w:val="24"/>
          <w:szCs w:val="24"/>
          <w:lang w:val="es-UY" w:eastAsia="en-US"/>
        </w:rPr>
        <w:t>)</w:t>
      </w:r>
      <w:r>
        <w:rPr>
          <w:rFonts w:ascii="Arial" w:eastAsiaTheme="minorHAnsi" w:hAnsi="Arial" w:cs="Arial"/>
          <w:snapToGrid/>
          <w:sz w:val="24"/>
          <w:szCs w:val="24"/>
          <w:lang w:val="es-UY" w:eastAsia="en-US"/>
        </w:rPr>
        <w:t xml:space="preserve"> </w:t>
      </w:r>
      <w:r w:rsidRPr="00A65D47">
        <w:rPr>
          <w:rFonts w:ascii="Arial" w:eastAsiaTheme="minorHAnsi" w:hAnsi="Arial" w:cs="Arial"/>
          <w:snapToGrid/>
          <w:sz w:val="24"/>
          <w:szCs w:val="24"/>
          <w:lang w:val="es-UY" w:eastAsia="en-US"/>
        </w:rPr>
        <w:t xml:space="preserve">El procedimiento para el uso y administración de las tarjetas corporativas que se agrega (Capítulo 4) </w:t>
      </w:r>
      <w:r>
        <w:rPr>
          <w:rFonts w:ascii="Arial" w:eastAsiaTheme="minorHAnsi" w:hAnsi="Arial" w:cs="Arial"/>
          <w:snapToGrid/>
          <w:sz w:val="24"/>
          <w:szCs w:val="24"/>
          <w:lang w:val="es-UY" w:eastAsia="en-US"/>
        </w:rPr>
        <w:t xml:space="preserve">ya había sido sometido al </w:t>
      </w:r>
      <w:r w:rsidRPr="00A65D47">
        <w:rPr>
          <w:rFonts w:ascii="Arial" w:eastAsiaTheme="minorHAnsi" w:hAnsi="Arial" w:cs="Arial"/>
          <w:snapToGrid/>
          <w:sz w:val="24"/>
          <w:szCs w:val="24"/>
          <w:lang w:val="es-UY" w:eastAsia="en-US"/>
        </w:rPr>
        <w:t>Tribunal</w:t>
      </w:r>
      <w:r>
        <w:rPr>
          <w:rFonts w:ascii="Arial" w:eastAsiaTheme="minorHAnsi" w:hAnsi="Arial" w:cs="Arial"/>
          <w:snapToGrid/>
          <w:sz w:val="24"/>
          <w:szCs w:val="24"/>
          <w:lang w:val="es-UY" w:eastAsia="en-US"/>
        </w:rPr>
        <w:t>, el cual se estudiará y se expedirá oportunamente.</w:t>
      </w:r>
    </w:p>
    <w:p w:rsidR="00EB7EAD" w:rsidRDefault="00EB7EAD" w:rsidP="00E8683E">
      <w:pPr>
        <w:keepNext/>
        <w:widowControl w:val="0"/>
        <w:tabs>
          <w:tab w:val="left" w:pos="180"/>
          <w:tab w:val="num" w:pos="567"/>
        </w:tabs>
        <w:spacing w:line="360" w:lineRule="auto"/>
        <w:jc w:val="both"/>
        <w:rPr>
          <w:rFonts w:ascii="Arial" w:eastAsiaTheme="minorHAnsi" w:hAnsi="Arial" w:cs="Arial"/>
          <w:snapToGrid/>
          <w:sz w:val="24"/>
          <w:szCs w:val="24"/>
          <w:lang w:val="es-UY" w:eastAsia="en-US"/>
        </w:rPr>
      </w:pPr>
      <w:r>
        <w:rPr>
          <w:rFonts w:ascii="Arial" w:eastAsiaTheme="minorHAnsi" w:hAnsi="Arial" w:cs="Arial"/>
          <w:b/>
          <w:snapToGrid/>
          <w:sz w:val="24"/>
          <w:szCs w:val="24"/>
          <w:lang w:val="es-UY" w:eastAsia="en-US"/>
        </w:rPr>
        <w:t>2.12</w:t>
      </w:r>
      <w:r w:rsidRPr="00BC23C3">
        <w:rPr>
          <w:rFonts w:ascii="Arial" w:eastAsiaTheme="minorHAnsi" w:hAnsi="Arial" w:cs="Arial"/>
          <w:b/>
          <w:snapToGrid/>
          <w:sz w:val="24"/>
          <w:szCs w:val="24"/>
          <w:lang w:val="es-UY" w:eastAsia="en-US"/>
        </w:rPr>
        <w:t xml:space="preserve">) </w:t>
      </w:r>
      <w:r w:rsidRPr="00BC23C3">
        <w:rPr>
          <w:rFonts w:ascii="Arial" w:eastAsiaTheme="minorHAnsi" w:hAnsi="Arial" w:cs="Arial"/>
          <w:snapToGrid/>
          <w:sz w:val="24"/>
          <w:szCs w:val="24"/>
          <w:lang w:val="es-UY" w:eastAsia="en-US"/>
        </w:rPr>
        <w:t>Para la aplicación de lo dispuesto en los artículos 12, 22, 29 y 33 se deberá tener presente lo dispuesto por el artículo 229 de la Constitución de la República</w:t>
      </w:r>
      <w:r>
        <w:rPr>
          <w:rFonts w:ascii="Arial" w:eastAsiaTheme="minorHAnsi" w:hAnsi="Arial" w:cs="Arial"/>
          <w:snapToGrid/>
          <w:sz w:val="24"/>
          <w:szCs w:val="24"/>
          <w:lang w:val="es-UY" w:eastAsia="en-US"/>
        </w:rPr>
        <w:t>, y por el literal E) del artículo 1° de la Ley N° 16.127 de 07/08/90.</w:t>
      </w:r>
    </w:p>
    <w:p w:rsidR="00EB7EAD" w:rsidRPr="00294413" w:rsidRDefault="00EB7EAD" w:rsidP="00E8683E">
      <w:pPr>
        <w:keepNext/>
        <w:widowControl w:val="0"/>
        <w:autoSpaceDE w:val="0"/>
        <w:autoSpaceDN w:val="0"/>
        <w:adjustRightInd w:val="0"/>
        <w:spacing w:line="360" w:lineRule="auto"/>
        <w:jc w:val="both"/>
        <w:rPr>
          <w:rFonts w:ascii="Arial" w:eastAsiaTheme="minorHAnsi" w:hAnsi="Arial" w:cs="Arial"/>
          <w:snapToGrid/>
          <w:sz w:val="24"/>
          <w:szCs w:val="24"/>
          <w:lang w:val="es-UY" w:eastAsia="en-US"/>
        </w:rPr>
      </w:pPr>
      <w:r w:rsidRPr="00294413">
        <w:rPr>
          <w:rFonts w:ascii="Arial" w:eastAsiaTheme="minorHAnsi" w:hAnsi="Arial" w:cs="Arial"/>
          <w:b/>
          <w:snapToGrid/>
          <w:sz w:val="24"/>
          <w:szCs w:val="24"/>
          <w:lang w:val="es-UY" w:eastAsia="en-US"/>
        </w:rPr>
        <w:t>2.1</w:t>
      </w:r>
      <w:r>
        <w:rPr>
          <w:rFonts w:ascii="Arial" w:eastAsiaTheme="minorHAnsi" w:hAnsi="Arial" w:cs="Arial"/>
          <w:b/>
          <w:snapToGrid/>
          <w:sz w:val="24"/>
          <w:szCs w:val="24"/>
          <w:lang w:val="es-UY" w:eastAsia="en-US"/>
        </w:rPr>
        <w:t>3</w:t>
      </w:r>
      <w:r w:rsidRPr="00294413">
        <w:rPr>
          <w:rFonts w:ascii="Arial" w:eastAsiaTheme="minorHAnsi" w:hAnsi="Arial" w:cs="Arial"/>
          <w:b/>
          <w:snapToGrid/>
          <w:sz w:val="24"/>
          <w:szCs w:val="24"/>
          <w:lang w:val="es-UY" w:eastAsia="en-US"/>
        </w:rPr>
        <w:t>)</w:t>
      </w:r>
      <w:r w:rsidRPr="00294413">
        <w:rPr>
          <w:rFonts w:ascii="Arial" w:eastAsiaTheme="minorHAnsi" w:hAnsi="Arial" w:cs="Arial"/>
          <w:snapToGrid/>
          <w:sz w:val="24"/>
          <w:szCs w:val="24"/>
          <w:lang w:val="es-UY" w:eastAsia="en-US"/>
        </w:rPr>
        <w:t xml:space="preserve"> Este Tribunal emite su dictamen sobre el Proyecto de Presupuesto Operativo y el Plan de Inversiones correspondientes al Ejercicio 2019 de la Administración Nacional de Combustibles, Alcohol y Portland, en el plazo constitucional</w:t>
      </w:r>
      <w:r>
        <w:rPr>
          <w:rFonts w:ascii="Arial" w:eastAsiaTheme="minorHAnsi" w:hAnsi="Arial" w:cs="Arial"/>
          <w:snapToGrid/>
          <w:sz w:val="24"/>
          <w:szCs w:val="24"/>
          <w:lang w:val="es-UY" w:eastAsia="en-US"/>
        </w:rPr>
        <w:t>mente</w:t>
      </w:r>
      <w:r w:rsidRPr="00294413">
        <w:rPr>
          <w:rFonts w:ascii="Arial" w:eastAsiaTheme="minorHAnsi" w:hAnsi="Arial" w:cs="Arial"/>
          <w:snapToGrid/>
          <w:sz w:val="24"/>
          <w:szCs w:val="24"/>
          <w:lang w:val="es-UY" w:eastAsia="en-US"/>
        </w:rPr>
        <w:t xml:space="preserve"> previsto y </w:t>
      </w:r>
      <w:r>
        <w:rPr>
          <w:rFonts w:ascii="Arial" w:eastAsiaTheme="minorHAnsi" w:hAnsi="Arial" w:cs="Arial"/>
          <w:snapToGrid/>
          <w:sz w:val="24"/>
          <w:szCs w:val="24"/>
          <w:lang w:val="es-UY" w:eastAsia="en-US"/>
        </w:rPr>
        <w:t>por</w:t>
      </w:r>
      <w:r w:rsidRPr="00294413">
        <w:rPr>
          <w:rFonts w:ascii="Arial" w:eastAsiaTheme="minorHAnsi" w:hAnsi="Arial" w:cs="Arial"/>
          <w:snapToGrid/>
          <w:sz w:val="24"/>
          <w:szCs w:val="24"/>
          <w:lang w:val="es-UY" w:eastAsia="en-US"/>
        </w:rPr>
        <w:t xml:space="preserve"> las mayorías </w:t>
      </w:r>
      <w:r>
        <w:rPr>
          <w:rFonts w:ascii="Arial" w:eastAsiaTheme="minorHAnsi" w:hAnsi="Arial" w:cs="Arial"/>
          <w:snapToGrid/>
          <w:sz w:val="24"/>
          <w:szCs w:val="24"/>
          <w:lang w:val="es-UY" w:eastAsia="en-US"/>
        </w:rPr>
        <w:t>exigidas</w:t>
      </w:r>
      <w:r w:rsidRPr="00294413">
        <w:rPr>
          <w:rFonts w:ascii="Arial" w:eastAsiaTheme="minorHAnsi" w:hAnsi="Arial" w:cs="Arial"/>
          <w:snapToGrid/>
          <w:sz w:val="24"/>
          <w:szCs w:val="24"/>
          <w:lang w:val="es-UY" w:eastAsia="en-US"/>
        </w:rPr>
        <w:t xml:space="preserve"> a </w:t>
      </w:r>
      <w:r>
        <w:rPr>
          <w:rFonts w:ascii="Arial" w:eastAsiaTheme="minorHAnsi" w:hAnsi="Arial" w:cs="Arial"/>
          <w:snapToGrid/>
          <w:sz w:val="24"/>
          <w:szCs w:val="24"/>
          <w:lang w:val="es-UY" w:eastAsia="en-US"/>
        </w:rPr>
        <w:t>esos</w:t>
      </w:r>
      <w:r w:rsidRPr="00294413">
        <w:rPr>
          <w:rFonts w:ascii="Arial" w:eastAsiaTheme="minorHAnsi" w:hAnsi="Arial" w:cs="Arial"/>
          <w:snapToGrid/>
          <w:sz w:val="24"/>
          <w:szCs w:val="24"/>
          <w:lang w:val="es-UY" w:eastAsia="en-US"/>
        </w:rPr>
        <w:t xml:space="preserve"> efectos</w:t>
      </w:r>
      <w:r>
        <w:rPr>
          <w:rFonts w:ascii="Arial" w:eastAsiaTheme="minorHAnsi" w:hAnsi="Arial" w:cs="Arial"/>
          <w:snapToGrid/>
          <w:sz w:val="24"/>
          <w:szCs w:val="24"/>
          <w:lang w:val="es-UY" w:eastAsia="en-US"/>
        </w:rPr>
        <w:t>, dejándose constancia que esta será la única instancia en la que se pronunciará sobre el mismo, en cumplimiento de lo dispuesto por el Art. 221 de la Constitución de la República.</w:t>
      </w:r>
    </w:p>
    <w:p w:rsidR="00EB7EAD" w:rsidRDefault="00EB7EAD" w:rsidP="003A7343">
      <w:pPr>
        <w:widowControl w:val="0"/>
        <w:spacing w:line="360" w:lineRule="auto"/>
        <w:jc w:val="both"/>
        <w:rPr>
          <w:rFonts w:ascii="Arial" w:eastAsiaTheme="minorHAnsi" w:hAnsi="Arial" w:cs="Arial"/>
          <w:snapToGrid/>
          <w:sz w:val="24"/>
          <w:szCs w:val="24"/>
          <w:lang w:val="es-UY" w:eastAsia="en-US"/>
        </w:rPr>
      </w:pPr>
      <w:r w:rsidRPr="00294413">
        <w:rPr>
          <w:rFonts w:ascii="Arial" w:eastAsiaTheme="minorHAnsi" w:hAnsi="Arial" w:cs="Arial"/>
          <w:b/>
          <w:snapToGrid/>
          <w:sz w:val="24"/>
          <w:szCs w:val="24"/>
          <w:lang w:val="es-UY" w:eastAsia="en-US"/>
        </w:rPr>
        <w:t>2.1</w:t>
      </w:r>
      <w:r>
        <w:rPr>
          <w:rFonts w:ascii="Arial" w:eastAsiaTheme="minorHAnsi" w:hAnsi="Arial" w:cs="Arial"/>
          <w:b/>
          <w:snapToGrid/>
          <w:sz w:val="24"/>
          <w:szCs w:val="24"/>
          <w:lang w:val="es-UY" w:eastAsia="en-US"/>
        </w:rPr>
        <w:t>4</w:t>
      </w:r>
      <w:r w:rsidRPr="00294413">
        <w:rPr>
          <w:rFonts w:ascii="Arial" w:eastAsiaTheme="minorHAnsi" w:hAnsi="Arial" w:cs="Arial"/>
          <w:b/>
          <w:snapToGrid/>
          <w:sz w:val="24"/>
          <w:szCs w:val="24"/>
          <w:lang w:val="es-UY" w:eastAsia="en-US"/>
        </w:rPr>
        <w:t xml:space="preserve">) </w:t>
      </w:r>
      <w:r w:rsidRPr="00294413">
        <w:rPr>
          <w:rFonts w:ascii="Arial" w:eastAsiaTheme="minorHAnsi" w:hAnsi="Arial" w:cs="Arial"/>
          <w:snapToGrid/>
          <w:sz w:val="24"/>
          <w:szCs w:val="24"/>
          <w:lang w:val="es-UY" w:eastAsia="en-US"/>
        </w:rPr>
        <w:t>De acuerdo con la normativa vigente, el Directorio de la Administración Nacional de Combustibles, Alcohol y Portland, luego de aprobado el presupuesto, no podrá modificarlo hasta la nueva instancia presupuestal.</w:t>
      </w:r>
    </w:p>
    <w:p w:rsidR="00EB7EAD" w:rsidRDefault="00EB7EAD" w:rsidP="00CA602B">
      <w:pPr>
        <w:widowControl w:val="0"/>
        <w:autoSpaceDE w:val="0"/>
        <w:autoSpaceDN w:val="0"/>
        <w:adjustRightInd w:val="0"/>
        <w:spacing w:line="360" w:lineRule="auto"/>
        <w:jc w:val="both"/>
        <w:rPr>
          <w:rFonts w:ascii="Arial" w:eastAsiaTheme="minorHAnsi" w:hAnsi="Arial" w:cs="Arial"/>
          <w:b/>
          <w:snapToGrid/>
          <w:sz w:val="24"/>
          <w:szCs w:val="24"/>
          <w:lang w:val="es-UY" w:eastAsia="en-US"/>
        </w:rPr>
      </w:pPr>
      <w:r w:rsidRPr="00294413">
        <w:rPr>
          <w:rFonts w:ascii="Arial" w:eastAsiaTheme="minorHAnsi" w:hAnsi="Arial" w:cs="Arial"/>
          <w:b/>
          <w:snapToGrid/>
          <w:sz w:val="24"/>
          <w:szCs w:val="24"/>
          <w:lang w:val="es-UY" w:eastAsia="en-US"/>
        </w:rPr>
        <w:t>3) OPINION</w:t>
      </w:r>
    </w:p>
    <w:p w:rsidR="00EB7EAD" w:rsidRDefault="00EB7EAD" w:rsidP="00DA394B">
      <w:pPr>
        <w:widowControl w:val="0"/>
        <w:autoSpaceDE w:val="0"/>
        <w:autoSpaceDN w:val="0"/>
        <w:adjustRightInd w:val="0"/>
        <w:spacing w:line="360" w:lineRule="auto"/>
        <w:jc w:val="both"/>
        <w:rPr>
          <w:rFonts w:ascii="Arial" w:eastAsiaTheme="minorHAnsi" w:hAnsi="Arial" w:cs="Arial"/>
          <w:snapToGrid/>
          <w:sz w:val="24"/>
          <w:szCs w:val="24"/>
          <w:lang w:val="es-UY" w:eastAsia="en-US"/>
        </w:rPr>
      </w:pPr>
      <w:r w:rsidRPr="00294413">
        <w:rPr>
          <w:rFonts w:ascii="Arial" w:eastAsiaTheme="minorHAnsi" w:hAnsi="Arial" w:cs="Arial"/>
          <w:snapToGrid/>
          <w:sz w:val="24"/>
          <w:szCs w:val="24"/>
          <w:lang w:val="es-UY" w:eastAsia="en-US"/>
        </w:rPr>
        <w:t xml:space="preserve">En opinión del Tribunal de Cuentas el Proyecto de Presupuesto de la Administración Nacional de Combustibles, Alcohol y Portland (ANCAP) correspondiente al Ejercicio </w:t>
      </w:r>
      <w:r w:rsidRPr="00401597">
        <w:rPr>
          <w:rFonts w:ascii="Arial" w:eastAsiaTheme="minorHAnsi" w:hAnsi="Arial" w:cs="Arial"/>
          <w:snapToGrid/>
          <w:sz w:val="24"/>
          <w:szCs w:val="24"/>
          <w:lang w:val="es-UY" w:eastAsia="en-US"/>
        </w:rPr>
        <w:t xml:space="preserve">2019 ha sido </w:t>
      </w:r>
      <w:r w:rsidRPr="00294413">
        <w:rPr>
          <w:rFonts w:ascii="Arial" w:eastAsiaTheme="minorHAnsi" w:hAnsi="Arial" w:cs="Arial"/>
          <w:snapToGrid/>
          <w:sz w:val="24"/>
          <w:szCs w:val="24"/>
          <w:lang w:val="es-UY" w:eastAsia="en-US"/>
        </w:rPr>
        <w:t>preparado en forma razonable de acuerdo con los supuestos efectuados por el Organismo y se presenta de conformidad con las disposiciones constitucionales, legales y reglamentarias</w:t>
      </w:r>
      <w:r w:rsidRPr="00294413">
        <w:rPr>
          <w:rFonts w:ascii="Arial" w:eastAsiaTheme="minorHAnsi" w:hAnsi="Arial" w:cs="Arial"/>
          <w:b/>
          <w:snapToGrid/>
          <w:sz w:val="24"/>
          <w:szCs w:val="24"/>
          <w:lang w:val="es-UY" w:eastAsia="en-US"/>
        </w:rPr>
        <w:t xml:space="preserve"> </w:t>
      </w:r>
      <w:r w:rsidR="00AF6D54">
        <w:rPr>
          <w:rFonts w:ascii="Arial" w:eastAsiaTheme="minorHAnsi" w:hAnsi="Arial" w:cs="Arial"/>
          <w:snapToGrid/>
          <w:sz w:val="24"/>
          <w:szCs w:val="24"/>
          <w:lang w:val="es-UY" w:eastAsia="en-US"/>
        </w:rPr>
        <w:t>vigentes.</w:t>
      </w:r>
    </w:p>
    <w:p w:rsidR="00EB7EAD" w:rsidRPr="00DA394B" w:rsidRDefault="00EB7EAD" w:rsidP="00DA394B">
      <w:pPr>
        <w:widowControl w:val="0"/>
        <w:autoSpaceDE w:val="0"/>
        <w:autoSpaceDN w:val="0"/>
        <w:adjustRightInd w:val="0"/>
        <w:spacing w:line="360" w:lineRule="auto"/>
        <w:jc w:val="right"/>
        <w:rPr>
          <w:rFonts w:ascii="Arial" w:eastAsiaTheme="minorHAnsi" w:hAnsi="Arial" w:cs="Arial"/>
          <w:snapToGrid/>
          <w:sz w:val="24"/>
          <w:szCs w:val="24"/>
          <w:lang w:val="es-UY" w:eastAsia="en-US"/>
        </w:rPr>
      </w:pPr>
      <w:r>
        <w:rPr>
          <w:rFonts w:ascii="Arial" w:eastAsiaTheme="minorHAnsi" w:hAnsi="Arial" w:cs="Arial"/>
          <w:snapToGrid/>
          <w:sz w:val="24"/>
          <w:szCs w:val="24"/>
          <w:lang w:val="es-UY" w:eastAsia="en-US"/>
        </w:rPr>
        <w:t>Montevideo, 13 agosto de 2018</w:t>
      </w:r>
    </w:p>
    <w:sectPr w:rsidR="00EB7EAD" w:rsidRPr="00DA394B" w:rsidSect="00BD7F76">
      <w:footerReference w:type="even" r:id="rId11"/>
      <w:footerReference w:type="default" r:id="rId12"/>
      <w:endnotePr>
        <w:numFmt w:val="decimal"/>
      </w:endnotePr>
      <w:pgSz w:w="11907" w:h="16840" w:code="9"/>
      <w:pgMar w:top="2835" w:right="1701" w:bottom="1134" w:left="1701" w:header="1440" w:footer="1440" w:gutter="0"/>
      <w:paperSrc w:first="264" w:other="264"/>
      <w:cols w:space="720"/>
      <w:vAlign w:val="both"/>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5F" w:rsidRDefault="00EB7EAD">
      <w:r>
        <w:separator/>
      </w:r>
    </w:p>
  </w:endnote>
  <w:endnote w:type="continuationSeparator" w:id="0">
    <w:p w:rsidR="0059395F" w:rsidRDefault="00EB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FA7" w:rsidRDefault="00BD7F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rsidR="00366FA7" w:rsidRDefault="00DD74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FA7" w:rsidRDefault="00BD7F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74F0">
      <w:rPr>
        <w:rStyle w:val="Nmerodepgina"/>
        <w:noProof/>
      </w:rPr>
      <w:t>1</w:t>
    </w:r>
    <w:r>
      <w:rPr>
        <w:rStyle w:val="Nmerodepgina"/>
      </w:rPr>
      <w:fldChar w:fldCharType="end"/>
    </w:r>
  </w:p>
  <w:p w:rsidR="00366FA7" w:rsidRDefault="00DD74F0">
    <w:pPr>
      <w:spacing w:before="140" w:line="100" w:lineRule="exact"/>
      <w:rPr>
        <w:sz w:val="10"/>
      </w:rPr>
    </w:pPr>
  </w:p>
  <w:p w:rsidR="00366FA7" w:rsidRDefault="00DD74F0">
    <w:pPr>
      <w:tabs>
        <w:tab w:val="left" w:pos="-720"/>
      </w:tabs>
      <w:suppressAutoHyphens/>
      <w:jc w:val="both"/>
      <w:rPr>
        <w:spacing w:val="-3"/>
        <w:sz w:val="24"/>
      </w:rPr>
    </w:pPr>
  </w:p>
  <w:p w:rsidR="00366FA7" w:rsidRDefault="00BD7F76">
    <w:pPr>
      <w:tabs>
        <w:tab w:val="left" w:pos="-720"/>
      </w:tabs>
      <w:suppressAutoHyphens/>
      <w:rPr>
        <w:sz w:val="24"/>
      </w:rPr>
    </w:pPr>
    <w:r>
      <w:rPr>
        <w:noProof/>
        <w:snapToGrid/>
        <w:lang w:val="es-UY" w:eastAsia="es-UY"/>
      </w:rPr>
      <mc:AlternateContent>
        <mc:Choice Requires="wps">
          <w:drawing>
            <wp:anchor distT="0" distB="0" distL="114300" distR="114300" simplePos="0" relativeHeight="251659264" behindDoc="1" locked="0" layoutInCell="0" allowOverlap="1" wp14:anchorId="13959D24" wp14:editId="6DBA338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FA7" w:rsidRDefault="00BD7F76">
                          <w:pPr>
                            <w:tabs>
                              <w:tab w:val="center" w:pos="4650"/>
                            </w:tabs>
                            <w:suppressAutoHyphens/>
                            <w:jc w:val="both"/>
                            <w:rPr>
                              <w:sz w:val="24"/>
                              <w:lang w:val="en-US"/>
                            </w:rPr>
                          </w:pPr>
                          <w:r>
                            <w:rPr>
                              <w:b/>
                              <w:sz w:val="24"/>
                              <w:lang w:val="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366FA7" w:rsidRDefault="00BD7F76">
                    <w:pPr>
                      <w:tabs>
                        <w:tab w:val="center" w:pos="4650"/>
                      </w:tabs>
                      <w:suppressAutoHyphens/>
                      <w:jc w:val="both"/>
                      <w:rPr>
                        <w:sz w:val="24"/>
                        <w:lang w:val="en-US"/>
                      </w:rPr>
                    </w:pPr>
                    <w:r>
                      <w:rPr>
                        <w:b/>
                        <w:sz w:val="24"/>
                        <w:lang w:val="en-US"/>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5F" w:rsidRDefault="00EB7EAD">
      <w:r>
        <w:separator/>
      </w:r>
    </w:p>
  </w:footnote>
  <w:footnote w:type="continuationSeparator" w:id="0">
    <w:p w:rsidR="0059395F" w:rsidRDefault="00EB7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6A9"/>
    <w:multiLevelType w:val="hybridMultilevel"/>
    <w:tmpl w:val="646297E8"/>
    <w:lvl w:ilvl="0" w:tplc="30F82A06">
      <w:start w:val="1"/>
      <w:numFmt w:val="decimal"/>
      <w:lvlText w:val="%1)"/>
      <w:lvlJc w:val="left"/>
      <w:pPr>
        <w:ind w:left="720" w:hanging="360"/>
      </w:pPr>
      <w:rPr>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34C23F4A"/>
    <w:multiLevelType w:val="hybridMultilevel"/>
    <w:tmpl w:val="74B85028"/>
    <w:lvl w:ilvl="0" w:tplc="5F0E13B2">
      <w:start w:val="1"/>
      <w:numFmt w:val="decimal"/>
      <w:lvlText w:val="%1)"/>
      <w:lvlJc w:val="left"/>
      <w:pPr>
        <w:ind w:left="720" w:hanging="360"/>
      </w:pPr>
      <w:rPr>
        <w:rFonts w:ascii="Arial" w:eastAsia="Times New Roma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FC"/>
    <w:rsid w:val="000456E5"/>
    <w:rsid w:val="003B64FC"/>
    <w:rsid w:val="0059395F"/>
    <w:rsid w:val="00901A9C"/>
    <w:rsid w:val="00AF6D54"/>
    <w:rsid w:val="00BD7F76"/>
    <w:rsid w:val="00CB7826"/>
    <w:rsid w:val="00CD0582"/>
    <w:rsid w:val="00CF546B"/>
    <w:rsid w:val="00DA394B"/>
    <w:rsid w:val="00DD74F0"/>
    <w:rsid w:val="00EB7EAD"/>
    <w:rsid w:val="00FB279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FC"/>
    <w:pPr>
      <w:spacing w:after="0" w:line="240" w:lineRule="auto"/>
    </w:pPr>
    <w:rPr>
      <w:rFonts w:ascii="Courier New" w:eastAsia="Times New Roman" w:hAnsi="Courier New" w:cs="Times New Roman"/>
      <w:snapToGrid w:val="0"/>
      <w:sz w:val="20"/>
      <w:szCs w:val="20"/>
      <w:lang w:val="es-ES" w:eastAsia="es-ES"/>
    </w:rPr>
  </w:style>
  <w:style w:type="paragraph" w:styleId="Ttulo1">
    <w:name w:val="heading 1"/>
    <w:basedOn w:val="Normal"/>
    <w:next w:val="Normal"/>
    <w:link w:val="Ttulo1Car"/>
    <w:qFormat/>
    <w:rsid w:val="00EB7EAD"/>
    <w:pPr>
      <w:keepNext/>
      <w:tabs>
        <w:tab w:val="left" w:pos="0"/>
      </w:tabs>
      <w:suppressAutoHyphens/>
      <w:jc w:val="both"/>
      <w:outlineLvl w:val="0"/>
    </w:pPr>
    <w:rPr>
      <w:rFonts w:ascii="Bookman Old Style" w:hAnsi="Bookman Old Style"/>
      <w:b/>
      <w:spacing w:val="-3"/>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B64FC"/>
    <w:rPr>
      <w:sz w:val="24"/>
    </w:rPr>
  </w:style>
  <w:style w:type="character" w:customStyle="1" w:styleId="TtuloCar">
    <w:name w:val="Título Car"/>
    <w:basedOn w:val="Fuentedeprrafopredeter"/>
    <w:link w:val="Ttulo"/>
    <w:rsid w:val="003B64FC"/>
    <w:rPr>
      <w:rFonts w:ascii="Courier New" w:eastAsia="Times New Roman" w:hAnsi="Courier New" w:cs="Times New Roman"/>
      <w:snapToGrid w:val="0"/>
      <w:sz w:val="24"/>
      <w:szCs w:val="20"/>
      <w:lang w:val="es-ES" w:eastAsia="es-ES"/>
    </w:rPr>
  </w:style>
  <w:style w:type="paragraph" w:styleId="Piedepgina">
    <w:name w:val="footer"/>
    <w:basedOn w:val="Normal"/>
    <w:link w:val="PiedepginaCar"/>
    <w:rsid w:val="003B64FC"/>
    <w:pPr>
      <w:tabs>
        <w:tab w:val="center" w:pos="4252"/>
        <w:tab w:val="right" w:pos="8504"/>
      </w:tabs>
    </w:pPr>
  </w:style>
  <w:style w:type="character" w:customStyle="1" w:styleId="PiedepginaCar">
    <w:name w:val="Pie de página Car"/>
    <w:basedOn w:val="Fuentedeprrafopredeter"/>
    <w:link w:val="Piedepgina"/>
    <w:rsid w:val="003B64FC"/>
    <w:rPr>
      <w:rFonts w:ascii="Courier New" w:eastAsia="Times New Roman" w:hAnsi="Courier New" w:cs="Times New Roman"/>
      <w:snapToGrid w:val="0"/>
      <w:sz w:val="20"/>
      <w:szCs w:val="20"/>
      <w:lang w:val="es-ES" w:eastAsia="es-ES"/>
    </w:rPr>
  </w:style>
  <w:style w:type="character" w:styleId="Nmerodepgina">
    <w:name w:val="page number"/>
    <w:basedOn w:val="Fuentedeprrafopredeter"/>
    <w:rsid w:val="003B64FC"/>
  </w:style>
  <w:style w:type="paragraph" w:styleId="Textoindependiente3">
    <w:name w:val="Body Text 3"/>
    <w:basedOn w:val="Normal"/>
    <w:link w:val="Textoindependiente3Car"/>
    <w:rsid w:val="003B64FC"/>
    <w:pPr>
      <w:tabs>
        <w:tab w:val="left" w:pos="0"/>
      </w:tabs>
      <w:suppressAutoHyphens/>
      <w:jc w:val="both"/>
    </w:pPr>
    <w:rPr>
      <w:rFonts w:ascii="Arial" w:hAnsi="Arial"/>
      <w:color w:val="0000FF"/>
      <w:spacing w:val="-3"/>
      <w:sz w:val="24"/>
    </w:rPr>
  </w:style>
  <w:style w:type="character" w:customStyle="1" w:styleId="Textoindependiente3Car">
    <w:name w:val="Texto independiente 3 Car"/>
    <w:basedOn w:val="Fuentedeprrafopredeter"/>
    <w:link w:val="Textoindependiente3"/>
    <w:rsid w:val="003B64FC"/>
    <w:rPr>
      <w:rFonts w:ascii="Arial" w:eastAsia="Times New Roman" w:hAnsi="Arial" w:cs="Times New Roman"/>
      <w:snapToGrid w:val="0"/>
      <w:color w:val="0000FF"/>
      <w:spacing w:val="-3"/>
      <w:sz w:val="24"/>
      <w:szCs w:val="20"/>
      <w:lang w:val="es-ES" w:eastAsia="es-ES"/>
    </w:rPr>
  </w:style>
  <w:style w:type="paragraph" w:styleId="Textodeglobo">
    <w:name w:val="Balloon Text"/>
    <w:basedOn w:val="Normal"/>
    <w:link w:val="TextodegloboCar"/>
    <w:uiPriority w:val="99"/>
    <w:semiHidden/>
    <w:unhideWhenUsed/>
    <w:rsid w:val="003B64FC"/>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4FC"/>
    <w:rPr>
      <w:rFonts w:ascii="Tahoma" w:eastAsia="Times New Roman" w:hAnsi="Tahoma" w:cs="Tahoma"/>
      <w:snapToGrid w:val="0"/>
      <w:sz w:val="16"/>
      <w:szCs w:val="16"/>
      <w:lang w:val="es-ES" w:eastAsia="es-ES"/>
    </w:rPr>
  </w:style>
  <w:style w:type="character" w:customStyle="1" w:styleId="Ttulo1Car">
    <w:name w:val="Título 1 Car"/>
    <w:basedOn w:val="Fuentedeprrafopredeter"/>
    <w:link w:val="Ttulo1"/>
    <w:rsid w:val="00EB7EAD"/>
    <w:rPr>
      <w:rFonts w:ascii="Bookman Old Style" w:eastAsia="Times New Roman" w:hAnsi="Bookman Old Style" w:cs="Times New Roman"/>
      <w:b/>
      <w:snapToGrid w:val="0"/>
      <w:spacing w:val="-3"/>
      <w:sz w:val="24"/>
      <w:szCs w:val="20"/>
      <w:lang w:val="en-US" w:eastAsia="es-ES"/>
    </w:rPr>
  </w:style>
  <w:style w:type="paragraph" w:styleId="Prrafodelista">
    <w:name w:val="List Paragraph"/>
    <w:basedOn w:val="Normal"/>
    <w:uiPriority w:val="34"/>
    <w:qFormat/>
    <w:rsid w:val="00EB7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FC"/>
    <w:pPr>
      <w:spacing w:after="0" w:line="240" w:lineRule="auto"/>
    </w:pPr>
    <w:rPr>
      <w:rFonts w:ascii="Courier New" w:eastAsia="Times New Roman" w:hAnsi="Courier New" w:cs="Times New Roman"/>
      <w:snapToGrid w:val="0"/>
      <w:sz w:val="20"/>
      <w:szCs w:val="20"/>
      <w:lang w:val="es-ES" w:eastAsia="es-ES"/>
    </w:rPr>
  </w:style>
  <w:style w:type="paragraph" w:styleId="Ttulo1">
    <w:name w:val="heading 1"/>
    <w:basedOn w:val="Normal"/>
    <w:next w:val="Normal"/>
    <w:link w:val="Ttulo1Car"/>
    <w:qFormat/>
    <w:rsid w:val="00EB7EAD"/>
    <w:pPr>
      <w:keepNext/>
      <w:tabs>
        <w:tab w:val="left" w:pos="0"/>
      </w:tabs>
      <w:suppressAutoHyphens/>
      <w:jc w:val="both"/>
      <w:outlineLvl w:val="0"/>
    </w:pPr>
    <w:rPr>
      <w:rFonts w:ascii="Bookman Old Style" w:hAnsi="Bookman Old Style"/>
      <w:b/>
      <w:spacing w:val="-3"/>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B64FC"/>
    <w:rPr>
      <w:sz w:val="24"/>
    </w:rPr>
  </w:style>
  <w:style w:type="character" w:customStyle="1" w:styleId="TtuloCar">
    <w:name w:val="Título Car"/>
    <w:basedOn w:val="Fuentedeprrafopredeter"/>
    <w:link w:val="Ttulo"/>
    <w:rsid w:val="003B64FC"/>
    <w:rPr>
      <w:rFonts w:ascii="Courier New" w:eastAsia="Times New Roman" w:hAnsi="Courier New" w:cs="Times New Roman"/>
      <w:snapToGrid w:val="0"/>
      <w:sz w:val="24"/>
      <w:szCs w:val="20"/>
      <w:lang w:val="es-ES" w:eastAsia="es-ES"/>
    </w:rPr>
  </w:style>
  <w:style w:type="paragraph" w:styleId="Piedepgina">
    <w:name w:val="footer"/>
    <w:basedOn w:val="Normal"/>
    <w:link w:val="PiedepginaCar"/>
    <w:rsid w:val="003B64FC"/>
    <w:pPr>
      <w:tabs>
        <w:tab w:val="center" w:pos="4252"/>
        <w:tab w:val="right" w:pos="8504"/>
      </w:tabs>
    </w:pPr>
  </w:style>
  <w:style w:type="character" w:customStyle="1" w:styleId="PiedepginaCar">
    <w:name w:val="Pie de página Car"/>
    <w:basedOn w:val="Fuentedeprrafopredeter"/>
    <w:link w:val="Piedepgina"/>
    <w:rsid w:val="003B64FC"/>
    <w:rPr>
      <w:rFonts w:ascii="Courier New" w:eastAsia="Times New Roman" w:hAnsi="Courier New" w:cs="Times New Roman"/>
      <w:snapToGrid w:val="0"/>
      <w:sz w:val="20"/>
      <w:szCs w:val="20"/>
      <w:lang w:val="es-ES" w:eastAsia="es-ES"/>
    </w:rPr>
  </w:style>
  <w:style w:type="character" w:styleId="Nmerodepgina">
    <w:name w:val="page number"/>
    <w:basedOn w:val="Fuentedeprrafopredeter"/>
    <w:rsid w:val="003B64FC"/>
  </w:style>
  <w:style w:type="paragraph" w:styleId="Textoindependiente3">
    <w:name w:val="Body Text 3"/>
    <w:basedOn w:val="Normal"/>
    <w:link w:val="Textoindependiente3Car"/>
    <w:rsid w:val="003B64FC"/>
    <w:pPr>
      <w:tabs>
        <w:tab w:val="left" w:pos="0"/>
      </w:tabs>
      <w:suppressAutoHyphens/>
      <w:jc w:val="both"/>
    </w:pPr>
    <w:rPr>
      <w:rFonts w:ascii="Arial" w:hAnsi="Arial"/>
      <w:color w:val="0000FF"/>
      <w:spacing w:val="-3"/>
      <w:sz w:val="24"/>
    </w:rPr>
  </w:style>
  <w:style w:type="character" w:customStyle="1" w:styleId="Textoindependiente3Car">
    <w:name w:val="Texto independiente 3 Car"/>
    <w:basedOn w:val="Fuentedeprrafopredeter"/>
    <w:link w:val="Textoindependiente3"/>
    <w:rsid w:val="003B64FC"/>
    <w:rPr>
      <w:rFonts w:ascii="Arial" w:eastAsia="Times New Roman" w:hAnsi="Arial" w:cs="Times New Roman"/>
      <w:snapToGrid w:val="0"/>
      <w:color w:val="0000FF"/>
      <w:spacing w:val="-3"/>
      <w:sz w:val="24"/>
      <w:szCs w:val="20"/>
      <w:lang w:val="es-ES" w:eastAsia="es-ES"/>
    </w:rPr>
  </w:style>
  <w:style w:type="paragraph" w:styleId="Textodeglobo">
    <w:name w:val="Balloon Text"/>
    <w:basedOn w:val="Normal"/>
    <w:link w:val="TextodegloboCar"/>
    <w:uiPriority w:val="99"/>
    <w:semiHidden/>
    <w:unhideWhenUsed/>
    <w:rsid w:val="003B64FC"/>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4FC"/>
    <w:rPr>
      <w:rFonts w:ascii="Tahoma" w:eastAsia="Times New Roman" w:hAnsi="Tahoma" w:cs="Tahoma"/>
      <w:snapToGrid w:val="0"/>
      <w:sz w:val="16"/>
      <w:szCs w:val="16"/>
      <w:lang w:val="es-ES" w:eastAsia="es-ES"/>
    </w:rPr>
  </w:style>
  <w:style w:type="character" w:customStyle="1" w:styleId="Ttulo1Car">
    <w:name w:val="Título 1 Car"/>
    <w:basedOn w:val="Fuentedeprrafopredeter"/>
    <w:link w:val="Ttulo1"/>
    <w:rsid w:val="00EB7EAD"/>
    <w:rPr>
      <w:rFonts w:ascii="Bookman Old Style" w:eastAsia="Times New Roman" w:hAnsi="Bookman Old Style" w:cs="Times New Roman"/>
      <w:b/>
      <w:snapToGrid w:val="0"/>
      <w:spacing w:val="-3"/>
      <w:sz w:val="24"/>
      <w:szCs w:val="20"/>
      <w:lang w:val="en-US" w:eastAsia="es-ES"/>
    </w:rPr>
  </w:style>
  <w:style w:type="paragraph" w:styleId="Prrafodelista">
    <w:name w:val="List Paragraph"/>
    <w:basedOn w:val="Normal"/>
    <w:uiPriority w:val="34"/>
    <w:qFormat/>
    <w:rsid w:val="00EB7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1317</Words>
  <Characters>7246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9</cp:revision>
  <cp:lastPrinted>2018-08-16T16:32:00Z</cp:lastPrinted>
  <dcterms:created xsi:type="dcterms:W3CDTF">2018-08-16T15:59:00Z</dcterms:created>
  <dcterms:modified xsi:type="dcterms:W3CDTF">2018-09-28T15:59:00Z</dcterms:modified>
</cp:coreProperties>
</file>